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A328C" w14:textId="16329281" w:rsidR="002C50EE" w:rsidRDefault="002C50EE" w:rsidP="002C50EE">
      <w:pPr>
        <w:pStyle w:val="Heading1"/>
        <w:jc w:val="center"/>
      </w:pPr>
      <w:bookmarkStart w:id="0" w:name="_Hlk63124480"/>
      <w:r>
        <w:t>КРАТКА ХАРАКТЕРИСТИКА НА ПРОДУКТА</w:t>
      </w:r>
    </w:p>
    <w:p w14:paraId="482ED0D3" w14:textId="3DA10373" w:rsidR="00F53FB7" w:rsidRDefault="00DD466D" w:rsidP="00A93499">
      <w:pPr>
        <w:pStyle w:val="Heading1"/>
      </w:pPr>
      <w:r>
        <w:t>1.ИМЕ НА ЛЕКАРСТВЕНИЯ ПРОДУКТ</w:t>
      </w:r>
    </w:p>
    <w:p w14:paraId="650E3169" w14:textId="6C8A72CB" w:rsidR="00EF75B1" w:rsidRDefault="00EF75B1" w:rsidP="00EF75B1"/>
    <w:p w14:paraId="597B56B9" w14:textId="13FA4FAB" w:rsidR="00EF75B1" w:rsidRPr="00EF75B1" w:rsidRDefault="00EF75B1" w:rsidP="00EF75B1">
      <w:pPr>
        <w:rPr>
          <w:sz w:val="24"/>
          <w:szCs w:val="24"/>
          <w:lang w:eastAsia="bg-BG"/>
        </w:rPr>
      </w:pPr>
      <w:r w:rsidRPr="00EF75B1">
        <w:rPr>
          <w:lang w:eastAsia="bg-BG"/>
        </w:rPr>
        <w:t xml:space="preserve">Витоприл </w:t>
      </w:r>
      <w:r w:rsidR="003F5EE2">
        <w:rPr>
          <w:lang w:val="en-US" w:eastAsia="bg-BG"/>
        </w:rPr>
        <w:t>20</w:t>
      </w:r>
      <w:r w:rsidRPr="00EF75B1">
        <w:rPr>
          <w:lang w:eastAsia="bg-BG"/>
        </w:rPr>
        <w:t xml:space="preserve"> </w:t>
      </w:r>
      <w:r w:rsidRPr="00EF75B1">
        <w:rPr>
          <w:lang w:val="en-US"/>
        </w:rPr>
        <w:t xml:space="preserve">mg </w:t>
      </w:r>
      <w:r w:rsidRPr="00EF75B1">
        <w:rPr>
          <w:lang w:eastAsia="bg-BG"/>
        </w:rPr>
        <w:t>таблетки</w:t>
      </w:r>
    </w:p>
    <w:p w14:paraId="6BBAE2A7" w14:textId="230839B2" w:rsidR="00EF75B1" w:rsidRPr="00EF75B1" w:rsidRDefault="00EF75B1" w:rsidP="00EF75B1">
      <w:pPr>
        <w:rPr>
          <w:sz w:val="24"/>
          <w:szCs w:val="24"/>
          <w:lang w:eastAsia="bg-BG"/>
        </w:rPr>
      </w:pPr>
      <w:proofErr w:type="spellStart"/>
      <w:r w:rsidRPr="00EF75B1">
        <w:rPr>
          <w:lang w:val="en-US"/>
        </w:rPr>
        <w:t>Vitopril</w:t>
      </w:r>
      <w:proofErr w:type="spellEnd"/>
      <w:r w:rsidRPr="00EF75B1">
        <w:rPr>
          <w:lang w:val="en-US"/>
        </w:rPr>
        <w:t xml:space="preserve"> </w:t>
      </w:r>
      <w:r w:rsidR="003F5EE2">
        <w:rPr>
          <w:lang w:val="en-US" w:eastAsia="bg-BG"/>
        </w:rPr>
        <w:t>20</w:t>
      </w:r>
      <w:r w:rsidRPr="00EF75B1">
        <w:rPr>
          <w:lang w:eastAsia="bg-BG"/>
        </w:rPr>
        <w:t xml:space="preserve"> </w:t>
      </w:r>
      <w:r w:rsidRPr="00EF75B1">
        <w:rPr>
          <w:lang w:val="en-US"/>
        </w:rPr>
        <w:t>mg tablets</w:t>
      </w:r>
    </w:p>
    <w:p w14:paraId="1662B3EF" w14:textId="77777777" w:rsidR="00EF75B1" w:rsidRPr="00EF75B1" w:rsidRDefault="00EF75B1" w:rsidP="00EF75B1"/>
    <w:p w14:paraId="0DF202EC" w14:textId="35877A0E" w:rsidR="00F53FB7" w:rsidRDefault="00DD466D" w:rsidP="00A93499">
      <w:pPr>
        <w:pStyle w:val="Heading1"/>
      </w:pPr>
      <w:r>
        <w:t>2. КАЧЕСТВЕН И КОЛИЧЕСТВЕН СЪСТАВ</w:t>
      </w:r>
    </w:p>
    <w:p w14:paraId="29623E55" w14:textId="38FE1527" w:rsidR="00EF75B1" w:rsidRDefault="00EF75B1" w:rsidP="00EF75B1"/>
    <w:p w14:paraId="067E3D95" w14:textId="099FA64B" w:rsidR="00EF75B1" w:rsidRPr="00EF75B1" w:rsidRDefault="00EF75B1" w:rsidP="00EF75B1">
      <w:pPr>
        <w:rPr>
          <w:sz w:val="24"/>
          <w:szCs w:val="24"/>
          <w:lang w:eastAsia="bg-BG"/>
        </w:rPr>
      </w:pPr>
      <w:r w:rsidRPr="00EF75B1">
        <w:rPr>
          <w:lang w:eastAsia="bg-BG"/>
        </w:rPr>
        <w:t xml:space="preserve">Всяка таблетка от </w:t>
      </w:r>
      <w:r w:rsidR="003F5EE2">
        <w:rPr>
          <w:lang w:val="en-US" w:eastAsia="bg-BG"/>
        </w:rPr>
        <w:t>20</w:t>
      </w:r>
      <w:r w:rsidRPr="00EF75B1">
        <w:rPr>
          <w:lang w:eastAsia="bg-BG"/>
        </w:rPr>
        <w:t xml:space="preserve"> </w:t>
      </w:r>
      <w:r w:rsidRPr="00EF75B1">
        <w:rPr>
          <w:lang w:val="en-US"/>
        </w:rPr>
        <w:t xml:space="preserve">mg </w:t>
      </w:r>
      <w:r w:rsidRPr="00EF75B1">
        <w:rPr>
          <w:lang w:eastAsia="bg-BG"/>
        </w:rPr>
        <w:t xml:space="preserve">съдържа </w:t>
      </w:r>
      <w:r w:rsidR="003F5EE2">
        <w:rPr>
          <w:lang w:val="en-US" w:eastAsia="bg-BG"/>
        </w:rPr>
        <w:t xml:space="preserve">21,78 </w:t>
      </w:r>
      <w:r w:rsidRPr="00EF75B1">
        <w:rPr>
          <w:lang w:val="en-US"/>
        </w:rPr>
        <w:t xml:space="preserve">mg </w:t>
      </w:r>
      <w:r w:rsidRPr="00EF75B1">
        <w:rPr>
          <w:lang w:eastAsia="bg-BG"/>
        </w:rPr>
        <w:t xml:space="preserve">лизиноприлов дихидрат </w:t>
      </w:r>
      <w:r w:rsidRPr="00EF75B1">
        <w:rPr>
          <w:i/>
          <w:iCs/>
          <w:lang w:val="en-US"/>
        </w:rPr>
        <w:t xml:space="preserve">(Lisinopril dihydrate), </w:t>
      </w:r>
      <w:r w:rsidRPr="00EF75B1">
        <w:rPr>
          <w:lang w:eastAsia="bg-BG"/>
        </w:rPr>
        <w:t xml:space="preserve">еквивалентен на </w:t>
      </w:r>
      <w:r w:rsidR="003F5EE2">
        <w:rPr>
          <w:lang w:val="en-US" w:eastAsia="bg-BG"/>
        </w:rPr>
        <w:t>20</w:t>
      </w:r>
      <w:r w:rsidRPr="00EF75B1">
        <w:rPr>
          <w:lang w:eastAsia="bg-BG"/>
        </w:rPr>
        <w:t xml:space="preserve"> </w:t>
      </w:r>
      <w:r w:rsidRPr="00EF75B1">
        <w:rPr>
          <w:lang w:val="en-US"/>
        </w:rPr>
        <w:t xml:space="preserve">mg </w:t>
      </w:r>
      <w:r w:rsidRPr="00EF75B1">
        <w:rPr>
          <w:lang w:eastAsia="bg-BG"/>
        </w:rPr>
        <w:t xml:space="preserve">лизиноприл </w:t>
      </w:r>
      <w:r w:rsidRPr="00EF75B1">
        <w:rPr>
          <w:i/>
          <w:iCs/>
          <w:lang w:val="en-US"/>
        </w:rPr>
        <w:t>(Lisinopril).</w:t>
      </w:r>
    </w:p>
    <w:p w14:paraId="4CABB9ED" w14:textId="4975CBD9" w:rsidR="00F53FB7" w:rsidRDefault="00DD466D" w:rsidP="00A93499">
      <w:pPr>
        <w:pStyle w:val="Heading1"/>
      </w:pPr>
      <w:r>
        <w:t>3. ЛЕКАРСТВЕНА ФОРМА</w:t>
      </w:r>
    </w:p>
    <w:p w14:paraId="471A0D30" w14:textId="4D78BD9B" w:rsidR="00EF75B1" w:rsidRDefault="00EF75B1" w:rsidP="00EF75B1"/>
    <w:p w14:paraId="2C0ED4FA" w14:textId="537AE232" w:rsidR="00EF75B1" w:rsidRPr="00EF75B1" w:rsidRDefault="00EF75B1" w:rsidP="00EF75B1">
      <w:r>
        <w:t xml:space="preserve">Витоприл </w:t>
      </w:r>
      <w:r w:rsidR="003F5EE2">
        <w:rPr>
          <w:lang w:val="en-US"/>
        </w:rPr>
        <w:t>20</w:t>
      </w:r>
      <w:r>
        <w:t xml:space="preserve"> </w:t>
      </w:r>
      <w:r>
        <w:rPr>
          <w:lang w:val="en-US"/>
        </w:rPr>
        <w:t xml:space="preserve">mg </w:t>
      </w:r>
      <w:r>
        <w:t>са, бели, кръгли, двойноизпъкнали таблетки, с маркировка ”</w:t>
      </w:r>
      <w:r w:rsidR="003F5EE2">
        <w:rPr>
          <w:lang w:val="en-US"/>
        </w:rPr>
        <w:t>20</w:t>
      </w:r>
      <w:r>
        <w:t>" от едната страна и с делител ни черти от двете страни.Таблетката може да бъде разделена на четири равни половини.</w:t>
      </w:r>
    </w:p>
    <w:p w14:paraId="490FC2C4" w14:textId="6899DE43" w:rsidR="002C50EE" w:rsidRDefault="002C50EE" w:rsidP="002C50EE">
      <w:pPr>
        <w:pStyle w:val="Heading1"/>
      </w:pPr>
      <w:r>
        <w:t>4. КЛИНИЧНИ ДАННИ</w:t>
      </w:r>
    </w:p>
    <w:p w14:paraId="1A37D275" w14:textId="3BA82D5B" w:rsidR="00F53FB7" w:rsidRDefault="002C50EE" w:rsidP="00A93499">
      <w:pPr>
        <w:pStyle w:val="Heading2"/>
      </w:pPr>
      <w:r>
        <w:t>4.1. Терапевтични показания</w:t>
      </w:r>
    </w:p>
    <w:p w14:paraId="3DE0D6CC" w14:textId="759D28AC" w:rsidR="00EF75B1" w:rsidRDefault="00EF75B1" w:rsidP="00EF75B1"/>
    <w:p w14:paraId="4ACF4EA4" w14:textId="77777777" w:rsidR="00EF75B1" w:rsidRPr="00EF75B1" w:rsidRDefault="00EF75B1" w:rsidP="00EF75B1">
      <w:pPr>
        <w:spacing w:line="240" w:lineRule="auto"/>
        <w:rPr>
          <w:rFonts w:eastAsia="Times New Roman" w:cs="Arial"/>
          <w:sz w:val="24"/>
          <w:szCs w:val="24"/>
          <w:lang w:eastAsia="bg-BG"/>
        </w:rPr>
      </w:pPr>
      <w:r w:rsidRPr="00EF75B1">
        <w:rPr>
          <w:rFonts w:eastAsia="Times New Roman" w:cs="Arial"/>
          <w:i/>
          <w:iCs/>
          <w:color w:val="000000"/>
          <w:lang w:eastAsia="bg-BG"/>
        </w:rPr>
        <w:t>Артериална хипертония</w:t>
      </w:r>
    </w:p>
    <w:p w14:paraId="0E08C525" w14:textId="77777777" w:rsidR="00EF75B1" w:rsidRPr="00EF75B1" w:rsidRDefault="00EF75B1" w:rsidP="00EF75B1">
      <w:pPr>
        <w:spacing w:line="240" w:lineRule="auto"/>
        <w:rPr>
          <w:rFonts w:eastAsia="Times New Roman" w:cs="Arial"/>
          <w:sz w:val="24"/>
          <w:szCs w:val="24"/>
          <w:lang w:eastAsia="bg-BG"/>
        </w:rPr>
      </w:pPr>
      <w:r w:rsidRPr="00EF75B1">
        <w:rPr>
          <w:rFonts w:eastAsia="Times New Roman" w:cs="Arial"/>
          <w:color w:val="000000"/>
          <w:lang w:eastAsia="bg-BG"/>
        </w:rPr>
        <w:t>Лечение на артериална хипертония.</w:t>
      </w:r>
    </w:p>
    <w:p w14:paraId="285487E9" w14:textId="77777777" w:rsidR="00EF75B1" w:rsidRPr="00EF75B1" w:rsidRDefault="00EF75B1" w:rsidP="00EF75B1">
      <w:pPr>
        <w:spacing w:line="240" w:lineRule="auto"/>
        <w:rPr>
          <w:rFonts w:eastAsia="Times New Roman" w:cs="Arial"/>
          <w:i/>
          <w:iCs/>
          <w:color w:val="000000"/>
          <w:lang w:eastAsia="bg-BG"/>
        </w:rPr>
      </w:pPr>
    </w:p>
    <w:p w14:paraId="017FCE93" w14:textId="5CF46F09" w:rsidR="00EF75B1" w:rsidRPr="00EF75B1" w:rsidRDefault="00EF75B1" w:rsidP="00EF75B1">
      <w:pPr>
        <w:spacing w:line="240" w:lineRule="auto"/>
        <w:rPr>
          <w:rFonts w:eastAsia="Times New Roman" w:cs="Arial"/>
          <w:sz w:val="24"/>
          <w:szCs w:val="24"/>
          <w:lang w:eastAsia="bg-BG"/>
        </w:rPr>
      </w:pPr>
      <w:r w:rsidRPr="00EF75B1">
        <w:rPr>
          <w:rFonts w:eastAsia="Times New Roman" w:cs="Arial"/>
          <w:i/>
          <w:iCs/>
          <w:color w:val="000000"/>
          <w:lang w:eastAsia="bg-BG"/>
        </w:rPr>
        <w:t>Сърдечна недостатъчност</w:t>
      </w:r>
    </w:p>
    <w:p w14:paraId="1F247E60" w14:textId="77777777" w:rsidR="00EF75B1" w:rsidRPr="00EF75B1" w:rsidRDefault="00EF75B1" w:rsidP="00EF75B1">
      <w:pPr>
        <w:spacing w:line="240" w:lineRule="auto"/>
        <w:rPr>
          <w:rFonts w:eastAsia="Times New Roman" w:cs="Arial"/>
          <w:sz w:val="24"/>
          <w:szCs w:val="24"/>
          <w:lang w:eastAsia="bg-BG"/>
        </w:rPr>
      </w:pPr>
      <w:r w:rsidRPr="00EF75B1">
        <w:rPr>
          <w:rFonts w:eastAsia="Times New Roman" w:cs="Arial"/>
          <w:color w:val="000000"/>
          <w:lang w:eastAsia="bg-BG"/>
        </w:rPr>
        <w:t>Лечение на сърдечна недостатъчност.</w:t>
      </w:r>
    </w:p>
    <w:p w14:paraId="77002E12" w14:textId="77777777" w:rsidR="00EF75B1" w:rsidRPr="00EF75B1" w:rsidRDefault="00EF75B1" w:rsidP="00EF75B1">
      <w:pPr>
        <w:spacing w:line="240" w:lineRule="auto"/>
        <w:rPr>
          <w:rFonts w:eastAsia="Times New Roman" w:cs="Arial"/>
          <w:i/>
          <w:iCs/>
          <w:color w:val="000000"/>
          <w:lang w:eastAsia="bg-BG"/>
        </w:rPr>
      </w:pPr>
    </w:p>
    <w:p w14:paraId="5610D95B" w14:textId="6BC81CA7" w:rsidR="00EF75B1" w:rsidRPr="00EF75B1" w:rsidRDefault="00EF75B1" w:rsidP="00EF75B1">
      <w:pPr>
        <w:spacing w:line="240" w:lineRule="auto"/>
        <w:rPr>
          <w:rFonts w:eastAsia="Times New Roman" w:cs="Arial"/>
          <w:sz w:val="24"/>
          <w:szCs w:val="24"/>
          <w:lang w:eastAsia="bg-BG"/>
        </w:rPr>
      </w:pPr>
      <w:r w:rsidRPr="00EF75B1">
        <w:rPr>
          <w:rFonts w:eastAsia="Times New Roman" w:cs="Arial"/>
          <w:i/>
          <w:iCs/>
          <w:color w:val="000000"/>
          <w:lang w:eastAsia="bg-BG"/>
        </w:rPr>
        <w:t>Остър инфаркт на миокарда</w:t>
      </w:r>
    </w:p>
    <w:p w14:paraId="5F6F4B0A" w14:textId="77777777" w:rsidR="00EF75B1" w:rsidRPr="00EF75B1" w:rsidRDefault="00EF75B1" w:rsidP="00EF75B1">
      <w:pPr>
        <w:spacing w:line="240" w:lineRule="auto"/>
        <w:rPr>
          <w:rFonts w:eastAsia="Times New Roman" w:cs="Arial"/>
          <w:sz w:val="24"/>
          <w:szCs w:val="24"/>
          <w:lang w:eastAsia="bg-BG"/>
        </w:rPr>
      </w:pPr>
      <w:r w:rsidRPr="00EF75B1">
        <w:rPr>
          <w:rFonts w:eastAsia="Times New Roman" w:cs="Arial"/>
          <w:color w:val="000000"/>
          <w:lang w:eastAsia="bg-BG"/>
        </w:rPr>
        <w:t>Краткосрочно (шест седмично) лечение на хемодинамично стабилни пациенти в първите 24 часа на острия миокарден инфаркт.</w:t>
      </w:r>
    </w:p>
    <w:p w14:paraId="16F5B908" w14:textId="77777777" w:rsidR="00EF75B1" w:rsidRPr="00EF75B1" w:rsidRDefault="00EF75B1" w:rsidP="00EF75B1">
      <w:pPr>
        <w:spacing w:line="240" w:lineRule="auto"/>
        <w:rPr>
          <w:rFonts w:eastAsia="Times New Roman" w:cs="Arial"/>
          <w:i/>
          <w:iCs/>
          <w:color w:val="000000"/>
          <w:lang w:eastAsia="bg-BG"/>
        </w:rPr>
      </w:pPr>
    </w:p>
    <w:p w14:paraId="4B9EB206" w14:textId="265E9E90" w:rsidR="00EF75B1" w:rsidRPr="00EF75B1" w:rsidRDefault="00EF75B1" w:rsidP="00EF75B1">
      <w:pPr>
        <w:spacing w:line="240" w:lineRule="auto"/>
        <w:rPr>
          <w:rFonts w:eastAsia="Times New Roman" w:cs="Arial"/>
          <w:sz w:val="24"/>
          <w:szCs w:val="24"/>
          <w:lang w:eastAsia="bg-BG"/>
        </w:rPr>
      </w:pPr>
      <w:r w:rsidRPr="00EF75B1">
        <w:rPr>
          <w:rFonts w:eastAsia="Times New Roman" w:cs="Arial"/>
          <w:i/>
          <w:iCs/>
          <w:color w:val="000000"/>
          <w:lang w:eastAsia="bg-BG"/>
        </w:rPr>
        <w:t>Бъбречни усложнения при диабет</w:t>
      </w:r>
    </w:p>
    <w:p w14:paraId="22205F88" w14:textId="77777777" w:rsidR="00EF75B1" w:rsidRPr="00EF75B1" w:rsidRDefault="00EF75B1" w:rsidP="00EF75B1">
      <w:pPr>
        <w:spacing w:line="240" w:lineRule="auto"/>
        <w:rPr>
          <w:rFonts w:eastAsia="Times New Roman" w:cs="Arial"/>
          <w:sz w:val="24"/>
          <w:szCs w:val="24"/>
          <w:lang w:eastAsia="bg-BG"/>
        </w:rPr>
      </w:pPr>
      <w:r w:rsidRPr="00EF75B1">
        <w:rPr>
          <w:rFonts w:eastAsia="Times New Roman" w:cs="Arial"/>
          <w:color w:val="000000"/>
          <w:lang w:eastAsia="bg-BG"/>
        </w:rPr>
        <w:t>Лечение на бъбречни заболявания при хипертоници с диабет тип 2 и начална нефропатия (виж т. 5.1).</w:t>
      </w:r>
    </w:p>
    <w:p w14:paraId="292E4326" w14:textId="77777777" w:rsidR="00EF75B1" w:rsidRPr="00EF75B1" w:rsidRDefault="00EF75B1" w:rsidP="00EF75B1"/>
    <w:p w14:paraId="05D17336" w14:textId="1A7F01BD" w:rsidR="00F53FB7" w:rsidRDefault="002C50EE" w:rsidP="00A93499">
      <w:pPr>
        <w:pStyle w:val="Heading2"/>
      </w:pPr>
      <w:r>
        <w:t>4.2. Дозировка и начин на приложение</w:t>
      </w:r>
    </w:p>
    <w:p w14:paraId="15725F8B" w14:textId="5FC80D98" w:rsidR="00EF75B1" w:rsidRDefault="00EF75B1" w:rsidP="00EF75B1"/>
    <w:p w14:paraId="601FC40E" w14:textId="77777777" w:rsidR="00EF75B1" w:rsidRPr="00EF75B1" w:rsidRDefault="00EF75B1" w:rsidP="00EF75B1">
      <w:pPr>
        <w:spacing w:line="240" w:lineRule="auto"/>
        <w:rPr>
          <w:rFonts w:eastAsia="Times New Roman" w:cs="Arial"/>
          <w:sz w:val="24"/>
          <w:szCs w:val="24"/>
          <w:lang w:eastAsia="bg-BG"/>
        </w:rPr>
      </w:pPr>
      <w:r w:rsidRPr="00EF75B1">
        <w:rPr>
          <w:rFonts w:eastAsia="Times New Roman" w:cs="Arial"/>
          <w:color w:val="000000"/>
          <w:lang w:eastAsia="bg-BG"/>
        </w:rPr>
        <w:t>Таблетките Витоприл са предназначени за перорален прием веднъж дневно. Като всички лекарства, приемани веднъж дневно, Витоприл трябва да се приема приблизително по едно и също време всеки ден. Абсорбцията на витоприл не се повлиява от храна. Дозировката трябва да бъде адаптирана индивидуално в зависимост от профила на пациента и повлияването на кръвното налягане (виж т. 4.4).</w:t>
      </w:r>
    </w:p>
    <w:p w14:paraId="3DB123EE" w14:textId="77777777" w:rsidR="00EF75B1" w:rsidRPr="00EF75B1" w:rsidRDefault="00EF75B1" w:rsidP="00EF75B1">
      <w:pPr>
        <w:spacing w:line="240" w:lineRule="auto"/>
        <w:rPr>
          <w:rFonts w:eastAsia="Times New Roman" w:cs="Arial"/>
          <w:sz w:val="24"/>
          <w:szCs w:val="24"/>
          <w:lang w:eastAsia="bg-BG"/>
        </w:rPr>
      </w:pPr>
      <w:r w:rsidRPr="00EF75B1">
        <w:rPr>
          <w:rFonts w:eastAsia="Times New Roman" w:cs="Arial"/>
          <w:color w:val="000000"/>
          <w:lang w:eastAsia="bg-BG"/>
        </w:rPr>
        <w:t>Таблетката може да се разделя на четири равни части. За целта таблетката се поставя върху твърда плоска повърхност с делителната черта нагоре и се натиска леко с пръст.</w:t>
      </w:r>
    </w:p>
    <w:p w14:paraId="41199B92" w14:textId="77777777" w:rsidR="00EF75B1" w:rsidRPr="00EF75B1" w:rsidRDefault="00EF75B1" w:rsidP="00EF75B1">
      <w:pPr>
        <w:spacing w:line="240" w:lineRule="auto"/>
        <w:rPr>
          <w:rFonts w:eastAsia="Times New Roman" w:cs="Arial"/>
          <w:i/>
          <w:iCs/>
          <w:color w:val="000000"/>
          <w:lang w:eastAsia="bg-BG"/>
        </w:rPr>
      </w:pPr>
    </w:p>
    <w:p w14:paraId="4FBC28F1" w14:textId="00EA8C6B" w:rsidR="00EF75B1" w:rsidRPr="00EF75B1" w:rsidRDefault="00EF75B1" w:rsidP="00EF75B1">
      <w:pPr>
        <w:spacing w:line="240" w:lineRule="auto"/>
        <w:rPr>
          <w:rFonts w:eastAsia="Times New Roman" w:cs="Arial"/>
          <w:sz w:val="24"/>
          <w:szCs w:val="24"/>
          <w:lang w:eastAsia="bg-BG"/>
        </w:rPr>
      </w:pPr>
      <w:r w:rsidRPr="00EF75B1">
        <w:rPr>
          <w:rFonts w:eastAsia="Times New Roman" w:cs="Arial"/>
          <w:i/>
          <w:iCs/>
          <w:color w:val="000000"/>
          <w:lang w:eastAsia="bg-BG"/>
        </w:rPr>
        <w:t>Хипертония</w:t>
      </w:r>
    </w:p>
    <w:p w14:paraId="007B8A55" w14:textId="77777777" w:rsidR="00EF75B1" w:rsidRPr="00EF75B1" w:rsidRDefault="00EF75B1" w:rsidP="00EF75B1">
      <w:pPr>
        <w:spacing w:line="240" w:lineRule="auto"/>
        <w:rPr>
          <w:rFonts w:eastAsia="Times New Roman" w:cs="Arial"/>
          <w:sz w:val="24"/>
          <w:szCs w:val="24"/>
          <w:lang w:eastAsia="bg-BG"/>
        </w:rPr>
      </w:pPr>
      <w:r w:rsidRPr="00EF75B1">
        <w:rPr>
          <w:rFonts w:eastAsia="Times New Roman" w:cs="Arial"/>
          <w:color w:val="000000"/>
          <w:lang w:eastAsia="bg-BG"/>
        </w:rPr>
        <w:t>Витоприл може да се използва самостоятелно или в комбинация с други лекарства за антихипертензивна терапия (вж. точки 4.3, 4.4, 4.5 и 5.1).</w:t>
      </w:r>
    </w:p>
    <w:p w14:paraId="5D6EDB93" w14:textId="77777777" w:rsidR="00EF75B1" w:rsidRPr="00EF75B1" w:rsidRDefault="00EF75B1" w:rsidP="00EF75B1">
      <w:pPr>
        <w:spacing w:line="240" w:lineRule="auto"/>
        <w:rPr>
          <w:rFonts w:eastAsia="Times New Roman" w:cs="Arial"/>
          <w:i/>
          <w:iCs/>
          <w:color w:val="000000"/>
          <w:lang w:eastAsia="bg-BG"/>
        </w:rPr>
      </w:pPr>
    </w:p>
    <w:p w14:paraId="1E769E1F" w14:textId="3BFC69AD" w:rsidR="00EF75B1" w:rsidRPr="00EF75B1" w:rsidRDefault="00EF75B1" w:rsidP="00EF75B1">
      <w:pPr>
        <w:spacing w:line="240" w:lineRule="auto"/>
        <w:rPr>
          <w:rFonts w:eastAsia="Times New Roman" w:cs="Arial"/>
          <w:sz w:val="24"/>
          <w:szCs w:val="24"/>
          <w:lang w:eastAsia="bg-BG"/>
        </w:rPr>
      </w:pPr>
      <w:r w:rsidRPr="00EF75B1">
        <w:rPr>
          <w:rFonts w:eastAsia="Times New Roman" w:cs="Arial"/>
          <w:i/>
          <w:iCs/>
          <w:color w:val="000000"/>
          <w:lang w:eastAsia="bg-BG"/>
        </w:rPr>
        <w:t>Начална доза</w:t>
      </w:r>
    </w:p>
    <w:p w14:paraId="18BE5F9B" w14:textId="0E71FA73" w:rsidR="00EF75B1" w:rsidRPr="00EF75B1" w:rsidRDefault="00EF75B1" w:rsidP="00EF75B1">
      <w:pPr>
        <w:rPr>
          <w:rFonts w:eastAsia="Times New Roman" w:cs="Arial"/>
          <w:color w:val="000000"/>
          <w:lang w:eastAsia="bg-BG"/>
        </w:rPr>
      </w:pPr>
      <w:r w:rsidRPr="00EF75B1">
        <w:rPr>
          <w:rFonts w:eastAsia="Times New Roman" w:cs="Arial"/>
          <w:color w:val="000000"/>
          <w:lang w:eastAsia="bg-BG"/>
        </w:rPr>
        <w:t xml:space="preserve">При пациенти с хипертония препоръчителната начална доза е </w:t>
      </w:r>
      <w:r w:rsidRPr="00EF75B1">
        <w:rPr>
          <w:rFonts w:eastAsia="Times New Roman" w:cs="Arial"/>
          <w:i/>
          <w:iCs/>
          <w:color w:val="000000"/>
          <w:lang w:eastAsia="bg-BG"/>
        </w:rPr>
        <w:t>10</w:t>
      </w:r>
      <w:r w:rsidRPr="00EF75B1">
        <w:rPr>
          <w:rFonts w:eastAsia="Times New Roman" w:cs="Arial"/>
          <w:color w:val="000000"/>
          <w:lang w:eastAsia="bg-BG"/>
        </w:rPr>
        <w:t xml:space="preserve"> </w:t>
      </w:r>
      <w:r w:rsidRPr="00EF75B1">
        <w:rPr>
          <w:rFonts w:eastAsia="Times New Roman" w:cs="Arial"/>
          <w:color w:val="000000"/>
          <w:lang w:val="en-US"/>
        </w:rPr>
        <w:t xml:space="preserve">mg. </w:t>
      </w:r>
      <w:r w:rsidRPr="00EF75B1">
        <w:rPr>
          <w:rFonts w:eastAsia="Times New Roman" w:cs="Arial"/>
          <w:color w:val="000000"/>
          <w:lang w:eastAsia="bg-BG"/>
        </w:rPr>
        <w:t xml:space="preserve">При пациенти със силно активирана ренин-ангиотензин-алдостерон система (по-специално при реноваскуларна хипертония, недостатъчност на течности и соли, сърдечна недостатъчност или тежка хипертония), след прием на първоначалната доза е възможно рязко понижаване на кръвното налягане. Препоръчителната начална доза в такива случаи е 2,5-5 </w:t>
      </w:r>
      <w:r w:rsidRPr="00EF75B1">
        <w:rPr>
          <w:rFonts w:eastAsia="Times New Roman" w:cs="Arial"/>
          <w:color w:val="000000"/>
          <w:lang w:val="en-US"/>
        </w:rPr>
        <w:t xml:space="preserve">mg, </w:t>
      </w:r>
      <w:r w:rsidRPr="00EF75B1">
        <w:rPr>
          <w:rFonts w:eastAsia="Times New Roman" w:cs="Arial"/>
          <w:color w:val="000000"/>
          <w:lang w:eastAsia="bg-BG"/>
        </w:rPr>
        <w:t>като в началото лечението трябва да са проведе под лекарски контрол. По-ниска начална доза се препоръчва и при пациенти с бъбречна недостатъчност (виж по-долу таблица 1).</w:t>
      </w:r>
    </w:p>
    <w:p w14:paraId="45A1B484" w14:textId="67970245" w:rsidR="00EF75B1" w:rsidRPr="00EF75B1" w:rsidRDefault="00EF75B1" w:rsidP="00EF75B1">
      <w:pPr>
        <w:rPr>
          <w:rFonts w:eastAsia="Times New Roman" w:cs="Arial"/>
          <w:color w:val="000000"/>
          <w:lang w:eastAsia="bg-BG"/>
        </w:rPr>
      </w:pPr>
    </w:p>
    <w:p w14:paraId="6DE78A2A" w14:textId="77777777" w:rsidR="00EF75B1" w:rsidRPr="00EF75B1" w:rsidRDefault="00EF75B1" w:rsidP="00EF75B1">
      <w:pPr>
        <w:spacing w:line="240" w:lineRule="auto"/>
        <w:rPr>
          <w:rFonts w:eastAsia="Times New Roman" w:cs="Arial"/>
          <w:sz w:val="24"/>
          <w:szCs w:val="24"/>
          <w:lang w:eastAsia="bg-BG"/>
        </w:rPr>
      </w:pPr>
      <w:r w:rsidRPr="00EF75B1">
        <w:rPr>
          <w:rFonts w:eastAsia="Times New Roman" w:cs="Arial"/>
          <w:i/>
          <w:iCs/>
          <w:color w:val="000000"/>
          <w:lang w:eastAsia="bg-BG"/>
        </w:rPr>
        <w:t>Поддържаща доза</w:t>
      </w:r>
    </w:p>
    <w:p w14:paraId="66AC6E95" w14:textId="77777777" w:rsidR="00EF75B1" w:rsidRPr="00EF75B1" w:rsidRDefault="00EF75B1" w:rsidP="00EF75B1">
      <w:pPr>
        <w:spacing w:line="240" w:lineRule="auto"/>
        <w:rPr>
          <w:rFonts w:eastAsia="Times New Roman" w:cs="Arial"/>
          <w:sz w:val="24"/>
          <w:szCs w:val="24"/>
          <w:lang w:eastAsia="bg-BG"/>
        </w:rPr>
      </w:pPr>
      <w:r w:rsidRPr="00EF75B1">
        <w:rPr>
          <w:rFonts w:eastAsia="Times New Roman" w:cs="Arial"/>
          <w:color w:val="000000"/>
          <w:lang w:eastAsia="bg-BG"/>
        </w:rPr>
        <w:t xml:space="preserve">Обикновено ефективната поддържаща доза е 20 </w:t>
      </w:r>
      <w:r w:rsidRPr="00EF75B1">
        <w:rPr>
          <w:rFonts w:eastAsia="Times New Roman" w:cs="Arial"/>
          <w:color w:val="000000"/>
          <w:lang w:val="en-US"/>
        </w:rPr>
        <w:t xml:space="preserve">mg, </w:t>
      </w:r>
      <w:r w:rsidRPr="00EF75B1">
        <w:rPr>
          <w:rFonts w:eastAsia="Times New Roman" w:cs="Arial"/>
          <w:color w:val="000000"/>
          <w:lang w:eastAsia="bg-BG"/>
        </w:rPr>
        <w:t xml:space="preserve">приложена веднъж дневно. По принцип, ако желаният терапевтичен ефект не бъде постигнат за период от 2 до 4 седмици, дозировката трябва да бъде увеличена. Максималната доза, прилагана в дългосрочни контролирани клинични изследвания, е била 80 </w:t>
      </w:r>
      <w:r w:rsidRPr="00EF75B1">
        <w:rPr>
          <w:rFonts w:eastAsia="Times New Roman" w:cs="Arial"/>
          <w:color w:val="000000"/>
          <w:lang w:val="en-US"/>
        </w:rPr>
        <w:t>mg</w:t>
      </w:r>
      <w:r w:rsidRPr="00EF75B1">
        <w:rPr>
          <w:rFonts w:eastAsia="Times New Roman" w:cs="Arial"/>
          <w:color w:val="000000"/>
          <w:lang w:eastAsia="bg-BG"/>
        </w:rPr>
        <w:t>/ден.</w:t>
      </w:r>
    </w:p>
    <w:p w14:paraId="1791A772" w14:textId="77777777" w:rsidR="00EF75B1" w:rsidRPr="00EF75B1" w:rsidRDefault="00EF75B1" w:rsidP="00EF75B1">
      <w:pPr>
        <w:spacing w:line="240" w:lineRule="auto"/>
        <w:rPr>
          <w:rFonts w:eastAsia="Times New Roman" w:cs="Arial"/>
          <w:i/>
          <w:iCs/>
          <w:color w:val="000000"/>
          <w:lang w:eastAsia="bg-BG"/>
        </w:rPr>
      </w:pPr>
    </w:p>
    <w:p w14:paraId="001B37C1" w14:textId="1FAEFFA2" w:rsidR="00EF75B1" w:rsidRPr="00EF75B1" w:rsidRDefault="00EF75B1" w:rsidP="00EF75B1">
      <w:pPr>
        <w:spacing w:line="240" w:lineRule="auto"/>
        <w:rPr>
          <w:rFonts w:eastAsia="Times New Roman" w:cs="Arial"/>
          <w:sz w:val="24"/>
          <w:szCs w:val="24"/>
          <w:lang w:eastAsia="bg-BG"/>
        </w:rPr>
      </w:pPr>
      <w:r w:rsidRPr="00EF75B1">
        <w:rPr>
          <w:rFonts w:eastAsia="Times New Roman" w:cs="Arial"/>
          <w:i/>
          <w:iCs/>
          <w:color w:val="000000"/>
          <w:lang w:eastAsia="bg-BG"/>
        </w:rPr>
        <w:t>Пациенти, лекувани с диуретици</w:t>
      </w:r>
    </w:p>
    <w:p w14:paraId="2F3690A0" w14:textId="77777777" w:rsidR="00EF75B1" w:rsidRPr="00EF75B1" w:rsidRDefault="00EF75B1" w:rsidP="00EF75B1">
      <w:pPr>
        <w:spacing w:line="240" w:lineRule="auto"/>
        <w:rPr>
          <w:rFonts w:eastAsia="Times New Roman" w:cs="Arial"/>
          <w:sz w:val="24"/>
          <w:szCs w:val="24"/>
          <w:lang w:eastAsia="bg-BG"/>
        </w:rPr>
      </w:pPr>
      <w:r w:rsidRPr="00EF75B1">
        <w:rPr>
          <w:rFonts w:eastAsia="Times New Roman" w:cs="Arial"/>
          <w:color w:val="000000"/>
          <w:lang w:eastAsia="bg-BG"/>
        </w:rPr>
        <w:t xml:space="preserve">След започване на лечение е Витоприл може да се появи симптоматична хипотония. Това е по- вероятно при пациенти, които се лекуват с диуретици. При такива пациенти е необходимо внимание, тъй като при тях може да се получи недостиг на електролити и течности. Те трябва да спрат приема на диуретици, ако е възможно, 2 до 3 дни преди да започнат лечението с витоприл. При хипертоници, чието лечение с диуретици не може да бъде спряно, лечението с витоприл трябва да започне с начална доза от 5 </w:t>
      </w:r>
      <w:r w:rsidRPr="00EF75B1">
        <w:rPr>
          <w:rFonts w:eastAsia="Times New Roman" w:cs="Arial"/>
          <w:color w:val="000000"/>
          <w:lang w:val="en-US"/>
        </w:rPr>
        <w:t xml:space="preserve">mg. </w:t>
      </w:r>
      <w:r w:rsidRPr="00EF75B1">
        <w:rPr>
          <w:rFonts w:eastAsia="Times New Roman" w:cs="Arial"/>
          <w:color w:val="000000"/>
          <w:lang w:eastAsia="bg-BG"/>
        </w:rPr>
        <w:t>Трябва да бъдат проследявани бъбречната функция и нивото на серумния калий. Последващата дозировка трябва да бъде съобразена с повлияването на кръвното налягане. Ако е необходимо, лечението с диуретици може да бъде възобновено (виж т. 4.4 и т. 4.5).</w:t>
      </w:r>
    </w:p>
    <w:p w14:paraId="22513019" w14:textId="77777777" w:rsidR="00EF75B1" w:rsidRPr="00EF75B1" w:rsidRDefault="00EF75B1" w:rsidP="00EF75B1">
      <w:pPr>
        <w:spacing w:line="240" w:lineRule="auto"/>
        <w:rPr>
          <w:rFonts w:eastAsia="Times New Roman" w:cs="Arial"/>
          <w:i/>
          <w:iCs/>
          <w:color w:val="000000"/>
          <w:lang w:eastAsia="bg-BG"/>
        </w:rPr>
      </w:pPr>
    </w:p>
    <w:p w14:paraId="5B5715BA" w14:textId="196A692A" w:rsidR="00EF75B1" w:rsidRPr="00EF75B1" w:rsidRDefault="00EF75B1" w:rsidP="00EF75B1">
      <w:pPr>
        <w:spacing w:line="240" w:lineRule="auto"/>
        <w:rPr>
          <w:rFonts w:eastAsia="Times New Roman" w:cs="Arial"/>
          <w:sz w:val="24"/>
          <w:szCs w:val="24"/>
          <w:lang w:eastAsia="bg-BG"/>
        </w:rPr>
      </w:pPr>
      <w:r w:rsidRPr="00EF75B1">
        <w:rPr>
          <w:rFonts w:eastAsia="Times New Roman" w:cs="Arial"/>
          <w:i/>
          <w:iCs/>
          <w:color w:val="000000"/>
          <w:lang w:eastAsia="bg-BG"/>
        </w:rPr>
        <w:t>Дозиране при пациенти с бъбречна недостатъчност</w:t>
      </w:r>
    </w:p>
    <w:p w14:paraId="36E9735D" w14:textId="77777777" w:rsidR="00EF75B1" w:rsidRPr="00EF75B1" w:rsidRDefault="00EF75B1" w:rsidP="00EF75B1">
      <w:pPr>
        <w:spacing w:line="240" w:lineRule="auto"/>
        <w:rPr>
          <w:rFonts w:eastAsia="Times New Roman" w:cs="Arial"/>
          <w:sz w:val="24"/>
          <w:szCs w:val="24"/>
          <w:lang w:eastAsia="bg-BG"/>
        </w:rPr>
      </w:pPr>
      <w:r w:rsidRPr="00EF75B1">
        <w:rPr>
          <w:rFonts w:eastAsia="Times New Roman" w:cs="Arial"/>
          <w:color w:val="000000"/>
          <w:lang w:eastAsia="bg-BG"/>
        </w:rPr>
        <w:t>Дозировката при пациенти с бъбречна недостатъчност трябва да бъде съобразена с креатининовия клирънс, така както е указано по-долу, в таблица 1.</w:t>
      </w:r>
    </w:p>
    <w:p w14:paraId="6439D342" w14:textId="77777777" w:rsidR="00EF75B1" w:rsidRPr="00EF75B1" w:rsidRDefault="00EF75B1" w:rsidP="00EF75B1">
      <w:pPr>
        <w:spacing w:line="240" w:lineRule="auto"/>
        <w:rPr>
          <w:rFonts w:eastAsia="Times New Roman" w:cs="Arial"/>
          <w:b/>
          <w:bCs/>
          <w:color w:val="000000"/>
          <w:lang w:eastAsia="bg-BG"/>
        </w:rPr>
      </w:pPr>
    </w:p>
    <w:p w14:paraId="34FB74C0" w14:textId="33C33E4D" w:rsidR="00EF75B1" w:rsidRPr="00EF75B1" w:rsidRDefault="00EF75B1" w:rsidP="00EF75B1">
      <w:pPr>
        <w:spacing w:line="240" w:lineRule="auto"/>
        <w:rPr>
          <w:rFonts w:eastAsia="Times New Roman" w:cs="Arial"/>
          <w:sz w:val="24"/>
          <w:szCs w:val="24"/>
          <w:lang w:eastAsia="bg-BG"/>
        </w:rPr>
      </w:pPr>
      <w:r w:rsidRPr="00EF75B1">
        <w:rPr>
          <w:rFonts w:eastAsia="Times New Roman" w:cs="Arial"/>
          <w:b/>
          <w:bCs/>
          <w:color w:val="000000"/>
          <w:lang w:eastAsia="bg-BG"/>
        </w:rPr>
        <w:t>Таблица 1</w:t>
      </w:r>
    </w:p>
    <w:p w14:paraId="2DBACBE8" w14:textId="77777777" w:rsidR="00EF75B1" w:rsidRPr="00EF75B1" w:rsidRDefault="00EF75B1" w:rsidP="00EF75B1">
      <w:pPr>
        <w:spacing w:line="240" w:lineRule="auto"/>
        <w:rPr>
          <w:rFonts w:eastAsia="Times New Roman" w:cs="Arial"/>
          <w:sz w:val="24"/>
          <w:szCs w:val="24"/>
          <w:lang w:eastAsia="bg-BG"/>
        </w:rPr>
      </w:pPr>
      <w:r w:rsidRPr="00EF75B1">
        <w:rPr>
          <w:rFonts w:eastAsia="Times New Roman" w:cs="Arial"/>
          <w:b/>
          <w:bCs/>
          <w:color w:val="000000"/>
          <w:lang w:eastAsia="bg-BG"/>
        </w:rPr>
        <w:t>Дозиране при пациенти с бъбречна недостатъчност</w:t>
      </w:r>
    </w:p>
    <w:tbl>
      <w:tblPr>
        <w:tblStyle w:val="TableGrid"/>
        <w:tblW w:w="0" w:type="auto"/>
        <w:tblLook w:val="04A0" w:firstRow="1" w:lastRow="0" w:firstColumn="1" w:lastColumn="0" w:noHBand="0" w:noVBand="1"/>
      </w:tblPr>
      <w:tblGrid>
        <w:gridCol w:w="4681"/>
        <w:gridCol w:w="4669"/>
      </w:tblGrid>
      <w:tr w:rsidR="00EF75B1" w14:paraId="13DE15E7" w14:textId="77777777" w:rsidTr="00EF75B1">
        <w:tc>
          <w:tcPr>
            <w:tcW w:w="4750" w:type="dxa"/>
          </w:tcPr>
          <w:p w14:paraId="04517C4C" w14:textId="1DEFFDBD" w:rsidR="00EF75B1" w:rsidRDefault="00EF75B1" w:rsidP="00EF75B1">
            <w:r>
              <w:rPr>
                <w:rFonts w:cs="Arial"/>
                <w:b/>
                <w:bCs/>
              </w:rPr>
              <w:t xml:space="preserve">Креатининов клирънс </w:t>
            </w:r>
            <w:r>
              <w:rPr>
                <w:rFonts w:cs="Arial"/>
                <w:b/>
                <w:bCs/>
                <w:lang w:val="en-US"/>
              </w:rPr>
              <w:t>(ml/min)</w:t>
            </w:r>
          </w:p>
        </w:tc>
        <w:tc>
          <w:tcPr>
            <w:tcW w:w="4750" w:type="dxa"/>
          </w:tcPr>
          <w:p w14:paraId="451A0FD4" w14:textId="1AE60504" w:rsidR="00EF75B1" w:rsidRDefault="00EF75B1" w:rsidP="00EF75B1">
            <w:r>
              <w:rPr>
                <w:rFonts w:cs="Arial"/>
                <w:b/>
                <w:bCs/>
              </w:rPr>
              <w:t xml:space="preserve">Начална доза </w:t>
            </w:r>
            <w:r>
              <w:rPr>
                <w:rFonts w:cs="Arial"/>
                <w:b/>
                <w:bCs/>
                <w:lang w:val="en-US"/>
              </w:rPr>
              <w:t>(mg</w:t>
            </w:r>
            <w:r>
              <w:rPr>
                <w:rFonts w:cs="Arial"/>
                <w:b/>
                <w:bCs/>
              </w:rPr>
              <w:t>/ден)</w:t>
            </w:r>
          </w:p>
        </w:tc>
      </w:tr>
      <w:tr w:rsidR="00EF75B1" w14:paraId="651097D3" w14:textId="77777777" w:rsidTr="00EF75B1">
        <w:tc>
          <w:tcPr>
            <w:tcW w:w="4750" w:type="dxa"/>
          </w:tcPr>
          <w:p w14:paraId="49FB093F" w14:textId="055B3DA1" w:rsidR="00EF75B1" w:rsidRDefault="00EF75B1" w:rsidP="00EF75B1">
            <w:r>
              <w:rPr>
                <w:rFonts w:cs="Arial"/>
              </w:rPr>
              <w:t xml:space="preserve">По-малко от 10 </w:t>
            </w:r>
            <w:r>
              <w:rPr>
                <w:rFonts w:cs="Arial"/>
                <w:lang w:val="en-US"/>
              </w:rPr>
              <w:t xml:space="preserve">ml/min </w:t>
            </w:r>
            <w:r>
              <w:rPr>
                <w:rFonts w:cs="Arial"/>
              </w:rPr>
              <w:t>(включително пациенти надиализа)</w:t>
            </w:r>
          </w:p>
        </w:tc>
        <w:tc>
          <w:tcPr>
            <w:tcW w:w="4750" w:type="dxa"/>
          </w:tcPr>
          <w:p w14:paraId="3E9E96EB" w14:textId="1857EE6E" w:rsidR="00EF75B1" w:rsidRDefault="00EF75B1" w:rsidP="00EF75B1">
            <w:r>
              <w:rPr>
                <w:rFonts w:cs="Arial"/>
              </w:rPr>
              <w:t xml:space="preserve">2,5 </w:t>
            </w:r>
            <w:r>
              <w:rPr>
                <w:rFonts w:cs="Arial"/>
                <w:lang w:val="en-US"/>
              </w:rPr>
              <w:t>mg*</w:t>
            </w:r>
          </w:p>
        </w:tc>
      </w:tr>
      <w:tr w:rsidR="00EF75B1" w14:paraId="4C2C3EF9" w14:textId="77777777" w:rsidTr="00EF75B1">
        <w:tc>
          <w:tcPr>
            <w:tcW w:w="4750" w:type="dxa"/>
          </w:tcPr>
          <w:p w14:paraId="489D6D6B" w14:textId="0062BA7F" w:rsidR="00EF75B1" w:rsidRDefault="00EF75B1" w:rsidP="00EF75B1">
            <w:r>
              <w:rPr>
                <w:rFonts w:cs="Arial"/>
              </w:rPr>
              <w:t xml:space="preserve">10 -30 </w:t>
            </w:r>
            <w:r>
              <w:rPr>
                <w:rFonts w:cs="Arial"/>
                <w:lang w:val="en-US"/>
              </w:rPr>
              <w:t>ml/min</w:t>
            </w:r>
          </w:p>
        </w:tc>
        <w:tc>
          <w:tcPr>
            <w:tcW w:w="4750" w:type="dxa"/>
          </w:tcPr>
          <w:p w14:paraId="5A7B6DB2" w14:textId="66994704" w:rsidR="00EF75B1" w:rsidRDefault="00EF75B1" w:rsidP="00EF75B1">
            <w:r>
              <w:rPr>
                <w:rFonts w:cs="Arial"/>
              </w:rPr>
              <w:t xml:space="preserve">2,5-5 </w:t>
            </w:r>
            <w:r>
              <w:rPr>
                <w:rFonts w:cs="Arial"/>
                <w:lang w:val="en-US"/>
              </w:rPr>
              <w:t>mg</w:t>
            </w:r>
          </w:p>
        </w:tc>
      </w:tr>
      <w:tr w:rsidR="00EF75B1" w14:paraId="382D3648" w14:textId="77777777" w:rsidTr="00EF75B1">
        <w:tc>
          <w:tcPr>
            <w:tcW w:w="4750" w:type="dxa"/>
          </w:tcPr>
          <w:p w14:paraId="5878B338" w14:textId="21465D17" w:rsidR="00EF75B1" w:rsidRDefault="00EF75B1" w:rsidP="00EF75B1">
            <w:r>
              <w:rPr>
                <w:rFonts w:cs="Arial"/>
              </w:rPr>
              <w:t xml:space="preserve">31-80 </w:t>
            </w:r>
            <w:r>
              <w:rPr>
                <w:rFonts w:cs="Arial"/>
                <w:lang w:val="en-US"/>
              </w:rPr>
              <w:t>ml/min</w:t>
            </w:r>
          </w:p>
        </w:tc>
        <w:tc>
          <w:tcPr>
            <w:tcW w:w="4750" w:type="dxa"/>
          </w:tcPr>
          <w:p w14:paraId="2980403D" w14:textId="236E0E27" w:rsidR="00EF75B1" w:rsidRDefault="00EF75B1" w:rsidP="00EF75B1">
            <w:r>
              <w:rPr>
                <w:rFonts w:cs="Arial"/>
              </w:rPr>
              <w:t xml:space="preserve">5- 10 </w:t>
            </w:r>
            <w:r>
              <w:rPr>
                <w:rFonts w:cs="Arial"/>
                <w:lang w:val="en-US"/>
              </w:rPr>
              <w:t>mg</w:t>
            </w:r>
          </w:p>
        </w:tc>
      </w:tr>
    </w:tbl>
    <w:p w14:paraId="4443774D"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Дозировката и/или честотата на приложение трябва да бъдат определени в зависимост от повлияването на кръвното налягане.</w:t>
      </w:r>
    </w:p>
    <w:p w14:paraId="6B44A434"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Дозировката може да бъде повишавана докато се постигне адекватен контрол на кръвното налягане или докато бъде достигнат максимум от 40 </w:t>
      </w:r>
      <w:r w:rsidRPr="00EF75B1">
        <w:rPr>
          <w:rFonts w:eastAsia="Times New Roman" w:cs="Arial"/>
          <w:color w:val="000000"/>
          <w:lang w:val="en-US"/>
        </w:rPr>
        <w:t xml:space="preserve">mg </w:t>
      </w:r>
      <w:r w:rsidRPr="00EF75B1">
        <w:rPr>
          <w:rFonts w:eastAsia="Times New Roman" w:cs="Arial"/>
          <w:color w:val="000000"/>
          <w:lang w:eastAsia="bg-BG"/>
        </w:rPr>
        <w:t>лизиноприл дневно.</w:t>
      </w:r>
    </w:p>
    <w:p w14:paraId="00539F15" w14:textId="77777777" w:rsidR="00EF75B1" w:rsidRDefault="00EF75B1" w:rsidP="00EF75B1">
      <w:pPr>
        <w:spacing w:line="240" w:lineRule="auto"/>
        <w:rPr>
          <w:rFonts w:eastAsia="Times New Roman" w:cs="Arial"/>
          <w:color w:val="000000"/>
          <w:lang w:eastAsia="bg-BG"/>
        </w:rPr>
      </w:pPr>
    </w:p>
    <w:p w14:paraId="435C59EC" w14:textId="622353D3"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Употреба при педиатрични пациенти на възраст на възраст от 6 до 16 години Препоръчителната начална доза е 2,5 </w:t>
      </w:r>
      <w:r w:rsidRPr="00EF75B1">
        <w:rPr>
          <w:rFonts w:eastAsia="Times New Roman" w:cs="Arial"/>
          <w:color w:val="000000"/>
          <w:lang w:val="en-US"/>
        </w:rPr>
        <w:t xml:space="preserve">mg </w:t>
      </w:r>
      <w:r w:rsidRPr="00EF75B1">
        <w:rPr>
          <w:rFonts w:eastAsia="Times New Roman" w:cs="Arial"/>
          <w:color w:val="000000"/>
          <w:lang w:eastAsia="bg-BG"/>
        </w:rPr>
        <w:t xml:space="preserve">еднократно дневно при пациенти с телесно </w:t>
      </w:r>
      <w:r w:rsidRPr="00EF75B1">
        <w:rPr>
          <w:rFonts w:eastAsia="Times New Roman" w:cs="Arial"/>
          <w:color w:val="000000"/>
          <w:lang w:eastAsia="bg-BG"/>
        </w:rPr>
        <w:lastRenderedPageBreak/>
        <w:t xml:space="preserve">тегло между 20 </w:t>
      </w:r>
      <w:r w:rsidRPr="00EF75B1">
        <w:rPr>
          <w:rFonts w:eastAsia="Times New Roman" w:cs="Arial"/>
          <w:color w:val="000000"/>
          <w:lang w:val="en-US"/>
        </w:rPr>
        <w:t xml:space="preserve">kg </w:t>
      </w:r>
      <w:r w:rsidRPr="00EF75B1">
        <w:rPr>
          <w:rFonts w:eastAsia="Times New Roman" w:cs="Arial"/>
          <w:color w:val="000000"/>
          <w:lang w:eastAsia="bg-BG"/>
        </w:rPr>
        <w:t xml:space="preserve">и 50 </w:t>
      </w:r>
      <w:r w:rsidRPr="00EF75B1">
        <w:rPr>
          <w:rFonts w:eastAsia="Times New Roman" w:cs="Arial"/>
          <w:color w:val="000000"/>
          <w:lang w:val="en-US"/>
        </w:rPr>
        <w:t xml:space="preserve">kg </w:t>
      </w:r>
      <w:r w:rsidRPr="00EF75B1">
        <w:rPr>
          <w:rFonts w:eastAsia="Times New Roman" w:cs="Arial"/>
          <w:color w:val="000000"/>
          <w:lang w:eastAsia="bg-BG"/>
        </w:rPr>
        <w:t xml:space="preserve">и 5 </w:t>
      </w:r>
      <w:r w:rsidRPr="00EF75B1">
        <w:rPr>
          <w:rFonts w:eastAsia="Times New Roman" w:cs="Arial"/>
          <w:color w:val="000000"/>
          <w:lang w:val="en-US"/>
        </w:rPr>
        <w:t xml:space="preserve">mg </w:t>
      </w:r>
      <w:r w:rsidRPr="00EF75B1">
        <w:rPr>
          <w:rFonts w:eastAsia="Times New Roman" w:cs="Arial"/>
          <w:color w:val="000000"/>
          <w:lang w:eastAsia="bg-BG"/>
        </w:rPr>
        <w:t xml:space="preserve">еднократно дневно при пациенти с телесно тегло ≥ 50 </w:t>
      </w:r>
      <w:r w:rsidRPr="00EF75B1">
        <w:rPr>
          <w:rFonts w:eastAsia="Times New Roman" w:cs="Arial"/>
          <w:color w:val="000000"/>
          <w:lang w:val="en-US"/>
        </w:rPr>
        <w:t xml:space="preserve">kg. </w:t>
      </w:r>
      <w:r w:rsidRPr="00EF75B1">
        <w:rPr>
          <w:rFonts w:eastAsia="Times New Roman" w:cs="Arial"/>
          <w:color w:val="000000"/>
          <w:lang w:eastAsia="bg-BG"/>
        </w:rPr>
        <w:t xml:space="preserve">Дозата трябва да се адаптира индивидуално до максимална доза от 20 </w:t>
      </w:r>
      <w:r w:rsidRPr="00EF75B1">
        <w:rPr>
          <w:rFonts w:eastAsia="Times New Roman" w:cs="Arial"/>
          <w:color w:val="000000"/>
          <w:lang w:val="en-US"/>
        </w:rPr>
        <w:t xml:space="preserve">mg </w:t>
      </w:r>
      <w:r w:rsidRPr="00EF75B1">
        <w:rPr>
          <w:rFonts w:eastAsia="Times New Roman" w:cs="Arial"/>
          <w:color w:val="000000"/>
          <w:lang w:eastAsia="bg-BG"/>
        </w:rPr>
        <w:t xml:space="preserve">дневно при пациенти с телесно тегло между 20 </w:t>
      </w:r>
      <w:r w:rsidRPr="00EF75B1">
        <w:rPr>
          <w:rFonts w:eastAsia="Times New Roman" w:cs="Arial"/>
          <w:color w:val="000000"/>
          <w:lang w:val="en-US"/>
        </w:rPr>
        <w:t xml:space="preserve">kg </w:t>
      </w:r>
      <w:r w:rsidRPr="00EF75B1">
        <w:rPr>
          <w:rFonts w:eastAsia="Times New Roman" w:cs="Arial"/>
          <w:color w:val="000000"/>
          <w:lang w:eastAsia="bg-BG"/>
        </w:rPr>
        <w:t xml:space="preserve">и 50 </w:t>
      </w:r>
      <w:r w:rsidRPr="00EF75B1">
        <w:rPr>
          <w:rFonts w:eastAsia="Times New Roman" w:cs="Arial"/>
          <w:color w:val="000000"/>
          <w:lang w:val="en-US"/>
        </w:rPr>
        <w:t xml:space="preserve">kg </w:t>
      </w:r>
      <w:r w:rsidRPr="00EF75B1">
        <w:rPr>
          <w:rFonts w:eastAsia="Times New Roman" w:cs="Arial"/>
          <w:color w:val="000000"/>
          <w:lang w:eastAsia="bg-BG"/>
        </w:rPr>
        <w:t xml:space="preserve">и до 40 </w:t>
      </w:r>
      <w:r w:rsidRPr="00EF75B1">
        <w:rPr>
          <w:rFonts w:eastAsia="Times New Roman" w:cs="Arial"/>
          <w:color w:val="000000"/>
          <w:lang w:val="en-US"/>
        </w:rPr>
        <w:t xml:space="preserve">mg </w:t>
      </w:r>
      <w:r w:rsidRPr="00EF75B1">
        <w:rPr>
          <w:rFonts w:eastAsia="Times New Roman" w:cs="Arial"/>
          <w:color w:val="000000"/>
          <w:lang w:eastAsia="bg-BG"/>
        </w:rPr>
        <w:t xml:space="preserve">при пациенти с телесно тегло ≥50 </w:t>
      </w:r>
      <w:r w:rsidRPr="00EF75B1">
        <w:rPr>
          <w:rFonts w:eastAsia="Times New Roman" w:cs="Arial"/>
          <w:color w:val="000000"/>
          <w:lang w:val="en-US"/>
        </w:rPr>
        <w:t xml:space="preserve">kg. </w:t>
      </w:r>
      <w:r w:rsidRPr="00EF75B1">
        <w:rPr>
          <w:rFonts w:eastAsia="Times New Roman" w:cs="Arial"/>
          <w:color w:val="000000"/>
          <w:lang w:eastAsia="bg-BG"/>
        </w:rPr>
        <w:t xml:space="preserve">Дози по- високи от 0,61 </w:t>
      </w:r>
      <w:r w:rsidRPr="00EF75B1">
        <w:rPr>
          <w:rFonts w:eastAsia="Times New Roman" w:cs="Arial"/>
          <w:color w:val="000000"/>
          <w:lang w:val="en-US"/>
        </w:rPr>
        <w:t xml:space="preserve">mg /kg </w:t>
      </w:r>
      <w:r w:rsidRPr="00EF75B1">
        <w:rPr>
          <w:rFonts w:eastAsia="Times New Roman" w:cs="Arial"/>
          <w:color w:val="000000"/>
          <w:lang w:eastAsia="bg-BG"/>
        </w:rPr>
        <w:t xml:space="preserve">(или по-високи от 40 </w:t>
      </w:r>
      <w:r w:rsidRPr="00EF75B1">
        <w:rPr>
          <w:rFonts w:eastAsia="Times New Roman" w:cs="Arial"/>
          <w:color w:val="000000"/>
          <w:lang w:val="en-US"/>
        </w:rPr>
        <w:t xml:space="preserve">mg </w:t>
      </w:r>
      <w:r w:rsidRPr="00EF75B1">
        <w:rPr>
          <w:rFonts w:eastAsia="Times New Roman" w:cs="Arial"/>
          <w:color w:val="000000"/>
          <w:lang w:eastAsia="bg-BG"/>
        </w:rPr>
        <w:t>дневно) не са проучвани при педиатрични пациенти (вижте точка 5.1).</w:t>
      </w:r>
    </w:p>
    <w:p w14:paraId="6ABA1678" w14:textId="77777777" w:rsidR="00EF75B1" w:rsidRDefault="00EF75B1" w:rsidP="00EF75B1">
      <w:pPr>
        <w:spacing w:line="240" w:lineRule="auto"/>
        <w:rPr>
          <w:rFonts w:eastAsia="Times New Roman" w:cs="Arial"/>
          <w:color w:val="000000"/>
          <w:lang w:eastAsia="bg-BG"/>
        </w:rPr>
      </w:pPr>
    </w:p>
    <w:p w14:paraId="48F29677" w14:textId="230AA71F"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При деца с увредена бъбречната функция трябва да се прилага по-ниска начална доза или да се удължи интервала между две дози.</w:t>
      </w:r>
    </w:p>
    <w:p w14:paraId="2492551B" w14:textId="77777777" w:rsidR="00EF75B1" w:rsidRDefault="00EF75B1" w:rsidP="00EF75B1">
      <w:pPr>
        <w:spacing w:line="240" w:lineRule="auto"/>
        <w:rPr>
          <w:rFonts w:eastAsia="Times New Roman" w:cs="Arial"/>
          <w:i/>
          <w:iCs/>
          <w:color w:val="000000"/>
          <w:lang w:eastAsia="bg-BG"/>
        </w:rPr>
      </w:pPr>
    </w:p>
    <w:p w14:paraId="1D832401" w14:textId="7FFCE962"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Сърдечна недостатъчност</w:t>
      </w:r>
    </w:p>
    <w:p w14:paraId="4B090CDC"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При пациенти със сърдечна недостатъчност, Витоприл може да се предписва като допълнение към лечението с диуретици и когато е необходимо дигиталис или бета-блокери. Лечението може да започне с начална доза от 2,5 </w:t>
      </w:r>
      <w:r w:rsidRPr="00EF75B1">
        <w:rPr>
          <w:rFonts w:eastAsia="Times New Roman" w:cs="Arial"/>
          <w:color w:val="000000"/>
          <w:lang w:val="en-US"/>
        </w:rPr>
        <w:t xml:space="preserve">mg </w:t>
      </w:r>
      <w:r w:rsidRPr="00EF75B1">
        <w:rPr>
          <w:rFonts w:eastAsia="Times New Roman" w:cs="Arial"/>
          <w:color w:val="000000"/>
          <w:lang w:eastAsia="bg-BG"/>
        </w:rPr>
        <w:t>витоприл, един път дневно, като трябва да се осъществява под лекарски контрол, за да бъде проследен ефектът върху кръвното налягане; Повишаването на дозата трябва да става:</w:t>
      </w:r>
    </w:p>
    <w:p w14:paraId="764191A8" w14:textId="77777777" w:rsidR="00EF75B1" w:rsidRPr="00EF75B1" w:rsidRDefault="00EF75B1" w:rsidP="00EF75B1">
      <w:pPr>
        <w:pStyle w:val="ListParagraph"/>
        <w:numPr>
          <w:ilvl w:val="0"/>
          <w:numId w:val="40"/>
        </w:num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чрез повишаване, не по-голямо от 10 </w:t>
      </w:r>
      <w:r w:rsidRPr="00EF75B1">
        <w:rPr>
          <w:rFonts w:eastAsia="Times New Roman" w:cs="Arial"/>
          <w:color w:val="000000"/>
          <w:lang w:val="en-US"/>
        </w:rPr>
        <w:t>mg;</w:t>
      </w:r>
    </w:p>
    <w:p w14:paraId="162870A4" w14:textId="77777777" w:rsidR="00EF75B1" w:rsidRPr="00EF75B1" w:rsidRDefault="00EF75B1" w:rsidP="00EF75B1">
      <w:pPr>
        <w:pStyle w:val="ListParagraph"/>
        <w:numPr>
          <w:ilvl w:val="0"/>
          <w:numId w:val="40"/>
        </w:num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на интервали, не по-малки от 2 седмици;</w:t>
      </w:r>
    </w:p>
    <w:p w14:paraId="38C88CBF" w14:textId="678FE3F1" w:rsidR="00EF75B1" w:rsidRPr="00EF75B1" w:rsidRDefault="00EF75B1" w:rsidP="00EF75B1">
      <w:pPr>
        <w:pStyle w:val="ListParagraph"/>
        <w:numPr>
          <w:ilvl w:val="0"/>
          <w:numId w:val="40"/>
        </w:num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до най-високата, поносима от пациента доза, до максимална доза от 35</w:t>
      </w:r>
      <w:r w:rsidRPr="00EF75B1">
        <w:rPr>
          <w:rFonts w:eastAsia="Times New Roman" w:cs="Arial"/>
          <w:color w:val="000000"/>
          <w:lang w:val="en-US"/>
        </w:rPr>
        <w:t xml:space="preserve">mg </w:t>
      </w:r>
      <w:r w:rsidRPr="00EF75B1">
        <w:rPr>
          <w:rFonts w:eastAsia="Times New Roman" w:cs="Arial"/>
          <w:color w:val="000000"/>
          <w:lang w:eastAsia="bg-BG"/>
        </w:rPr>
        <w:t>лизиноприл дневно.</w:t>
      </w:r>
    </w:p>
    <w:p w14:paraId="273EF480" w14:textId="2876001F" w:rsidR="00EF75B1" w:rsidRDefault="00EF75B1" w:rsidP="00EF75B1"/>
    <w:p w14:paraId="376F6E5D"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Дозирането трябва да е съобразено с индивидуалния клиничен отговор на пациента. При пациенти с висок риск от симптоматична хипотония, например пациенти с недостиг на соли, с или без хипонатриемия, пациенти с хиповолемия или пациенти, приемащи салидиуретик, ако е възможно, тези нарушения трябва да бъдат коригирани преди започване на лечение с витоприл. Трябва да бъдат проследявани бъбречната функция и нивата на серумния калий (виж т. 4.4).</w:t>
      </w:r>
    </w:p>
    <w:p w14:paraId="53CE116D" w14:textId="77777777" w:rsidR="00EF75B1" w:rsidRDefault="00EF75B1" w:rsidP="00EF75B1">
      <w:pPr>
        <w:spacing w:line="240" w:lineRule="auto"/>
        <w:rPr>
          <w:rFonts w:eastAsia="Times New Roman" w:cs="Arial"/>
          <w:i/>
          <w:iCs/>
          <w:color w:val="000000"/>
          <w:lang w:eastAsia="bg-BG"/>
        </w:rPr>
      </w:pPr>
    </w:p>
    <w:p w14:paraId="48E9B55C" w14:textId="013E72FD"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Остър инфаркт на миокарда</w:t>
      </w:r>
    </w:p>
    <w:p w14:paraId="48DF6084"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Пациентите трябва да получават съответната стандартна препоръчителна терапия с тромболитици, аспирин и бета-блокери. Възможно е едновременно интравенозно или трансдермалио приложение на глицерил тринитрат (нитроглицерин) и Витоприл.</w:t>
      </w:r>
    </w:p>
    <w:p w14:paraId="36A7303D" w14:textId="77777777" w:rsidR="00EF75B1" w:rsidRDefault="00EF75B1" w:rsidP="00EF75B1">
      <w:pPr>
        <w:spacing w:line="240" w:lineRule="auto"/>
        <w:rPr>
          <w:rFonts w:eastAsia="Times New Roman" w:cs="Arial"/>
          <w:i/>
          <w:iCs/>
          <w:color w:val="000000"/>
          <w:lang w:eastAsia="bg-BG"/>
        </w:rPr>
      </w:pPr>
    </w:p>
    <w:p w14:paraId="3C86767A" w14:textId="653B7FEA"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Начална доза (през първите 3 дни след инфаркта)</w:t>
      </w:r>
    </w:p>
    <w:p w14:paraId="0D7C0DF3"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Лечението с Витоприл трябва да започне до 24 часа след появата на първите симптоми. Лечението не трябва да бъде стартирано при систолично кръвно налягане, по-ниско от 100 </w:t>
      </w:r>
      <w:r w:rsidRPr="00EF75B1">
        <w:rPr>
          <w:rFonts w:eastAsia="Times New Roman" w:cs="Arial"/>
          <w:color w:val="000000"/>
          <w:lang w:val="en-US"/>
        </w:rPr>
        <w:t xml:space="preserve">mmHg. </w:t>
      </w:r>
      <w:r w:rsidRPr="00EF75B1">
        <w:rPr>
          <w:rFonts w:eastAsia="Times New Roman" w:cs="Arial"/>
          <w:color w:val="000000"/>
          <w:lang w:eastAsia="bg-BG"/>
        </w:rPr>
        <w:t xml:space="preserve">Началната доза от 5 </w:t>
      </w:r>
      <w:r w:rsidRPr="00EF75B1">
        <w:rPr>
          <w:rFonts w:eastAsia="Times New Roman" w:cs="Arial"/>
          <w:color w:val="000000"/>
          <w:lang w:val="en-US"/>
        </w:rPr>
        <w:t xml:space="preserve">mg </w:t>
      </w:r>
      <w:r w:rsidRPr="00EF75B1">
        <w:rPr>
          <w:rFonts w:eastAsia="Times New Roman" w:cs="Arial"/>
          <w:color w:val="000000"/>
          <w:lang w:eastAsia="bg-BG"/>
        </w:rPr>
        <w:t xml:space="preserve">витоприл се последва от 5 </w:t>
      </w:r>
      <w:r w:rsidRPr="00EF75B1">
        <w:rPr>
          <w:rFonts w:eastAsia="Times New Roman" w:cs="Arial"/>
          <w:color w:val="000000"/>
          <w:lang w:val="en-US"/>
        </w:rPr>
        <w:t xml:space="preserve">mg </w:t>
      </w:r>
      <w:r w:rsidRPr="00EF75B1">
        <w:rPr>
          <w:rFonts w:eastAsia="Times New Roman" w:cs="Arial"/>
          <w:color w:val="000000"/>
          <w:lang w:eastAsia="bg-BG"/>
        </w:rPr>
        <w:t xml:space="preserve">след 24 часа и от 10 </w:t>
      </w:r>
      <w:r w:rsidRPr="00EF75B1">
        <w:rPr>
          <w:rFonts w:eastAsia="Times New Roman" w:cs="Arial"/>
          <w:color w:val="000000"/>
          <w:lang w:val="en-US"/>
        </w:rPr>
        <w:t xml:space="preserve">mg </w:t>
      </w:r>
      <w:r w:rsidRPr="00EF75B1">
        <w:rPr>
          <w:rFonts w:eastAsia="Times New Roman" w:cs="Arial"/>
          <w:color w:val="000000"/>
          <w:lang w:eastAsia="bg-BG"/>
        </w:rPr>
        <w:t xml:space="preserve">след 48 часа. След това дозата е 10 </w:t>
      </w:r>
      <w:r w:rsidRPr="00EF75B1">
        <w:rPr>
          <w:rFonts w:eastAsia="Times New Roman" w:cs="Arial"/>
          <w:color w:val="000000"/>
          <w:lang w:val="en-US"/>
        </w:rPr>
        <w:t xml:space="preserve">mg </w:t>
      </w:r>
      <w:r w:rsidRPr="00EF75B1">
        <w:rPr>
          <w:rFonts w:eastAsia="Times New Roman" w:cs="Arial"/>
          <w:color w:val="000000"/>
          <w:lang w:eastAsia="bg-BG"/>
        </w:rPr>
        <w:t xml:space="preserve">на ден. Пациенти с ниско систолично налягане (&lt; 120 </w:t>
      </w:r>
      <w:r w:rsidRPr="00EF75B1">
        <w:rPr>
          <w:rFonts w:eastAsia="Times New Roman" w:cs="Arial"/>
          <w:color w:val="000000"/>
          <w:lang w:val="en-US"/>
        </w:rPr>
        <w:t xml:space="preserve">mmHg) </w:t>
      </w:r>
      <w:r w:rsidRPr="00EF75B1">
        <w:rPr>
          <w:rFonts w:eastAsia="Times New Roman" w:cs="Arial"/>
          <w:color w:val="000000"/>
          <w:lang w:eastAsia="bg-BG"/>
        </w:rPr>
        <w:t xml:space="preserve">в началото на лечението или през първите 3 дни след инфаркта трябва да получават по-ниска доза - 2,5 </w:t>
      </w:r>
      <w:r w:rsidRPr="00EF75B1">
        <w:rPr>
          <w:rFonts w:eastAsia="Times New Roman" w:cs="Arial"/>
          <w:color w:val="000000"/>
          <w:lang w:val="en-US"/>
        </w:rPr>
        <w:t xml:space="preserve">mg </w:t>
      </w:r>
      <w:r w:rsidRPr="00EF75B1">
        <w:rPr>
          <w:rFonts w:eastAsia="Times New Roman" w:cs="Arial"/>
          <w:color w:val="000000"/>
          <w:lang w:eastAsia="bg-BG"/>
        </w:rPr>
        <w:t>(виж т. 4.4).</w:t>
      </w:r>
    </w:p>
    <w:p w14:paraId="6B2FDEC5"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В случай на бъбречна недостатъчност (креатининов клирънс &lt; 80 </w:t>
      </w:r>
      <w:r w:rsidRPr="00EF75B1">
        <w:rPr>
          <w:rFonts w:eastAsia="Times New Roman" w:cs="Arial"/>
          <w:color w:val="000000"/>
          <w:lang w:val="en-US"/>
        </w:rPr>
        <w:t xml:space="preserve">ml/min), </w:t>
      </w:r>
      <w:r w:rsidRPr="00EF75B1">
        <w:rPr>
          <w:rFonts w:eastAsia="Times New Roman" w:cs="Arial"/>
          <w:color w:val="000000"/>
          <w:lang w:eastAsia="bg-BG"/>
        </w:rPr>
        <w:t>началната доза Витоприл трябва да бъде съобразена с креатининовия клирънс на пациента (виж таблица 1).</w:t>
      </w:r>
    </w:p>
    <w:p w14:paraId="68C4E96A" w14:textId="77777777" w:rsidR="00EF75B1" w:rsidRDefault="00EF75B1" w:rsidP="00EF75B1">
      <w:pPr>
        <w:spacing w:line="240" w:lineRule="auto"/>
        <w:rPr>
          <w:rFonts w:eastAsia="Times New Roman" w:cs="Arial"/>
          <w:i/>
          <w:iCs/>
          <w:color w:val="000000"/>
          <w:lang w:eastAsia="bg-BG"/>
        </w:rPr>
      </w:pPr>
    </w:p>
    <w:p w14:paraId="26820DF3" w14:textId="237F614F"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Поддържаща доза</w:t>
      </w:r>
    </w:p>
    <w:p w14:paraId="665DE9C8"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Поддържащата доза е 10 </w:t>
      </w:r>
      <w:r w:rsidRPr="00EF75B1">
        <w:rPr>
          <w:rFonts w:eastAsia="Times New Roman" w:cs="Arial"/>
          <w:color w:val="000000"/>
          <w:lang w:val="en-US"/>
        </w:rPr>
        <w:t xml:space="preserve">mg </w:t>
      </w:r>
      <w:r w:rsidRPr="00EF75B1">
        <w:rPr>
          <w:rFonts w:eastAsia="Times New Roman" w:cs="Arial"/>
          <w:color w:val="000000"/>
          <w:lang w:eastAsia="bg-BG"/>
        </w:rPr>
        <w:t xml:space="preserve">дневно. При пациенти с хипотония (систолично налягане по-ниско или равно на 100 </w:t>
      </w:r>
      <w:r w:rsidRPr="00EF75B1">
        <w:rPr>
          <w:rFonts w:eastAsia="Times New Roman" w:cs="Arial"/>
          <w:color w:val="000000"/>
          <w:lang w:val="en-US"/>
        </w:rPr>
        <w:t xml:space="preserve">mmHg) </w:t>
      </w:r>
      <w:r w:rsidRPr="00EF75B1">
        <w:rPr>
          <w:rFonts w:eastAsia="Times New Roman" w:cs="Arial"/>
          <w:color w:val="000000"/>
          <w:lang w:eastAsia="bg-BG"/>
        </w:rPr>
        <w:t xml:space="preserve">дневната поддържаща доза не трябва да превишава 5 </w:t>
      </w:r>
      <w:r w:rsidRPr="00EF75B1">
        <w:rPr>
          <w:rFonts w:eastAsia="Times New Roman" w:cs="Arial"/>
          <w:color w:val="000000"/>
          <w:lang w:val="en-US"/>
        </w:rPr>
        <w:t xml:space="preserve">mg </w:t>
      </w:r>
      <w:r w:rsidRPr="00EF75B1">
        <w:rPr>
          <w:rFonts w:eastAsia="Times New Roman" w:cs="Arial"/>
          <w:color w:val="000000"/>
          <w:lang w:eastAsia="bg-BG"/>
        </w:rPr>
        <w:t xml:space="preserve">или ако е необходимо може временно да се намали до 2,5 </w:t>
      </w:r>
      <w:r w:rsidRPr="00EF75B1">
        <w:rPr>
          <w:rFonts w:eastAsia="Times New Roman" w:cs="Arial"/>
          <w:color w:val="000000"/>
          <w:lang w:val="en-US"/>
        </w:rPr>
        <w:t xml:space="preserve">mg. </w:t>
      </w:r>
      <w:r w:rsidRPr="00EF75B1">
        <w:rPr>
          <w:rFonts w:eastAsia="Times New Roman" w:cs="Arial"/>
          <w:color w:val="000000"/>
          <w:lang w:eastAsia="bg-BG"/>
        </w:rPr>
        <w:t xml:space="preserve">Ако хипотонията продължи (систолично кръвно налягане по-ниско от 90 </w:t>
      </w:r>
      <w:r w:rsidRPr="00EF75B1">
        <w:rPr>
          <w:rFonts w:eastAsia="Times New Roman" w:cs="Arial"/>
          <w:color w:val="000000"/>
          <w:lang w:val="en-US"/>
        </w:rPr>
        <w:t xml:space="preserve">mmHg </w:t>
      </w:r>
      <w:r w:rsidRPr="00EF75B1">
        <w:rPr>
          <w:rFonts w:eastAsia="Times New Roman" w:cs="Arial"/>
          <w:color w:val="000000"/>
          <w:lang w:eastAsia="bg-BG"/>
        </w:rPr>
        <w:t>за повече от 1 час), приемът на витоприл трябва да се преустанови. Лечението трябва да продължи 6 седмици, след което пациентът трябва отново да бъде прегледан. Пациенти със симптоми на сърдечна недостатъчност трябва да продължат лечението с витоприл (вижт. 4.2).</w:t>
      </w:r>
    </w:p>
    <w:p w14:paraId="3BDE9AF0"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lastRenderedPageBreak/>
        <w:t>Бъбречни усложнения вследствие на диабет</w:t>
      </w:r>
    </w:p>
    <w:p w14:paraId="65EAB7A3"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При хипертоници с диабет тип 2 и начална нефропатия дозата е 10 </w:t>
      </w:r>
      <w:r w:rsidRPr="00EF75B1">
        <w:rPr>
          <w:rFonts w:eastAsia="Times New Roman" w:cs="Arial"/>
          <w:color w:val="000000"/>
          <w:lang w:val="en-US"/>
        </w:rPr>
        <w:t xml:space="preserve">mg </w:t>
      </w:r>
      <w:r w:rsidRPr="00EF75B1">
        <w:rPr>
          <w:rFonts w:eastAsia="Times New Roman" w:cs="Arial"/>
          <w:color w:val="000000"/>
          <w:lang w:eastAsia="bg-BG"/>
        </w:rPr>
        <w:t xml:space="preserve">витоприл дневно, която, ако е необходимо, може да бъде повишена до 20 </w:t>
      </w:r>
      <w:r w:rsidRPr="00EF75B1">
        <w:rPr>
          <w:rFonts w:eastAsia="Times New Roman" w:cs="Arial"/>
          <w:color w:val="000000"/>
          <w:lang w:val="en-US"/>
        </w:rPr>
        <w:t xml:space="preserve">mg </w:t>
      </w:r>
      <w:r w:rsidRPr="00EF75B1">
        <w:rPr>
          <w:rFonts w:eastAsia="Times New Roman" w:cs="Arial"/>
          <w:color w:val="000000"/>
          <w:lang w:eastAsia="bg-BG"/>
        </w:rPr>
        <w:t xml:space="preserve">дневно, за да се достигне диастолично налягане под 90 </w:t>
      </w:r>
      <w:r w:rsidRPr="00EF75B1">
        <w:rPr>
          <w:rFonts w:eastAsia="Times New Roman" w:cs="Arial"/>
          <w:color w:val="000000"/>
          <w:lang w:val="en-US"/>
        </w:rPr>
        <w:t xml:space="preserve">mmHg. </w:t>
      </w:r>
      <w:r w:rsidRPr="00EF75B1">
        <w:rPr>
          <w:rFonts w:eastAsia="Times New Roman" w:cs="Arial"/>
          <w:color w:val="000000"/>
          <w:lang w:eastAsia="bg-BG"/>
        </w:rPr>
        <w:t xml:space="preserve">В случаите на бъбречна недостатъчност (креатининов клирънс &lt; 80 </w:t>
      </w:r>
      <w:r w:rsidRPr="00EF75B1">
        <w:rPr>
          <w:rFonts w:eastAsia="Times New Roman" w:cs="Arial"/>
          <w:color w:val="000000"/>
          <w:lang w:val="en-US"/>
        </w:rPr>
        <w:t xml:space="preserve">ml/min), </w:t>
      </w:r>
      <w:r w:rsidRPr="00EF75B1">
        <w:rPr>
          <w:rFonts w:eastAsia="Times New Roman" w:cs="Arial"/>
          <w:color w:val="000000"/>
          <w:lang w:eastAsia="bg-BG"/>
        </w:rPr>
        <w:t>началната доза витоприл трябва да бъде съобразена с креатининовия клирънс на пациента (виж таблица 1).</w:t>
      </w:r>
    </w:p>
    <w:p w14:paraId="5E5E7D11" w14:textId="77777777" w:rsidR="00EF75B1" w:rsidRDefault="00EF75B1" w:rsidP="00EF75B1">
      <w:pPr>
        <w:spacing w:line="240" w:lineRule="auto"/>
        <w:rPr>
          <w:rFonts w:eastAsia="Times New Roman" w:cs="Arial"/>
          <w:i/>
          <w:iCs/>
          <w:color w:val="000000"/>
          <w:lang w:eastAsia="bg-BG"/>
        </w:rPr>
      </w:pPr>
    </w:p>
    <w:p w14:paraId="7893C8DF" w14:textId="46F27425"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Педиатрична популация</w:t>
      </w:r>
    </w:p>
    <w:p w14:paraId="588DF8FD"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Има опит по отношение на безопасността и ефикасността при деца над 6 годишна възраст само при лечение на артериална хипертония, но няма клиничен опит при останалите показания (вижте точка 5.1). Препоръчва се лечение на деца с лизиноприл само за хипертония, но не и за останалите терапевтични показания.</w:t>
      </w:r>
    </w:p>
    <w:p w14:paraId="5995E3FD"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Лизиноприл не се препоръчва при деца под 6-годишна възраст, или при деца с тежко бъбречно увреждане </w:t>
      </w:r>
      <w:r w:rsidRPr="00EF75B1">
        <w:rPr>
          <w:rFonts w:eastAsia="Times New Roman" w:cs="Arial"/>
          <w:color w:val="000000"/>
          <w:lang w:val="en-US"/>
        </w:rPr>
        <w:t xml:space="preserve">(GFR </w:t>
      </w:r>
      <w:r w:rsidRPr="00EF75B1">
        <w:rPr>
          <w:rFonts w:eastAsia="Times New Roman" w:cs="Arial"/>
          <w:color w:val="000000"/>
          <w:lang w:eastAsia="bg-BG"/>
        </w:rPr>
        <w:t xml:space="preserve">&lt;30 </w:t>
      </w:r>
      <w:r w:rsidRPr="00EF75B1">
        <w:rPr>
          <w:rFonts w:eastAsia="Times New Roman" w:cs="Arial"/>
          <w:color w:val="000000"/>
          <w:lang w:val="en-US"/>
        </w:rPr>
        <w:t>ml/min/</w:t>
      </w:r>
      <w:r w:rsidRPr="00EF75B1">
        <w:rPr>
          <w:rFonts w:eastAsia="Times New Roman" w:cs="Arial"/>
          <w:color w:val="000000"/>
          <w:lang w:eastAsia="bg-BG"/>
        </w:rPr>
        <w:t xml:space="preserve">1,72 </w:t>
      </w:r>
      <w:r w:rsidRPr="00EF75B1">
        <w:rPr>
          <w:rFonts w:eastAsia="Times New Roman" w:cs="Arial"/>
          <w:color w:val="000000"/>
          <w:lang w:val="en-US"/>
        </w:rPr>
        <w:t>m</w:t>
      </w:r>
      <w:r w:rsidRPr="00EF75B1">
        <w:rPr>
          <w:rFonts w:eastAsia="Times New Roman" w:cs="Arial"/>
          <w:color w:val="000000"/>
          <w:vertAlign w:val="superscript"/>
          <w:lang w:val="en-US"/>
        </w:rPr>
        <w:t>2</w:t>
      </w:r>
      <w:r w:rsidRPr="00EF75B1">
        <w:rPr>
          <w:rFonts w:eastAsia="Times New Roman" w:cs="Arial"/>
          <w:color w:val="000000"/>
          <w:lang w:val="en-US"/>
        </w:rPr>
        <w:t xml:space="preserve">) </w:t>
      </w:r>
      <w:r w:rsidRPr="00EF75B1">
        <w:rPr>
          <w:rFonts w:eastAsia="Times New Roman" w:cs="Arial"/>
          <w:color w:val="000000"/>
          <w:lang w:eastAsia="bg-BG"/>
        </w:rPr>
        <w:t>(вижте точка 5.2)</w:t>
      </w:r>
    </w:p>
    <w:p w14:paraId="574B123A" w14:textId="77777777" w:rsidR="00EF75B1" w:rsidRDefault="00EF75B1" w:rsidP="00EF75B1">
      <w:pPr>
        <w:spacing w:line="240" w:lineRule="auto"/>
        <w:rPr>
          <w:rFonts w:eastAsia="Times New Roman" w:cs="Arial"/>
          <w:i/>
          <w:iCs/>
          <w:color w:val="000000"/>
          <w:lang w:eastAsia="bg-BG"/>
        </w:rPr>
      </w:pPr>
    </w:p>
    <w:p w14:paraId="66585832" w14:textId="69F0D5E8"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Употреба от пациенти в старческа възраст</w:t>
      </w:r>
    </w:p>
    <w:p w14:paraId="663C5698"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Клиничните изследвания не са установили зависимост между възрастта на пациентите и ефикасността и безопасността на Витоприл. Като се има предвид, че старческата възраст се свързва с намалена бъбречна функция, трябва да се следват указанията в таблица 1, за да се определи началната доза витоприл при такива пациенти. След това дозировката трябва да бъде съобразена с повлияването на кръвното налягане.</w:t>
      </w:r>
    </w:p>
    <w:p w14:paraId="09553956" w14:textId="77777777" w:rsidR="00EF75B1" w:rsidRDefault="00EF75B1" w:rsidP="00EF75B1">
      <w:pPr>
        <w:spacing w:line="240" w:lineRule="auto"/>
        <w:rPr>
          <w:rFonts w:eastAsia="Times New Roman" w:cs="Arial"/>
          <w:i/>
          <w:iCs/>
          <w:color w:val="000000"/>
          <w:lang w:eastAsia="bg-BG"/>
        </w:rPr>
      </w:pPr>
    </w:p>
    <w:p w14:paraId="33D2FCA8" w14:textId="760718F4"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Употреба при пациенти с бъбречна трансплаптация</w:t>
      </w:r>
    </w:p>
    <w:p w14:paraId="4033810A"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Тъй като няма опит с приложението на Витоприл при пациенти със скорошна бъбречна трансплаптация, лечението им с това лекарство не се препоръчва.</w:t>
      </w:r>
    </w:p>
    <w:p w14:paraId="06CA971B" w14:textId="77777777" w:rsidR="00EF75B1" w:rsidRDefault="00EF75B1" w:rsidP="00EF75B1">
      <w:pPr>
        <w:spacing w:line="240" w:lineRule="auto"/>
        <w:rPr>
          <w:rFonts w:eastAsia="Times New Roman" w:cs="Arial"/>
          <w:b/>
          <w:bCs/>
          <w:i/>
          <w:iCs/>
          <w:color w:val="000000"/>
          <w:u w:val="single"/>
          <w:lang w:eastAsia="bg-BG"/>
        </w:rPr>
      </w:pPr>
    </w:p>
    <w:p w14:paraId="12EA2577" w14:textId="258552EA" w:rsidR="00EF75B1" w:rsidRPr="00EF75B1" w:rsidRDefault="00EF75B1" w:rsidP="00EF75B1">
      <w:pPr>
        <w:pStyle w:val="Heading3"/>
        <w:rPr>
          <w:rFonts w:ascii="Times New Roman" w:eastAsia="Times New Roman" w:hAnsi="Times New Roman" w:cs="Times New Roman"/>
          <w:b/>
          <w:bCs/>
          <w:i/>
          <w:iCs/>
          <w:u w:val="single"/>
          <w:lang w:eastAsia="bg-BG"/>
        </w:rPr>
      </w:pPr>
      <w:r w:rsidRPr="00EF75B1">
        <w:rPr>
          <w:rFonts w:eastAsia="Times New Roman"/>
          <w:b/>
          <w:bCs/>
          <w:i/>
          <w:iCs/>
          <w:u w:val="single"/>
          <w:lang w:eastAsia="bg-BG"/>
        </w:rPr>
        <w:t>Начин на приложение</w:t>
      </w:r>
    </w:p>
    <w:p w14:paraId="51EF761C" w14:textId="4EEC7237" w:rsidR="00EF75B1" w:rsidRDefault="00EF75B1" w:rsidP="00EF75B1">
      <w:pPr>
        <w:rPr>
          <w:rFonts w:cs="Arial"/>
        </w:rPr>
      </w:pPr>
      <w:r>
        <w:rPr>
          <w:rFonts w:cs="Arial"/>
        </w:rPr>
        <w:t>Перорално приложение.</w:t>
      </w:r>
    </w:p>
    <w:p w14:paraId="5FE68663" w14:textId="77777777" w:rsidR="00EF75B1" w:rsidRPr="00EF75B1" w:rsidRDefault="00EF75B1" w:rsidP="00EF75B1"/>
    <w:p w14:paraId="1BF2EFF4" w14:textId="438CF5E2" w:rsidR="001A6EBD" w:rsidRDefault="002C50EE" w:rsidP="00471F10">
      <w:pPr>
        <w:pStyle w:val="Heading2"/>
      </w:pPr>
      <w:r>
        <w:t>4.3. Противопоказания</w:t>
      </w:r>
    </w:p>
    <w:p w14:paraId="11C1B293" w14:textId="29BE7F13" w:rsidR="00EF75B1" w:rsidRDefault="00EF75B1" w:rsidP="00EF75B1"/>
    <w:p w14:paraId="76B3073C" w14:textId="77777777" w:rsidR="00EF75B1" w:rsidRDefault="00EF75B1" w:rsidP="00EF75B1">
      <w:pPr>
        <w:pStyle w:val="ListParagraph"/>
        <w:numPr>
          <w:ilvl w:val="0"/>
          <w:numId w:val="2"/>
        </w:numPr>
        <w:spacing w:line="240" w:lineRule="auto"/>
        <w:rPr>
          <w:rFonts w:eastAsia="Times New Roman" w:cs="Arial"/>
          <w:color w:val="000000"/>
          <w:lang w:eastAsia="bg-BG"/>
        </w:rPr>
      </w:pPr>
      <w:r w:rsidRPr="00EF75B1">
        <w:rPr>
          <w:rFonts w:eastAsia="Times New Roman" w:cs="Arial"/>
          <w:color w:val="000000"/>
          <w:lang w:eastAsia="bg-BG"/>
        </w:rPr>
        <w:t>Свръхчувствителност към витоприл, някое от помощните вещества, изброени в точка 6.1 или друг АСЕ-инхибитор.</w:t>
      </w:r>
    </w:p>
    <w:p w14:paraId="48ECC52B" w14:textId="77777777" w:rsidR="00EF75B1" w:rsidRDefault="00EF75B1" w:rsidP="00EF75B1">
      <w:pPr>
        <w:pStyle w:val="ListParagraph"/>
        <w:numPr>
          <w:ilvl w:val="0"/>
          <w:numId w:val="2"/>
        </w:numPr>
        <w:spacing w:line="240" w:lineRule="auto"/>
        <w:rPr>
          <w:rFonts w:eastAsia="Times New Roman" w:cs="Arial"/>
          <w:color w:val="000000"/>
          <w:lang w:eastAsia="bg-BG"/>
        </w:rPr>
      </w:pPr>
      <w:r w:rsidRPr="00EF75B1">
        <w:rPr>
          <w:rFonts w:eastAsia="Times New Roman" w:cs="Arial"/>
          <w:color w:val="000000"/>
          <w:lang w:eastAsia="bg-BG"/>
        </w:rPr>
        <w:t>Анамнеза за ангиоедем при предшестващо лечение с АСЕ- инхибитори,</w:t>
      </w:r>
    </w:p>
    <w:p w14:paraId="31BAC0DC" w14:textId="77777777" w:rsidR="00EF75B1" w:rsidRDefault="00EF75B1" w:rsidP="00EF75B1">
      <w:pPr>
        <w:pStyle w:val="ListParagraph"/>
        <w:numPr>
          <w:ilvl w:val="0"/>
          <w:numId w:val="2"/>
        </w:numPr>
        <w:spacing w:line="240" w:lineRule="auto"/>
        <w:rPr>
          <w:rFonts w:eastAsia="Times New Roman" w:cs="Arial"/>
          <w:color w:val="000000"/>
          <w:lang w:eastAsia="bg-BG"/>
        </w:rPr>
      </w:pPr>
      <w:r w:rsidRPr="00EF75B1">
        <w:rPr>
          <w:rFonts w:eastAsia="Times New Roman" w:cs="Arial"/>
          <w:color w:val="000000"/>
          <w:lang w:eastAsia="bg-BG"/>
        </w:rPr>
        <w:t>Хередитарен или идиопатичен ангиоедем.</w:t>
      </w:r>
    </w:p>
    <w:p w14:paraId="1E58375D" w14:textId="77777777" w:rsidR="00EF75B1" w:rsidRDefault="00EF75B1" w:rsidP="00EF75B1">
      <w:pPr>
        <w:pStyle w:val="ListParagraph"/>
        <w:numPr>
          <w:ilvl w:val="0"/>
          <w:numId w:val="2"/>
        </w:numPr>
        <w:spacing w:line="240" w:lineRule="auto"/>
        <w:rPr>
          <w:rFonts w:eastAsia="Times New Roman" w:cs="Arial"/>
          <w:color w:val="000000"/>
          <w:lang w:eastAsia="bg-BG"/>
        </w:rPr>
      </w:pPr>
      <w:r w:rsidRPr="00EF75B1">
        <w:rPr>
          <w:rFonts w:eastAsia="Times New Roman" w:cs="Arial"/>
          <w:color w:val="000000"/>
          <w:lang w:eastAsia="bg-BG"/>
        </w:rPr>
        <w:t>Втори или трети триместър от бременността (вижте точка 4.4 и т. 4.6).</w:t>
      </w:r>
    </w:p>
    <w:p w14:paraId="73714DBD" w14:textId="77777777" w:rsidR="00EF75B1" w:rsidRDefault="00EF75B1" w:rsidP="00EF75B1">
      <w:pPr>
        <w:pStyle w:val="ListParagraph"/>
        <w:numPr>
          <w:ilvl w:val="0"/>
          <w:numId w:val="2"/>
        </w:numPr>
        <w:spacing w:line="240" w:lineRule="auto"/>
        <w:rPr>
          <w:rFonts w:eastAsia="Times New Roman" w:cs="Arial"/>
          <w:color w:val="000000"/>
          <w:lang w:eastAsia="bg-BG"/>
        </w:rPr>
      </w:pPr>
      <w:r w:rsidRPr="00EF75B1">
        <w:rPr>
          <w:rFonts w:eastAsia="Times New Roman" w:cs="Arial"/>
          <w:color w:val="000000"/>
          <w:lang w:eastAsia="bg-BG"/>
        </w:rPr>
        <w:t xml:space="preserve">Едновременната употреба на Витоприл с алискирен-съдържащи продукти е противопоказана при пациенти със захарен диабет или бъбречно увреждане </w:t>
      </w:r>
      <w:r w:rsidRPr="00EF75B1">
        <w:rPr>
          <w:rFonts w:eastAsia="Times New Roman" w:cs="Arial"/>
          <w:color w:val="000000"/>
          <w:lang w:val="en-US"/>
        </w:rPr>
        <w:t xml:space="preserve">(GFR </w:t>
      </w:r>
      <w:r w:rsidRPr="00EF75B1">
        <w:rPr>
          <w:rFonts w:eastAsia="Times New Roman" w:cs="Arial"/>
          <w:color w:val="000000"/>
          <w:lang w:eastAsia="bg-BG"/>
        </w:rPr>
        <w:t xml:space="preserve">&lt; 60 </w:t>
      </w:r>
      <w:r w:rsidRPr="00EF75B1">
        <w:rPr>
          <w:rFonts w:eastAsia="Times New Roman" w:cs="Arial"/>
          <w:color w:val="000000"/>
          <w:lang w:val="en-US"/>
        </w:rPr>
        <w:t>ml/min/1,73 m</w:t>
      </w:r>
      <w:r w:rsidRPr="00EF75B1">
        <w:rPr>
          <w:rFonts w:eastAsia="Times New Roman" w:cs="Arial"/>
          <w:color w:val="000000"/>
          <w:vertAlign w:val="superscript"/>
          <w:lang w:eastAsia="bg-BG"/>
        </w:rPr>
        <w:t>2</w:t>
      </w:r>
      <w:r w:rsidRPr="00EF75B1">
        <w:rPr>
          <w:rFonts w:eastAsia="Times New Roman" w:cs="Arial"/>
          <w:color w:val="000000"/>
          <w:lang w:eastAsia="bg-BG"/>
        </w:rPr>
        <w:t>) (вж, точки 4.5 и 5.1);</w:t>
      </w:r>
    </w:p>
    <w:p w14:paraId="4268C4A2" w14:textId="095DED9D" w:rsidR="00EF75B1" w:rsidRPr="00EF75B1" w:rsidRDefault="00EF75B1" w:rsidP="00EF75B1">
      <w:pPr>
        <w:pStyle w:val="ListParagraph"/>
        <w:numPr>
          <w:ilvl w:val="0"/>
          <w:numId w:val="2"/>
        </w:numPr>
        <w:spacing w:line="240" w:lineRule="auto"/>
        <w:rPr>
          <w:rFonts w:eastAsia="Times New Roman" w:cs="Arial"/>
          <w:color w:val="000000"/>
          <w:lang w:eastAsia="bg-BG"/>
        </w:rPr>
      </w:pPr>
      <w:r w:rsidRPr="00EF75B1">
        <w:rPr>
          <w:rFonts w:eastAsia="Times New Roman" w:cs="Arial"/>
          <w:color w:val="000000"/>
          <w:lang w:eastAsia="bg-BG"/>
        </w:rPr>
        <w:t>Съпътстваща употреба при терапия със сакубитрил/валсартан. Лизиноприл не трябва да се започва по-рано от 36 часа след последната доза сакубитрил/валсартан (вж. също точки 4.4 и 4.5).</w:t>
      </w:r>
    </w:p>
    <w:p w14:paraId="0C1DC017" w14:textId="77777777" w:rsidR="00EF75B1" w:rsidRPr="00EF75B1" w:rsidRDefault="00EF75B1" w:rsidP="00EF75B1"/>
    <w:p w14:paraId="0C106098" w14:textId="5CC04438" w:rsidR="001A6EBD" w:rsidRDefault="002C50EE" w:rsidP="00471F10">
      <w:pPr>
        <w:pStyle w:val="Heading2"/>
      </w:pPr>
      <w:r>
        <w:t>4.4. Специални предупреждения и предпазни мерки при употреба</w:t>
      </w:r>
    </w:p>
    <w:p w14:paraId="5705FC39" w14:textId="1BA9F56B" w:rsidR="00EF75B1" w:rsidRDefault="00EF75B1" w:rsidP="00EF75B1"/>
    <w:p w14:paraId="46714079"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bookmarkStart w:id="1" w:name="bookmark0"/>
      <w:r w:rsidRPr="00EF75B1">
        <w:rPr>
          <w:rFonts w:eastAsia="Times New Roman" w:cs="Arial"/>
          <w:i/>
          <w:iCs/>
          <w:color w:val="000000"/>
          <w:lang w:eastAsia="bg-BG"/>
        </w:rPr>
        <w:t>Симптоматична хипотония</w:t>
      </w:r>
      <w:bookmarkEnd w:id="1"/>
    </w:p>
    <w:p w14:paraId="01C3386E"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Симптоматична хипотония се среща рядко при пациенти с неусложнена хипертония. Хипотонията е по-вероятна при дехидратирани пациенти или такива с електролитна </w:t>
      </w:r>
      <w:r w:rsidRPr="00EF75B1">
        <w:rPr>
          <w:rFonts w:eastAsia="Times New Roman" w:cs="Arial"/>
          <w:color w:val="000000"/>
          <w:lang w:eastAsia="bg-BG"/>
        </w:rPr>
        <w:lastRenderedPageBreak/>
        <w:t>недостатъчност, при лечение с диуретици, при диета с ограничен прием на сол, след диализа, при повръщане или диария или при пациенти с тежка ренин-зависима хипертония (виж т.4.5 и т. 4.8). Тази хипотония се съобщава главно при пациенти със значима сърдечна недостатъчност, придружена или не от бъбречна недостатъчност, при пациенти на терапия с бримкови диуретици във високи дози и при пациенти с хипонатриемия или функционална бъбречна недостатъчност. При пациенти с повишен риск от симптоматична хипотония в началото, лечението трябва да се извършва под постоянен лекарски контрол. Същото важи и за пациенти с исхемична болест на сърцето или мозъчно-съдова болест, при които прекомерното понижаване на кръвното налягане може да доведе до инфаркт на миокарда или мозъчно-съдов инцидент.</w:t>
      </w:r>
    </w:p>
    <w:p w14:paraId="3958789A"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При поява на хипотония, пациентът трябва да се постави в легнало положение и ако е необходимо да се приложи интравенозно физиологичен разтвор. Краткотраен хипотоничен отговор не е противопоказание за допълнителни дози, които могат да бъдат давани, обикновено без усложнения, щом кръвното налягане се повиши след увеличаване обема на течностите. При пациенти със сърдечна недостатъчност, с нормално или ниско кръвно налягане, може да се наблюдава допълнително понижаване на кръвното налягане след употребата на витоприл. Този ефект е предвидим и обикновено не е причина за преустановяване на лечението. Ако хипотонията стане симптоматична е необходимо дозата витоприл да бъде намалена или да се преустанови приемът.</w:t>
      </w:r>
    </w:p>
    <w:p w14:paraId="39213C5C" w14:textId="77777777" w:rsidR="00EF75B1" w:rsidRDefault="00EF75B1" w:rsidP="00EF75B1">
      <w:pPr>
        <w:spacing w:line="240" w:lineRule="auto"/>
        <w:rPr>
          <w:rFonts w:eastAsia="Times New Roman" w:cs="Arial"/>
          <w:i/>
          <w:iCs/>
          <w:color w:val="000000"/>
          <w:lang w:eastAsia="bg-BG"/>
        </w:rPr>
      </w:pPr>
    </w:p>
    <w:p w14:paraId="12177EF9" w14:textId="188B755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Хипотония при остър инфаркт на миокарда</w:t>
      </w:r>
    </w:p>
    <w:p w14:paraId="2A6EC477"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Не трябва да се започва лечение с витоприл при пациенти с остър инфаркт на миокарда, при които има риск от сериозно влошаване на хемодинамичното състояние след лечение с вазодилататор. Това се отнася за пациенти със систолично налягане, по-ниско от 100 </w:t>
      </w:r>
      <w:r w:rsidRPr="00EF75B1">
        <w:rPr>
          <w:rFonts w:eastAsia="Times New Roman" w:cs="Arial"/>
          <w:color w:val="000000"/>
          <w:lang w:val="en-US"/>
        </w:rPr>
        <w:t xml:space="preserve">mmHg </w:t>
      </w:r>
      <w:r w:rsidRPr="00EF75B1">
        <w:rPr>
          <w:rFonts w:eastAsia="Times New Roman" w:cs="Arial"/>
          <w:color w:val="000000"/>
          <w:lang w:eastAsia="bg-BG"/>
        </w:rPr>
        <w:t xml:space="preserve">или такива с кардиогенен шок. През първите 3 дни след инфаркта дозата трябва да бъде намалена, ако систоличното налягане е 120 </w:t>
      </w:r>
      <w:r w:rsidRPr="00EF75B1">
        <w:rPr>
          <w:rFonts w:eastAsia="Times New Roman" w:cs="Arial"/>
          <w:color w:val="000000"/>
          <w:lang w:val="en-US"/>
        </w:rPr>
        <w:t xml:space="preserve">mmHg </w:t>
      </w:r>
      <w:r w:rsidRPr="00EF75B1">
        <w:rPr>
          <w:rFonts w:eastAsia="Times New Roman" w:cs="Arial"/>
          <w:color w:val="000000"/>
          <w:lang w:eastAsia="bg-BG"/>
        </w:rPr>
        <w:t xml:space="preserve">или по-ниско. Поддържащата доза трябва да бъде намалена до 5 </w:t>
      </w:r>
      <w:r w:rsidRPr="00EF75B1">
        <w:rPr>
          <w:rFonts w:eastAsia="Times New Roman" w:cs="Arial"/>
          <w:color w:val="000000"/>
          <w:lang w:val="en-US"/>
        </w:rPr>
        <w:t xml:space="preserve">mg </w:t>
      </w:r>
      <w:r w:rsidRPr="00EF75B1">
        <w:rPr>
          <w:rFonts w:eastAsia="Times New Roman" w:cs="Arial"/>
          <w:color w:val="000000"/>
          <w:lang w:eastAsia="bg-BG"/>
        </w:rPr>
        <w:t xml:space="preserve">или временно до 2,5 </w:t>
      </w:r>
      <w:r w:rsidRPr="00EF75B1">
        <w:rPr>
          <w:rFonts w:eastAsia="Times New Roman" w:cs="Arial"/>
          <w:color w:val="000000"/>
          <w:lang w:val="en-US"/>
        </w:rPr>
        <w:t xml:space="preserve">mg, </w:t>
      </w:r>
      <w:r w:rsidRPr="00EF75B1">
        <w:rPr>
          <w:rFonts w:eastAsia="Times New Roman" w:cs="Arial"/>
          <w:color w:val="000000"/>
          <w:lang w:eastAsia="bg-BG"/>
        </w:rPr>
        <w:t xml:space="preserve">ако систоличното налягане е 100 </w:t>
      </w:r>
      <w:r w:rsidRPr="00EF75B1">
        <w:rPr>
          <w:rFonts w:eastAsia="Times New Roman" w:cs="Arial"/>
          <w:color w:val="000000"/>
          <w:lang w:val="en-US"/>
        </w:rPr>
        <w:t xml:space="preserve">mmHg </w:t>
      </w:r>
      <w:r w:rsidRPr="00EF75B1">
        <w:rPr>
          <w:rFonts w:eastAsia="Times New Roman" w:cs="Arial"/>
          <w:color w:val="000000"/>
          <w:lang w:eastAsia="bg-BG"/>
        </w:rPr>
        <w:t xml:space="preserve">или по- ниско. Ако хипотонията е постоянна (систолично налягане под 90 </w:t>
      </w:r>
      <w:r w:rsidRPr="00EF75B1">
        <w:rPr>
          <w:rFonts w:eastAsia="Times New Roman" w:cs="Arial"/>
          <w:color w:val="000000"/>
          <w:lang w:val="en-US"/>
        </w:rPr>
        <w:t xml:space="preserve">mmHg </w:t>
      </w:r>
      <w:r w:rsidRPr="00EF75B1">
        <w:rPr>
          <w:rFonts w:eastAsia="Times New Roman" w:cs="Arial"/>
          <w:color w:val="000000"/>
          <w:lang w:eastAsia="bg-BG"/>
        </w:rPr>
        <w:t>за повече от 1 час), лечението с Витоприл трябва да се преустанови.</w:t>
      </w:r>
    </w:p>
    <w:p w14:paraId="7673D0EF"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Аортна или митралиа стеноза /хипертрофична кардиомиопатия</w:t>
      </w:r>
    </w:p>
    <w:p w14:paraId="54235A82"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Както всички АСЕ-инхибитори, така и витоприл трябва да се прилага с повишено внимание при пациенти с митрална стеноза и.обструкция в изхода на лявата камера, като аортна стеноза или хипертрофична кардиомиопатия.</w:t>
      </w:r>
    </w:p>
    <w:p w14:paraId="0E1B48E1" w14:textId="77777777" w:rsidR="00EF75B1" w:rsidRDefault="00EF75B1" w:rsidP="00EF75B1">
      <w:pPr>
        <w:spacing w:line="240" w:lineRule="auto"/>
        <w:rPr>
          <w:rFonts w:eastAsia="Times New Roman" w:cs="Arial"/>
          <w:i/>
          <w:iCs/>
          <w:color w:val="000000"/>
          <w:lang w:eastAsia="bg-BG"/>
        </w:rPr>
      </w:pPr>
    </w:p>
    <w:p w14:paraId="6B540677" w14:textId="4B156046"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Бъбречна недостатъчност</w:t>
      </w:r>
    </w:p>
    <w:p w14:paraId="50612579" w14:textId="77777777" w:rsidR="00EF75B1" w:rsidRPr="00EF75B1" w:rsidRDefault="00EF75B1" w:rsidP="00EF75B1">
      <w:pPr>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При пациенти с бъбречна недостатъчност (креатининов клирънс &lt;80 </w:t>
      </w:r>
      <w:r w:rsidRPr="00EF75B1">
        <w:rPr>
          <w:rFonts w:eastAsia="Times New Roman" w:cs="Arial"/>
          <w:color w:val="000000"/>
          <w:lang w:val="en-US"/>
        </w:rPr>
        <w:t xml:space="preserve">ml/min), </w:t>
      </w:r>
      <w:r w:rsidRPr="00EF75B1">
        <w:rPr>
          <w:rFonts w:eastAsia="Times New Roman" w:cs="Arial"/>
          <w:color w:val="000000"/>
          <w:lang w:eastAsia="bg-BG"/>
        </w:rPr>
        <w:t>началната дозировка на витоприл трябва да бъде съобразена с креатининовия клирънс на пациента (виж таблица 1 в т. 4.2), а след това, в зависимост от отговора на пациента на лечението. Редовното</w:t>
      </w:r>
      <w:r>
        <w:rPr>
          <w:rFonts w:eastAsia="Times New Roman" w:cs="Arial"/>
          <w:color w:val="000000"/>
          <w:lang w:val="en-US" w:eastAsia="bg-BG"/>
        </w:rPr>
        <w:t xml:space="preserve"> </w:t>
      </w:r>
      <w:r w:rsidRPr="00EF75B1">
        <w:rPr>
          <w:rFonts w:eastAsia="Times New Roman" w:cs="Arial"/>
          <w:color w:val="000000"/>
          <w:lang w:eastAsia="bg-BG"/>
        </w:rPr>
        <w:t>наблюдение на калия и креатинина са част от рутинната медицинска практика при тези пациенти.</w:t>
      </w:r>
    </w:p>
    <w:p w14:paraId="39E762AE" w14:textId="0E69EEF0"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При някои пациенти със сърдечна недостатъчност може да възникне хипотония след започване на лечение с АСЕ-инхибитори, което може да доведе до допълнително нарушаване на бъбречната функция. Има съобщения за остра бъбречна недостатъчност в такива ситуации, която обикновено е обратима.</w:t>
      </w:r>
    </w:p>
    <w:p w14:paraId="3D9625FA" w14:textId="77777777" w:rsidR="00EF75B1" w:rsidRDefault="00EF75B1" w:rsidP="00EF75B1">
      <w:pPr>
        <w:spacing w:line="240" w:lineRule="auto"/>
        <w:rPr>
          <w:rFonts w:eastAsia="Times New Roman" w:cs="Arial"/>
          <w:color w:val="000000"/>
          <w:lang w:eastAsia="bg-BG"/>
        </w:rPr>
      </w:pPr>
    </w:p>
    <w:p w14:paraId="7CC1913D" w14:textId="19F74170"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При някои пациенти с двустранна стеноза на бъбречната артерия или със стеноза на артерията на единствен бъбрек, лекувани е АСЕ-инхибитори, се наблюдава повишаване на уреята и серумния креатинин, което обикновено е обратимо след преустановяване на терапията. Това важи особено за пациенти с бъбречна недостатъчност. Ако е налице и </w:t>
      </w:r>
      <w:r w:rsidRPr="00EF75B1">
        <w:rPr>
          <w:rFonts w:eastAsia="Times New Roman" w:cs="Arial"/>
          <w:color w:val="000000"/>
          <w:lang w:eastAsia="bg-BG"/>
        </w:rPr>
        <w:lastRenderedPageBreak/>
        <w:t>реноваскуларна хипертония, нараства рискът от остра хипотония и бъбречна недостатъчност. При тези пациенти лечението трябва да започне под непосредствен лекарски контрол с ниски дози и при внимателно дозиране. Тъй като лечение с диуретици може да бъде фактор, който да допринесе за повишаване на стойностите на уреята и серумния креатинин, през първите седмици от лечението с Витоприл техният прием трябва да бъде прекъснат и трябва да бъде проследявана бъбречната функция.</w:t>
      </w:r>
    </w:p>
    <w:p w14:paraId="1542DD0F" w14:textId="77777777" w:rsidR="00EF75B1" w:rsidRDefault="00EF75B1" w:rsidP="00EF75B1">
      <w:pPr>
        <w:spacing w:line="240" w:lineRule="auto"/>
        <w:rPr>
          <w:rFonts w:eastAsia="Times New Roman" w:cs="Arial"/>
          <w:color w:val="000000"/>
          <w:lang w:eastAsia="bg-BG"/>
        </w:rPr>
      </w:pPr>
    </w:p>
    <w:p w14:paraId="28EDBDCF" w14:textId="4DE64070"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При някои пациенти с хипертония без видимо съществуващи бъбречни заболявалия са установени повишени стойности на урея и серумен креатинин в кръвта, обикновено незначителни и преходни, особено когато витоприл е приеман едновременно с диуретици. Това е по-вероятно да се наблюдава при пациенти с вече съществуваща бъбречна недостатъчност. В такива случаи може да се наложи намаляване на дозата и/или прекъсване на диуретика и/или Витоприл.</w:t>
      </w:r>
    </w:p>
    <w:p w14:paraId="4397705C"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Пациенти с остър инфаркт на миокарда не трябва да започват лечение с витоприл, ако имат симптоми на отклонения в бъбречната функция, дефинирани с концентрация на серумния креатинин, надвишаваща 177 </w:t>
      </w:r>
      <w:proofErr w:type="spellStart"/>
      <w:r w:rsidRPr="00EF75B1">
        <w:rPr>
          <w:rFonts w:eastAsia="Times New Roman" w:cs="Arial"/>
          <w:color w:val="000000"/>
          <w:lang w:val="en-US"/>
        </w:rPr>
        <w:t>pmol</w:t>
      </w:r>
      <w:proofErr w:type="spellEnd"/>
      <w:r w:rsidRPr="00EF75B1">
        <w:rPr>
          <w:rFonts w:eastAsia="Times New Roman" w:cs="Arial"/>
          <w:color w:val="000000"/>
          <w:lang w:val="en-US"/>
        </w:rPr>
        <w:t xml:space="preserve">/1 </w:t>
      </w:r>
      <w:r w:rsidRPr="00EF75B1">
        <w:rPr>
          <w:rFonts w:eastAsia="Times New Roman" w:cs="Arial"/>
          <w:color w:val="000000"/>
          <w:lang w:eastAsia="bg-BG"/>
        </w:rPr>
        <w:t xml:space="preserve">и/или протеинурия, надвишаваща 500 </w:t>
      </w:r>
      <w:r w:rsidRPr="00EF75B1">
        <w:rPr>
          <w:rFonts w:eastAsia="Times New Roman" w:cs="Arial"/>
          <w:color w:val="000000"/>
          <w:lang w:val="en-US"/>
        </w:rPr>
        <w:t xml:space="preserve">mg/24h. </w:t>
      </w:r>
      <w:r w:rsidRPr="00EF75B1">
        <w:rPr>
          <w:rFonts w:eastAsia="Times New Roman" w:cs="Arial"/>
          <w:color w:val="000000"/>
          <w:lang w:eastAsia="bg-BG"/>
        </w:rPr>
        <w:t xml:space="preserve">Ако пациентът развие бъбречна недостатъчност по време на лечението с витоприл (серумна креатининова концентрация, надвишаваща 265 </w:t>
      </w:r>
      <w:proofErr w:type="spellStart"/>
      <w:r w:rsidRPr="00EF75B1">
        <w:rPr>
          <w:rFonts w:eastAsia="Times New Roman" w:cs="Arial"/>
          <w:color w:val="000000"/>
          <w:lang w:val="en-US"/>
        </w:rPr>
        <w:t>micromol</w:t>
      </w:r>
      <w:proofErr w:type="spellEnd"/>
      <w:r w:rsidRPr="00EF75B1">
        <w:rPr>
          <w:rFonts w:eastAsia="Times New Roman" w:cs="Arial"/>
          <w:color w:val="000000"/>
          <w:lang w:val="en-US"/>
        </w:rPr>
        <w:t xml:space="preserve">/l </w:t>
      </w:r>
      <w:r w:rsidRPr="00EF75B1">
        <w:rPr>
          <w:rFonts w:eastAsia="Times New Roman" w:cs="Arial"/>
          <w:color w:val="000000"/>
          <w:lang w:eastAsia="bg-BG"/>
        </w:rPr>
        <w:t>или удвояване на базовите концентрации на серумния креатинин), приемът на витоприл трябва да се преустанови.</w:t>
      </w:r>
    </w:p>
    <w:p w14:paraId="1C3AE1DB" w14:textId="77777777" w:rsidR="00EF75B1" w:rsidRDefault="00EF75B1" w:rsidP="00EF75B1">
      <w:pPr>
        <w:spacing w:line="240" w:lineRule="auto"/>
        <w:rPr>
          <w:rFonts w:eastAsia="Times New Roman" w:cs="Arial"/>
          <w:i/>
          <w:iCs/>
          <w:color w:val="000000"/>
          <w:lang w:eastAsia="bg-BG"/>
        </w:rPr>
      </w:pPr>
    </w:p>
    <w:p w14:paraId="23BE622C" w14:textId="41275028"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Свръхчувствителност / ангиоедем</w:t>
      </w:r>
    </w:p>
    <w:p w14:paraId="59C90946"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Има съобщения за редки случаи на ангиодем на лицето, крайниците, устните, езика, глотиса и/или ларинкса при пациенти лекувани с АСЕ-инхибитори, включително и Витоприл. Това може да се прояви по всяко време на терапията. В такива случаи, приемът на Витоприл трябва да бъде спрян незабавно и да бъде назначено подходящо лечение под наблюдение до пълното изчезване на симптомите. Дори и в случаите, когато подут е само езикът, без респираторен дистрес, пациентът може да се нуждае от продължително наблюдение, тъй като лечение с антихистамини и кортикостероиди може да не е достатъчно.</w:t>
      </w:r>
    </w:p>
    <w:p w14:paraId="42A10C27" w14:textId="77777777" w:rsidR="00EF75B1" w:rsidRDefault="00EF75B1" w:rsidP="00EF75B1">
      <w:pPr>
        <w:spacing w:line="240" w:lineRule="auto"/>
        <w:rPr>
          <w:rFonts w:eastAsia="Times New Roman" w:cs="Arial"/>
          <w:color w:val="000000"/>
          <w:lang w:eastAsia="bg-BG"/>
        </w:rPr>
      </w:pPr>
    </w:p>
    <w:p w14:paraId="1075B3B9" w14:textId="443BBBD1"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Много рядко се съобщава за смъртни случаи, дължащи се на ангиоедем, свързан с ларингеален едем или едем на езика. Ако ангиоедема включва езика, глотиса или ларинкса е по-вероятно да настъпи обструкция на дихателните пътища, особено при пациенти с операция на дихателните пътища. В такива случаи е необходимо да се започне незабавно лечение. То може да включва прием на адреналин и/или поддържане на дишането. Пациентът трябва да бъде под непосредствено лекарско наблюдение до пълното отзвучаване на симптомите.</w:t>
      </w:r>
    </w:p>
    <w:p w14:paraId="0E7C8C43"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При чернокожи пациенти вероятността АСЕ-инхибиторите да предизвикат ангиоедем е по- голяма, отколкото при пациентите с друг цвят на кожата.</w:t>
      </w:r>
    </w:p>
    <w:p w14:paraId="5B1DA7D3"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При пациенти с анамнеза за ангиоедем, който не е свързан с прием на АСЕ-инхибитори, съществува повишен риск от ангиодем </w:t>
      </w:r>
      <w:r w:rsidRPr="00EF75B1">
        <w:rPr>
          <w:rFonts w:eastAsia="Times New Roman" w:cs="Arial"/>
          <w:i/>
          <w:iCs/>
          <w:color w:val="000000"/>
          <w:lang w:eastAsia="bg-BG"/>
        </w:rPr>
        <w:t>при употребата им (виж</w:t>
      </w:r>
      <w:r w:rsidRPr="00EF75B1">
        <w:rPr>
          <w:rFonts w:eastAsia="Times New Roman" w:cs="Arial"/>
          <w:color w:val="000000"/>
          <w:lang w:eastAsia="bg-BG"/>
        </w:rPr>
        <w:t xml:space="preserve"> т. 4.3).</w:t>
      </w:r>
    </w:p>
    <w:p w14:paraId="63AE9C15" w14:textId="77777777" w:rsidR="00EF75B1" w:rsidRDefault="00EF75B1" w:rsidP="00EF75B1">
      <w:pPr>
        <w:spacing w:line="240" w:lineRule="auto"/>
        <w:rPr>
          <w:rFonts w:eastAsia="Times New Roman" w:cs="Arial"/>
          <w:color w:val="000000"/>
          <w:lang w:eastAsia="bg-BG"/>
        </w:rPr>
      </w:pPr>
    </w:p>
    <w:p w14:paraId="1BBC406B" w14:textId="375C1C18"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Съпътстващата употреба на АСЕ инхибитори със сакубитрил/валсартан е противопоказана поради повишен риск от ангиоедем. Лечение със сакубитрил/валсартан не трябва да се започва по-рано от 36 часа след последната доза лизиноприл. Лечение с лизиноприл не трябва да се започва по-рано от 36 часа след последната доза сакубитрил/валсартан (вж. точки 4.3 и 4.5).</w:t>
      </w:r>
    </w:p>
    <w:p w14:paraId="1188E9E3" w14:textId="1FFFF887" w:rsidR="00EF75B1" w:rsidRPr="00EF75B1" w:rsidRDefault="00EF75B1" w:rsidP="00EF75B1">
      <w:pPr>
        <w:spacing w:line="240" w:lineRule="auto"/>
        <w:rPr>
          <w:rFonts w:ascii="Times New Roman" w:eastAsia="Times New Roman" w:hAnsi="Times New Roman" w:cs="Times New Roman"/>
          <w:sz w:val="24"/>
          <w:szCs w:val="24"/>
          <w:lang w:val="en-US" w:eastAsia="bg-BG"/>
        </w:rPr>
      </w:pPr>
    </w:p>
    <w:p w14:paraId="39C02D63"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Съпътстващата употреба на АСЕ инхибитори с рацекадотрил, </w:t>
      </w:r>
      <w:r w:rsidRPr="00EF75B1">
        <w:rPr>
          <w:rFonts w:eastAsia="Times New Roman" w:cs="Arial"/>
          <w:color w:val="000000"/>
          <w:lang w:val="en-US"/>
        </w:rPr>
        <w:t xml:space="preserve">mTOR </w:t>
      </w:r>
      <w:r w:rsidRPr="00EF75B1">
        <w:rPr>
          <w:rFonts w:eastAsia="Times New Roman" w:cs="Arial"/>
          <w:color w:val="000000"/>
          <w:lang w:eastAsia="bg-BG"/>
        </w:rPr>
        <w:t xml:space="preserve">инхибитори (напр. сиролимус, еверолимус, темсиролимус) и вилдаглиптин може да доведе до повишен риск </w:t>
      </w:r>
      <w:r w:rsidRPr="00EF75B1">
        <w:rPr>
          <w:rFonts w:eastAsia="Times New Roman" w:cs="Arial"/>
          <w:color w:val="000000"/>
          <w:lang w:eastAsia="bg-BG"/>
        </w:rPr>
        <w:lastRenderedPageBreak/>
        <w:t xml:space="preserve">от ангиоедем (напр. оток на дихателните пътища или езика, със или без нарушение на дишането) (вж. точка 4.5), Необходимо е да се подходи с повишено внимание, когато се започва лечение с рацекадотрил, </w:t>
      </w:r>
      <w:r w:rsidRPr="00EF75B1">
        <w:rPr>
          <w:rFonts w:eastAsia="Times New Roman" w:cs="Arial"/>
          <w:color w:val="000000"/>
          <w:lang w:val="en-US"/>
        </w:rPr>
        <w:t xml:space="preserve">mTOR </w:t>
      </w:r>
      <w:r w:rsidRPr="00EF75B1">
        <w:rPr>
          <w:rFonts w:eastAsia="Times New Roman" w:cs="Arial"/>
          <w:color w:val="000000"/>
          <w:lang w:eastAsia="bg-BG"/>
        </w:rPr>
        <w:t>инхибитори (напр. сиролимус, еверолимус, темсиролимус) и вилдаглиптин при пациент, който вече приема АСЕ инхибитор.</w:t>
      </w:r>
    </w:p>
    <w:p w14:paraId="25A1E3E2" w14:textId="77777777" w:rsidR="00EF75B1" w:rsidRDefault="00EF75B1" w:rsidP="00EF75B1">
      <w:pPr>
        <w:spacing w:line="240" w:lineRule="auto"/>
        <w:rPr>
          <w:rFonts w:eastAsia="Times New Roman" w:cs="Arial"/>
          <w:i/>
          <w:iCs/>
          <w:color w:val="000000"/>
          <w:lang w:eastAsia="bg-BG"/>
        </w:rPr>
      </w:pPr>
    </w:p>
    <w:p w14:paraId="1C9A0FB3" w14:textId="413B93CD"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 xml:space="preserve">Съпътстваща употреба на инхибитори на </w:t>
      </w:r>
      <w:r w:rsidRPr="00EF75B1">
        <w:rPr>
          <w:rFonts w:eastAsia="Times New Roman" w:cs="Arial"/>
          <w:i/>
          <w:iCs/>
          <w:color w:val="000000"/>
          <w:lang w:val="en-US"/>
        </w:rPr>
        <w:t xml:space="preserve">mTOR </w:t>
      </w:r>
      <w:r w:rsidRPr="00EF75B1">
        <w:rPr>
          <w:rFonts w:eastAsia="Times New Roman" w:cs="Arial"/>
          <w:i/>
          <w:iCs/>
          <w:color w:val="000000"/>
          <w:lang w:eastAsia="bg-BG"/>
        </w:rPr>
        <w:t xml:space="preserve">(напр. сиролимус, еверолимус, темзиролимус) </w:t>
      </w:r>
      <w:r w:rsidRPr="00EF75B1">
        <w:rPr>
          <w:rFonts w:eastAsia="Times New Roman" w:cs="Arial"/>
          <w:color w:val="000000"/>
          <w:lang w:eastAsia="bg-BG"/>
        </w:rPr>
        <w:t xml:space="preserve">Пациенти, които приемат съпътстващо инхибитори на </w:t>
      </w:r>
      <w:r w:rsidRPr="00EF75B1">
        <w:rPr>
          <w:rFonts w:eastAsia="Times New Roman" w:cs="Arial"/>
          <w:color w:val="000000"/>
          <w:lang w:val="en-US"/>
        </w:rPr>
        <w:t xml:space="preserve">mTOR </w:t>
      </w:r>
      <w:r w:rsidRPr="00EF75B1">
        <w:rPr>
          <w:rFonts w:eastAsia="Times New Roman" w:cs="Arial"/>
          <w:color w:val="000000"/>
          <w:lang w:eastAsia="bg-BG"/>
        </w:rPr>
        <w:t>(напр, сиролимус, еверолимус, темзиролимус), може да бъдат изложени на повишен риск от ангиоедем (т. е. оток на дихателните пътища или езика, със или без нарушение на дишането) (вж. точка 4.5).</w:t>
      </w:r>
    </w:p>
    <w:p w14:paraId="57170FF5" w14:textId="77777777" w:rsidR="00EF75B1" w:rsidRDefault="00EF75B1" w:rsidP="00EF75B1">
      <w:pPr>
        <w:spacing w:line="240" w:lineRule="auto"/>
        <w:rPr>
          <w:rFonts w:eastAsia="Times New Roman" w:cs="Arial"/>
          <w:i/>
          <w:iCs/>
          <w:color w:val="000000"/>
          <w:lang w:eastAsia="bg-BG"/>
        </w:rPr>
      </w:pPr>
    </w:p>
    <w:p w14:paraId="5D590C9C" w14:textId="4EB028B9"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Анафилактични реакции при пациенти на хемодиализа</w:t>
      </w:r>
    </w:p>
    <w:p w14:paraId="3C459A8F"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Съобщено е за анафилактични реакции при пациенти, подложени на диализа с високопропускливи мембрани (напр. </w:t>
      </w:r>
      <w:r w:rsidRPr="00EF75B1">
        <w:rPr>
          <w:rFonts w:eastAsia="Times New Roman" w:cs="Arial"/>
          <w:color w:val="000000"/>
          <w:lang w:val="en-US"/>
        </w:rPr>
        <w:t xml:space="preserve">AN </w:t>
      </w:r>
      <w:r w:rsidRPr="00EF75B1">
        <w:rPr>
          <w:rFonts w:eastAsia="Times New Roman" w:cs="Arial"/>
          <w:color w:val="000000"/>
          <w:lang w:eastAsia="bg-BG"/>
        </w:rPr>
        <w:t>69) и в същото време лекувани с АСЕ-инхибитор. При тези пациенти трябва да се използват други диализиращи мембрани или да се използват други лекарства за лечение на хипертония.</w:t>
      </w:r>
    </w:p>
    <w:p w14:paraId="6F2F6D7A" w14:textId="77777777" w:rsidR="00EF75B1" w:rsidRDefault="00EF75B1" w:rsidP="00EF75B1">
      <w:pPr>
        <w:spacing w:line="240" w:lineRule="auto"/>
        <w:rPr>
          <w:rFonts w:eastAsia="Times New Roman" w:cs="Arial"/>
          <w:i/>
          <w:iCs/>
          <w:color w:val="000000"/>
          <w:lang w:eastAsia="bg-BG"/>
        </w:rPr>
      </w:pPr>
    </w:p>
    <w:p w14:paraId="55472A47" w14:textId="2ACC002C"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 xml:space="preserve">Анафилактичниреакции по време на </w:t>
      </w:r>
      <w:r w:rsidRPr="00EF75B1">
        <w:rPr>
          <w:rFonts w:eastAsia="Times New Roman" w:cs="Arial"/>
          <w:i/>
          <w:iCs/>
          <w:color w:val="000000"/>
          <w:lang w:val="en-US"/>
        </w:rPr>
        <w:t>LDL</w:t>
      </w:r>
      <w:r w:rsidRPr="00EF75B1">
        <w:rPr>
          <w:rFonts w:eastAsia="Times New Roman" w:cs="Arial"/>
          <w:i/>
          <w:iCs/>
          <w:color w:val="000000"/>
          <w:lang w:eastAsia="bg-BG"/>
        </w:rPr>
        <w:t>-липидна афереза</w:t>
      </w:r>
    </w:p>
    <w:p w14:paraId="262DC6D4"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Животозастрашаващи анафилактични реакции са възможни при пациенти на лечение с АСЕ- инхибитори, претърпели </w:t>
      </w:r>
      <w:r w:rsidRPr="00EF75B1">
        <w:rPr>
          <w:rFonts w:eastAsia="Times New Roman" w:cs="Arial"/>
          <w:color w:val="000000"/>
          <w:lang w:val="en-US"/>
        </w:rPr>
        <w:t xml:space="preserve">LDL </w:t>
      </w:r>
      <w:r w:rsidRPr="00EF75B1">
        <w:rPr>
          <w:rFonts w:eastAsia="Times New Roman" w:cs="Arial"/>
          <w:color w:val="000000"/>
          <w:lang w:eastAsia="bg-BG"/>
        </w:rPr>
        <w:t>(липопротеини с ниска плътност)-афереза с декстрансулфаг. Тези реакции се избягват като временно се прекъсва терапията с АСЕ-инхибитора преди всяка афереза.</w:t>
      </w:r>
    </w:p>
    <w:p w14:paraId="3896B4E2" w14:textId="77777777" w:rsidR="00EF75B1" w:rsidRDefault="00EF75B1" w:rsidP="00EF75B1">
      <w:pPr>
        <w:spacing w:line="240" w:lineRule="auto"/>
        <w:rPr>
          <w:rFonts w:eastAsia="Times New Roman" w:cs="Arial"/>
          <w:i/>
          <w:iCs/>
          <w:color w:val="000000"/>
          <w:lang w:eastAsia="bg-BG"/>
        </w:rPr>
      </w:pPr>
    </w:p>
    <w:p w14:paraId="45316F1C" w14:textId="0987C4D4"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Анафилактични реакции по време на десенсибъиизация</w:t>
      </w:r>
    </w:p>
    <w:p w14:paraId="14805293"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Пациенти, приемащи АСЕ-инхибитори по време на лечение за десенсибилизация (напр. с отрова от ципокрили), могат да получат тежки анафилактични реакции. Тези реакции могат да бъдат избегнати, като временно се прекъсне приемът на АСЕ-инхибитори, но могат да се появят отново при повторна невнимателна употреба на такива лекарства.</w:t>
      </w:r>
    </w:p>
    <w:p w14:paraId="684B558E" w14:textId="77777777" w:rsidR="00EF75B1" w:rsidRDefault="00EF75B1" w:rsidP="00EF75B1">
      <w:pPr>
        <w:spacing w:line="240" w:lineRule="auto"/>
        <w:rPr>
          <w:rFonts w:eastAsia="Times New Roman" w:cs="Arial"/>
          <w:i/>
          <w:iCs/>
          <w:color w:val="000000"/>
          <w:lang w:eastAsia="bg-BG"/>
        </w:rPr>
      </w:pPr>
    </w:p>
    <w:p w14:paraId="19EC9D3C" w14:textId="08A620F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Чернодробна недостатъчност</w:t>
      </w:r>
    </w:p>
    <w:p w14:paraId="2558B362"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Лечение с АСЕ-инхибитори много рядко се свързва със синдром, започващ с холестатична жълтеница, прогресираща до чернодробна некроза с фатален</w:t>
      </w:r>
    </w:p>
    <w:p w14:paraId="56E66D00"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изход в някои случаи. Механизмът на този синдром не е известен. Ако пациенти на лечение с витоприл развият жълтеница или покажат повишение на чернодробните ензими, приемът на лекарството трябва да се преустанови и пациентът подлежи на лекарски контрол.</w:t>
      </w:r>
    </w:p>
    <w:p w14:paraId="77DC0CE4" w14:textId="77777777" w:rsidR="00EF75B1" w:rsidRDefault="00EF75B1" w:rsidP="00EF75B1">
      <w:pPr>
        <w:spacing w:line="240" w:lineRule="auto"/>
        <w:rPr>
          <w:rFonts w:eastAsia="Times New Roman" w:cs="Arial"/>
          <w:i/>
          <w:iCs/>
          <w:color w:val="000000"/>
          <w:lang w:eastAsia="bg-BG"/>
        </w:rPr>
      </w:pPr>
    </w:p>
    <w:p w14:paraId="60F06DE4" w14:textId="2D1E20C6"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Неутропения / агранулоцитоза</w:t>
      </w:r>
    </w:p>
    <w:p w14:paraId="02B4BC51"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Има съобщения за неутропения / агранулоцитоза, тромбоцитопения и анемия при пациенти, приемащи АСЕ-инхибитори. При пациенти с нормална бъбречна функция и без други усложняващи фактори, неутропения възниква рядко. Неутропенията и агранулоцитозата са обратими след преустановяване на лечението с АСЕ-инхибитора. Витоприл трябва да се използва с особено внимание при пациенти със системни заболявания на съединителната тъкан; пациенти, лекувани с имуносупресори; пациенти, лекувани с алопуринол или прокаинамид или пациенти, при които е налице комбинация от тези усложняващи фактори, особено ако имат нарушена бъбречна функция. При някои пациенти могат да се развият сериозни инфекции, които в редки случаи не се повлияват от интензивна антибиотична терапия. При такива пациенти е необходим периодичен контрол на нивата на белите кръвни клетки. Пациентите трябва да съобщават за всеки признак за инфекция.</w:t>
      </w:r>
    </w:p>
    <w:p w14:paraId="7D3A51FF" w14:textId="77777777" w:rsidR="00EF75B1" w:rsidRDefault="00EF75B1" w:rsidP="00EF75B1">
      <w:pPr>
        <w:spacing w:line="240" w:lineRule="auto"/>
        <w:rPr>
          <w:rFonts w:eastAsia="Times New Roman" w:cs="Arial"/>
          <w:i/>
          <w:iCs/>
          <w:color w:val="000000"/>
          <w:lang w:eastAsia="bg-BG"/>
        </w:rPr>
      </w:pPr>
    </w:p>
    <w:p w14:paraId="6AA925E5" w14:textId="4FE7732C"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lastRenderedPageBreak/>
        <w:t>Двойно блокиране на ренин-ангиотензин-алдостероновата система (РААС)</w:t>
      </w:r>
    </w:p>
    <w:p w14:paraId="761FC46B"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Има данни, че едновременната употреба на АСЕ инхибитори, ангиотензин </w:t>
      </w:r>
      <w:r w:rsidRPr="00EF75B1">
        <w:rPr>
          <w:rFonts w:eastAsia="Times New Roman" w:cs="Arial"/>
          <w:color w:val="000000"/>
          <w:lang w:val="en-US"/>
        </w:rPr>
        <w:t>II</w:t>
      </w:r>
      <w:r w:rsidRPr="00EF75B1">
        <w:rPr>
          <w:rFonts w:eastAsia="Times New Roman" w:cs="Arial"/>
          <w:color w:val="000000"/>
          <w:lang w:eastAsia="bg-BG"/>
        </w:rPr>
        <w:t>-рецепторни</w:t>
      </w:r>
    </w:p>
    <w:p w14:paraId="06BDEF37" w14:textId="77777777" w:rsidR="00EF75B1" w:rsidRPr="00EF75B1" w:rsidRDefault="00EF75B1" w:rsidP="00EF75B1">
      <w:pPr>
        <w:rPr>
          <w:rFonts w:ascii="Times New Roman" w:eastAsia="Times New Roman" w:hAnsi="Times New Roman" w:cs="Times New Roman"/>
          <w:sz w:val="24"/>
          <w:szCs w:val="24"/>
          <w:lang w:eastAsia="bg-BG"/>
        </w:rPr>
      </w:pPr>
      <w:r w:rsidRPr="00EF75B1">
        <w:rPr>
          <w:rFonts w:eastAsia="Times New Roman" w:cs="Arial"/>
          <w:color w:val="000000"/>
          <w:lang w:eastAsia="bg-BG"/>
        </w:rPr>
        <w:t>блокери или алискирен повишава риска от хипотония, хиперкалиемия и намаляване на бъбречната функция (включително остра бъбречна недостатъчност). Поради това не се</w:t>
      </w:r>
      <w:r w:rsidRPr="00EF75B1">
        <w:rPr>
          <w:rFonts w:eastAsia="Times New Roman" w:cs="Arial"/>
          <w:smallCaps/>
          <w:color w:val="000000"/>
          <w:lang w:eastAsia="bg-BG"/>
        </w:rPr>
        <w:t xml:space="preserve"> </w:t>
      </w:r>
      <w:r w:rsidRPr="00EF75B1">
        <w:rPr>
          <w:rFonts w:eastAsia="Times New Roman" w:cs="Arial"/>
          <w:color w:val="000000"/>
          <w:lang w:eastAsia="bg-BG"/>
        </w:rPr>
        <w:t xml:space="preserve">препоръчва двойно блокиране на РААС чрез комбинираната употреба на АСЕ инхибитори ангиотензин </w:t>
      </w:r>
      <w:r w:rsidRPr="00EF75B1">
        <w:rPr>
          <w:rFonts w:eastAsia="Times New Roman" w:cs="Arial"/>
          <w:color w:val="000000"/>
          <w:lang w:val="en-US"/>
        </w:rPr>
        <w:t>II</w:t>
      </w:r>
      <w:r w:rsidRPr="00EF75B1">
        <w:rPr>
          <w:rFonts w:eastAsia="Times New Roman" w:cs="Arial"/>
          <w:color w:val="000000"/>
          <w:lang w:eastAsia="bg-BG"/>
        </w:rPr>
        <w:t>-рецепторни блокери или алискирен (вж. точки 4.5 и 5.1). Ако се прецени, че терапията с двойно блокиране е абсолютно необходима, това трябва да</w:t>
      </w:r>
      <w:r>
        <w:rPr>
          <w:rFonts w:eastAsia="Times New Roman" w:cs="Arial"/>
          <w:color w:val="000000"/>
          <w:lang w:val="en-US" w:eastAsia="bg-BG"/>
        </w:rPr>
        <w:t xml:space="preserve"> </w:t>
      </w:r>
      <w:r w:rsidRPr="00EF75B1">
        <w:rPr>
          <w:rFonts w:eastAsia="Times New Roman" w:cs="Arial"/>
          <w:color w:val="000000"/>
          <w:lang w:eastAsia="bg-BG"/>
        </w:rPr>
        <w:t>става само под наблюдението на специалист и при често внимателно мониториране на бъбречната функция, електролитите и кръвното налягане.</w:t>
      </w:r>
    </w:p>
    <w:p w14:paraId="3F8EBF10"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АСЕ инхибитори и ангиотензин </w:t>
      </w:r>
      <w:r w:rsidRPr="00EF75B1">
        <w:rPr>
          <w:rFonts w:eastAsia="Times New Roman" w:cs="Arial"/>
          <w:color w:val="000000"/>
          <w:lang w:val="en-US"/>
        </w:rPr>
        <w:t>II</w:t>
      </w:r>
      <w:r w:rsidRPr="00EF75B1">
        <w:rPr>
          <w:rFonts w:eastAsia="Times New Roman" w:cs="Arial"/>
          <w:color w:val="000000"/>
          <w:lang w:eastAsia="bg-BG"/>
        </w:rPr>
        <w:t>-рецепторни блокери не трябва да се използват едновременно при пациенти с диабетна нефропатия.</w:t>
      </w:r>
    </w:p>
    <w:p w14:paraId="6C285774" w14:textId="77777777" w:rsidR="00EF75B1" w:rsidRDefault="00EF75B1" w:rsidP="00EF75B1">
      <w:pPr>
        <w:spacing w:line="240" w:lineRule="auto"/>
        <w:rPr>
          <w:rFonts w:eastAsia="Times New Roman" w:cs="Arial"/>
          <w:i/>
          <w:iCs/>
          <w:color w:val="000000"/>
          <w:lang w:eastAsia="bg-BG"/>
        </w:rPr>
      </w:pPr>
    </w:p>
    <w:p w14:paraId="6244977C" w14:textId="3D8681A4"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Раса</w:t>
      </w:r>
    </w:p>
    <w:p w14:paraId="7C74659B"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При чернокожи пациенти вероятността АСЕ-инхибиторите да предизвикат ангиоедем е по- голяма, отколкото при пациентите с друг цвят на кожата. Витоприл, както и другите АСЕ- инхибитори, може да е по-малко ефективен при чернокожи пациенти, отколкото при пациентите с друг цвят на кожата, най-вероятно поради ниските нива на ренина при чернокожата популация, страдаща от хипертония.</w:t>
      </w:r>
    </w:p>
    <w:p w14:paraId="1118F2DD" w14:textId="77777777" w:rsidR="00EF75B1" w:rsidRDefault="00EF75B1" w:rsidP="00EF75B1">
      <w:pPr>
        <w:spacing w:line="240" w:lineRule="auto"/>
        <w:rPr>
          <w:rFonts w:eastAsia="Times New Roman" w:cs="Arial"/>
          <w:i/>
          <w:iCs/>
          <w:color w:val="000000"/>
          <w:lang w:eastAsia="bg-BG"/>
        </w:rPr>
      </w:pPr>
    </w:p>
    <w:p w14:paraId="186AEB4A" w14:textId="62AFE60A"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Кашлица</w:t>
      </w:r>
    </w:p>
    <w:p w14:paraId="58D132A6"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Съобщава се за появата на кашлица по време на употребата на АСЕ-инхибитори. Тази кашлица е непродуктивна, персистираща и преминава след спиране на лечението. Кашлицата, предизвикана от АСЕ- инхибитори, трябва да се има предвид при диференциалната диагноза на кашлицата.</w:t>
      </w:r>
    </w:p>
    <w:p w14:paraId="2F5C7F43" w14:textId="77777777" w:rsidR="00EF75B1" w:rsidRDefault="00EF75B1" w:rsidP="00EF75B1">
      <w:pPr>
        <w:spacing w:line="240" w:lineRule="auto"/>
        <w:rPr>
          <w:rFonts w:eastAsia="Times New Roman" w:cs="Arial"/>
          <w:i/>
          <w:iCs/>
          <w:color w:val="000000"/>
          <w:lang w:eastAsia="bg-BG"/>
        </w:rPr>
      </w:pPr>
    </w:p>
    <w:p w14:paraId="6C90F00E" w14:textId="0529CAFA"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Хирургия / анестезия</w:t>
      </w:r>
    </w:p>
    <w:p w14:paraId="0F563C8E"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Витоприл може да блокира вторично формирането на ангиотензин II след компенсаторно освобождаване на ренин при пациенти, подложени на значителни хирургични интервенции или на анестезия с лекарства, понижаващи кръвното налягане. Като резултат се получава изразена хипотония, която може да се коригира чрез вливане на плазмозаместители.</w:t>
      </w:r>
    </w:p>
    <w:p w14:paraId="0DEAD793" w14:textId="77777777" w:rsidR="00EF75B1" w:rsidRDefault="00EF75B1" w:rsidP="00EF75B1">
      <w:pPr>
        <w:spacing w:line="240" w:lineRule="auto"/>
        <w:rPr>
          <w:rFonts w:eastAsia="Times New Roman" w:cs="Arial"/>
          <w:color w:val="000000"/>
          <w:lang w:eastAsia="bg-BG"/>
        </w:rPr>
      </w:pPr>
    </w:p>
    <w:p w14:paraId="7A5DC39D" w14:textId="0A8AE7CA"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Серумен калий</w:t>
      </w:r>
    </w:p>
    <w:p w14:paraId="7A26486E"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АСЕ инхибиторите могат да предизвикат хиперкалиемия, тъй като инхибират освобождаването на алдостерон. Ефектът обикновено не е значителен при пациенти с нормална бъбречна функция. При пациенти с нарушена бъбречна функция и диабет обаче и/или при пациенти, приемащи хранителни добавки, съдържащи калий (включително заместители на солта), калий- съхраняващи диуретици, триметоприм или котримоксазол, известен също като триметоприм/сулфаметоксазол, и особено антагонисти на алдостерона или ангиотензин- рецепторни блокери, може да възникне хиперкалиемия. Калий-съхраняващите диуретици и ангиотензин-рецепторните блокери трябва да се прилагат внимателно при пациенти, приемащи АСЕ инхибитори, като серумният калий и бъбречната функция трябва да се проследяват (вж. точка 4.5).</w:t>
      </w:r>
    </w:p>
    <w:p w14:paraId="55830A8A" w14:textId="77777777" w:rsidR="00EF75B1" w:rsidRDefault="00EF75B1" w:rsidP="00EF75B1">
      <w:pPr>
        <w:spacing w:line="240" w:lineRule="auto"/>
        <w:rPr>
          <w:rFonts w:eastAsia="Times New Roman" w:cs="Arial"/>
          <w:i/>
          <w:iCs/>
          <w:color w:val="000000"/>
          <w:lang w:eastAsia="bg-BG"/>
        </w:rPr>
      </w:pPr>
    </w:p>
    <w:p w14:paraId="29B5A178" w14:textId="055CD5CF"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Диабетици</w:t>
      </w:r>
    </w:p>
    <w:p w14:paraId="380035A9"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При пациенти, приемащи перорално антидиабетни лекарства или инсулин, трябва да се осъществява непосредствен гликемичен контрол по време на първия месец от лечението с АСЕ- инхибитор (виж 4.5 Взаимодействие с други лекарствени продукти и други форми на взаимодействие).</w:t>
      </w:r>
    </w:p>
    <w:p w14:paraId="493BE0CB" w14:textId="77777777" w:rsidR="00EF75B1" w:rsidRDefault="00EF75B1" w:rsidP="00EF75B1">
      <w:pPr>
        <w:spacing w:line="240" w:lineRule="auto"/>
        <w:rPr>
          <w:rFonts w:eastAsia="Times New Roman" w:cs="Arial"/>
          <w:i/>
          <w:iCs/>
          <w:color w:val="000000"/>
          <w:lang w:eastAsia="bg-BG"/>
        </w:rPr>
      </w:pPr>
    </w:p>
    <w:p w14:paraId="7B176FA7" w14:textId="1F382DA5"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lastRenderedPageBreak/>
        <w:t>Литий</w:t>
      </w:r>
    </w:p>
    <w:p w14:paraId="4D236303"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По принцип комбинацията на литий с Витоприл не се препоръчва (виж т. 4.5).</w:t>
      </w:r>
    </w:p>
    <w:p w14:paraId="38E6EF66" w14:textId="77777777" w:rsidR="00EF75B1" w:rsidRDefault="00EF75B1" w:rsidP="00EF75B1">
      <w:pPr>
        <w:spacing w:line="240" w:lineRule="auto"/>
        <w:rPr>
          <w:rFonts w:eastAsia="Times New Roman" w:cs="Arial"/>
          <w:i/>
          <w:iCs/>
          <w:color w:val="000000"/>
          <w:lang w:eastAsia="bg-BG"/>
        </w:rPr>
      </w:pPr>
    </w:p>
    <w:p w14:paraId="619A41FB" w14:textId="192B9B06"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Бременност</w:t>
      </w:r>
    </w:p>
    <w:p w14:paraId="75E2167E"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АСЕ инхибитори не трябва да се употребяват по време на бременността. Ако лечението с АСЕ инхибитор е наложително, пациентките, планиращи бременност трябва да бъдат подложени на алтернативно антихипертензивно лечение с установен профил на безопасност при бременност. Когато се установи бременност, лечението с АСЕ инхибитор трябва да бъде преустановено възможно най-бързо и да се премине към алтернативна терапия (виж т. 4.3 и т. 4.6).</w:t>
      </w:r>
    </w:p>
    <w:p w14:paraId="659BF7C2" w14:textId="7D85D795" w:rsidR="00EF75B1" w:rsidRPr="00EF75B1" w:rsidRDefault="00EF75B1" w:rsidP="00EF75B1">
      <w:pPr>
        <w:rPr>
          <w:lang w:val="en-US"/>
        </w:rPr>
      </w:pPr>
    </w:p>
    <w:p w14:paraId="7ABEA351" w14:textId="0E7AFB11" w:rsidR="00A71DCF" w:rsidRDefault="002C50EE" w:rsidP="00A93499">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p>
    <w:p w14:paraId="1EFE7AF1" w14:textId="23BF3922" w:rsidR="00EF75B1" w:rsidRDefault="00EF75B1" w:rsidP="00EF75B1"/>
    <w:p w14:paraId="31C08FF4"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Други антихипертензивни лекарства</w:t>
      </w:r>
    </w:p>
    <w:p w14:paraId="79FF8F0F" w14:textId="20DCE0F9" w:rsidR="00EF75B1" w:rsidRDefault="00EF75B1" w:rsidP="00EF75B1">
      <w:pPr>
        <w:rPr>
          <w:rFonts w:eastAsia="Times New Roman" w:cs="Arial"/>
          <w:color w:val="000000"/>
          <w:lang w:eastAsia="bg-BG"/>
        </w:rPr>
      </w:pPr>
      <w:r w:rsidRPr="00EF75B1">
        <w:rPr>
          <w:rFonts w:eastAsia="Times New Roman" w:cs="Arial"/>
          <w:color w:val="000000"/>
          <w:lang w:eastAsia="bg-BG"/>
        </w:rPr>
        <w:t>Едновременната употреба с антихипертензивни лекарства (например глицерил тринитрат и други нитрати или други вазодилататори) може да засили хипотензивния ефект на Витоприл.</w:t>
      </w:r>
    </w:p>
    <w:p w14:paraId="54AF722B" w14:textId="69BBC0EC" w:rsidR="00EF75B1" w:rsidRDefault="00EF75B1" w:rsidP="00EF75B1">
      <w:pPr>
        <w:rPr>
          <w:rFonts w:eastAsia="Times New Roman" w:cs="Arial"/>
          <w:color w:val="000000"/>
          <w:lang w:eastAsia="bg-BG"/>
        </w:rPr>
      </w:pPr>
    </w:p>
    <w:p w14:paraId="077C9387"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Едновременната употреба на Витоприл с алискирен съдържащи лекарства трябва да се избягва (вж. т. 4.3 и т.4.4).</w:t>
      </w:r>
    </w:p>
    <w:p w14:paraId="513451C6"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Данни от клинични проучвания показват, че двойното блокиране на ренин-ангиотензин- алдостероновата система (РААС) чрез комбинираната употреба на АСЕ инхибитори, ангиотензин </w:t>
      </w:r>
      <w:r w:rsidRPr="00EF75B1">
        <w:rPr>
          <w:rFonts w:eastAsia="Times New Roman" w:cs="Arial"/>
          <w:color w:val="000000"/>
          <w:lang w:val="en-US"/>
        </w:rPr>
        <w:t>III</w:t>
      </w:r>
      <w:r w:rsidRPr="00EF75B1">
        <w:rPr>
          <w:rFonts w:eastAsia="Times New Roman" w:cs="Arial"/>
          <w:color w:val="000000"/>
          <w:lang w:eastAsia="bg-BG"/>
        </w:rPr>
        <w:t>-рецепторни блокери или алискирен се свързва с по-висока честота на нежелани събития, като например хипотония, хиперкалиемия и намаляване на бъбречната функция (включително остра бъбречна недостатъчност), в сравнение с употребата само на едно средство, действащо върху РААС (вж. точки 4.3,4.4 и 5.1).</w:t>
      </w:r>
    </w:p>
    <w:p w14:paraId="0038EB4B" w14:textId="77777777" w:rsidR="00EF75B1" w:rsidRDefault="00EF75B1" w:rsidP="00EF75B1">
      <w:pPr>
        <w:spacing w:line="240" w:lineRule="auto"/>
        <w:rPr>
          <w:rFonts w:eastAsia="Times New Roman" w:cs="Arial"/>
          <w:i/>
          <w:iCs/>
          <w:color w:val="000000"/>
          <w:lang w:eastAsia="bg-BG"/>
        </w:rPr>
      </w:pPr>
    </w:p>
    <w:p w14:paraId="5F31E774" w14:textId="2E940963"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Диуретици</w:t>
      </w:r>
    </w:p>
    <w:p w14:paraId="188934C5"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Обикновено понижаващия кръвното налягане ефект на витоприл се усилва при едновременно приемане на диуретици. Пациенти, приемащи диуретици, и по-специално тези, които отскоро се лекуват с диуретици, могат понякога при започване на лечение с витоприл да получат силно понижаване на кръвното налягане. Рискът от симптоматична хипотония по време на лечение с витоприл може да се намали чрез спиране на диуретика преди началото на лечението с това лекарство (виж т. 4.4 и т. 4.2).</w:t>
      </w:r>
    </w:p>
    <w:p w14:paraId="060C5082" w14:textId="77777777" w:rsidR="00EF75B1" w:rsidRDefault="00EF75B1" w:rsidP="00EF75B1">
      <w:pPr>
        <w:spacing w:line="240" w:lineRule="auto"/>
        <w:rPr>
          <w:rFonts w:eastAsia="Times New Roman" w:cs="Arial"/>
          <w:i/>
          <w:iCs/>
          <w:color w:val="000000"/>
          <w:lang w:eastAsia="bg-BG"/>
        </w:rPr>
      </w:pPr>
    </w:p>
    <w:p w14:paraId="62BA250F" w14:textId="22A744EF"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Калий-съхраняващи диуретици, хранителни добавки, съдържащи калий или калий-съдържагци заместители на солта</w:t>
      </w:r>
    </w:p>
    <w:p w14:paraId="1A2C92D5"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Въпреки че серумният калий обикновено остава в рамките на нормалните граници, при някои пациенти, лекувани с лизиноприл, може да възникне хиперкалиемия. Употребата на калий- съхраняващи диуретици (напр. спиронолактон, триамтерен или амилорид), хранителни добавки, съдържащи калий или калий-съдържащи заместители на солта може да доведе до значително повишение на серумния калий при пациенти с увредена бъбречна функция или захарен диабет. Трябва също да се внимава, когато лизиноприл се прилага едновременно с други средства, които повишават серумния калий, като напр. триметоприм и котримоксазол (триметоприм/сулфаметоксазол), тъй като е известно, че триметоприм действа като калий- съхраняващ диуретик подобно на амилорид. Поради това не се препоръчва комбинирането на лизиноприл с гореспоменатите лекарства. Ако е показана съпътстваща употреба, те трябва да се използват с повишено внимание и при често проследяване на серумния калий.</w:t>
      </w:r>
    </w:p>
    <w:p w14:paraId="3B09BBD0"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lastRenderedPageBreak/>
        <w:t>Литий</w:t>
      </w:r>
    </w:p>
    <w:p w14:paraId="7F76EA82"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Има съобщения за обратимо повишаване на токсичността и на серумните концентрации на литий при едновременната му употреба с АСЕ-инхибитори. Съвместната употреба на тиазидни диуретици и АСЕ-инхибитори може да увеличи риска от литиева токсичност и да засили вече съществуваща такава. Едновременна употреба на лизиноприл и литий не е препоръчителна, но ако обстоятелствата налагат такава комбинация, трябва да бъдат проследявани внимателно нивата на серумния литий на пациента.</w:t>
      </w:r>
    </w:p>
    <w:p w14:paraId="42701C2F" w14:textId="77777777" w:rsidR="00EF75B1" w:rsidRDefault="00EF75B1" w:rsidP="00EF75B1">
      <w:pPr>
        <w:spacing w:line="240" w:lineRule="auto"/>
        <w:rPr>
          <w:rFonts w:eastAsia="Times New Roman" w:cs="Arial"/>
          <w:i/>
          <w:iCs/>
          <w:color w:val="000000"/>
          <w:lang w:eastAsia="bg-BG"/>
        </w:rPr>
      </w:pPr>
    </w:p>
    <w:p w14:paraId="100F762A" w14:textId="21793843"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Нестероидни противовъзпалителни лекарствени продукти (НПВС) заедно с ацетшсалицилова киселина  ≥3</w:t>
      </w:r>
      <w:r w:rsidRPr="00EF75B1">
        <w:rPr>
          <w:rFonts w:eastAsia="Times New Roman" w:cs="Arial"/>
          <w:i/>
          <w:iCs/>
          <w:color w:val="000000"/>
          <w:lang w:val="en-US"/>
        </w:rPr>
        <w:t>g</w:t>
      </w:r>
      <w:r w:rsidRPr="00EF75B1">
        <w:rPr>
          <w:rFonts w:eastAsia="Times New Roman" w:cs="Arial"/>
          <w:i/>
          <w:iCs/>
          <w:color w:val="000000"/>
          <w:lang w:eastAsia="bg-BG"/>
        </w:rPr>
        <w:t>/дневно</w:t>
      </w:r>
    </w:p>
    <w:p w14:paraId="3C34E354"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Продължителният (хроничен) прием на НПВС може да намали антихипертоничния ефект на АСЕ-инхибитора. НПВС и АСЕ-инхибиторите оказват допълнително влияние върху повишаването на нивото на серумния калий, което може да доведе до влошаване на бъбречната функция. Този ефект обикновено е обратим. В редки случаи може да възникне остра бъбречна недостатъчност при пациенти с нарушена бъбречна функция, както и при пациенти в старческа възраст или дехидратирани пациенти.</w:t>
      </w:r>
    </w:p>
    <w:p w14:paraId="394123AE" w14:textId="77777777" w:rsidR="00EF75B1" w:rsidRDefault="00EF75B1" w:rsidP="00EF75B1">
      <w:pPr>
        <w:spacing w:line="240" w:lineRule="auto"/>
        <w:rPr>
          <w:rFonts w:eastAsia="Times New Roman" w:cs="Arial"/>
          <w:i/>
          <w:iCs/>
          <w:color w:val="000000"/>
          <w:lang w:eastAsia="bg-BG"/>
        </w:rPr>
      </w:pPr>
    </w:p>
    <w:p w14:paraId="5401DE96" w14:textId="61F6199A"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Злато</w:t>
      </w:r>
    </w:p>
    <w:p w14:paraId="66C50EDC"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Нитритоидни реакции (симптоми на вазодилатация, включваща зачервяване, прилошаване, замаяност и хипотония, които могат да бъдат тежки), в резултат на парентерално приложено злато (например натриев ауротиомалат) са докладвани по-често при пациенти подложени на терапия с АСЕ-инхибитори.</w:t>
      </w:r>
    </w:p>
    <w:p w14:paraId="64A4B7B0" w14:textId="77777777" w:rsidR="00EF75B1" w:rsidRDefault="00EF75B1" w:rsidP="00EF75B1">
      <w:pPr>
        <w:spacing w:line="240" w:lineRule="auto"/>
        <w:rPr>
          <w:rFonts w:eastAsia="Times New Roman" w:cs="Arial"/>
          <w:i/>
          <w:iCs/>
          <w:color w:val="000000"/>
          <w:lang w:eastAsia="bg-BG"/>
        </w:rPr>
      </w:pPr>
    </w:p>
    <w:p w14:paraId="30D7FD1E" w14:textId="1E27DA8B" w:rsidR="00EF75B1" w:rsidRDefault="00EF75B1" w:rsidP="00EF75B1">
      <w:pPr>
        <w:spacing w:line="240" w:lineRule="auto"/>
        <w:rPr>
          <w:rFonts w:eastAsia="Times New Roman" w:cs="Arial"/>
          <w:i/>
          <w:iCs/>
          <w:color w:val="000000"/>
          <w:lang w:eastAsia="bg-BG"/>
        </w:rPr>
      </w:pPr>
      <w:r w:rsidRPr="00EF75B1">
        <w:rPr>
          <w:rFonts w:eastAsia="Times New Roman" w:cs="Arial"/>
          <w:i/>
          <w:iCs/>
          <w:color w:val="000000"/>
          <w:lang w:eastAsia="bg-BG"/>
        </w:rPr>
        <w:t>Трициклични антидепресанти / антипсгехотици / анестетици</w:t>
      </w:r>
    </w:p>
    <w:p w14:paraId="30E14EFF"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Едновременната употреба на АСЕ- инхибитори с определени анестетици, трициклични антидепресанти и антипсихотици може да доведе до допълнително понижаване на кръвното налягане (виж т. 4.4).</w:t>
      </w:r>
    </w:p>
    <w:p w14:paraId="51486ECB" w14:textId="77777777" w:rsidR="00EF75B1" w:rsidRDefault="00EF75B1" w:rsidP="00EF75B1">
      <w:pPr>
        <w:spacing w:line="240" w:lineRule="auto"/>
        <w:rPr>
          <w:rFonts w:eastAsia="Times New Roman" w:cs="Arial"/>
          <w:i/>
          <w:iCs/>
          <w:color w:val="000000"/>
          <w:lang w:eastAsia="bg-BG"/>
        </w:rPr>
      </w:pPr>
    </w:p>
    <w:p w14:paraId="4EA05DB5" w14:textId="407E888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Симпатикомиметици</w:t>
      </w:r>
    </w:p>
    <w:p w14:paraId="7937D71F"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Симпатикомиметици могат да намалят антихипертензивния ефект на АСЕ-инхибиторите.</w:t>
      </w:r>
    </w:p>
    <w:p w14:paraId="46D9B0E0" w14:textId="77777777" w:rsidR="00EF75B1" w:rsidRDefault="00EF75B1" w:rsidP="00EF75B1">
      <w:pPr>
        <w:spacing w:line="240" w:lineRule="auto"/>
        <w:rPr>
          <w:rFonts w:eastAsia="Times New Roman" w:cs="Arial"/>
          <w:i/>
          <w:iCs/>
          <w:color w:val="000000"/>
          <w:lang w:eastAsia="bg-BG"/>
        </w:rPr>
      </w:pPr>
    </w:p>
    <w:p w14:paraId="6E44AF74" w14:textId="62CF5416"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Антидиабетици</w:t>
      </w:r>
    </w:p>
    <w:p w14:paraId="5C0BE442"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Епидемиологичните изследвания показват, че съвместното приложение на АСЕ-инхибитори и антидиабетни средства (инсулин, перорални антидиабетни лекарства) може да причини засилване на ефекта на понижаване на гликозата в кръвта с риск от хипогликемия. По-вероятно е този феномен да възникне през първите седмици от комбинираното лечение и при пациенти с бъбречна недостатъчност.</w:t>
      </w:r>
    </w:p>
    <w:p w14:paraId="05E307D7" w14:textId="77777777" w:rsidR="00EF75B1" w:rsidRDefault="00EF75B1" w:rsidP="00EF75B1">
      <w:pPr>
        <w:spacing w:line="240" w:lineRule="auto"/>
        <w:rPr>
          <w:rFonts w:eastAsia="Times New Roman" w:cs="Arial"/>
          <w:i/>
          <w:iCs/>
          <w:color w:val="000000"/>
          <w:lang w:eastAsia="bg-BG"/>
        </w:rPr>
      </w:pPr>
    </w:p>
    <w:p w14:paraId="4F40A034" w14:textId="286355E5"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Ацетилсалицилова киселина, тромболитщи, бета-блокери, нитрати</w:t>
      </w:r>
    </w:p>
    <w:p w14:paraId="7D4EB7C3"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Витоприл може да бъде употребяван едновременно с ацетилсалицилова киселина (в дози, използвани в кардиологията ), тромболитици, бета-блокери и/или нитрати.</w:t>
      </w:r>
    </w:p>
    <w:p w14:paraId="178BBD48" w14:textId="77777777" w:rsidR="00EF75B1" w:rsidRDefault="00EF75B1" w:rsidP="00EF75B1">
      <w:pPr>
        <w:spacing w:line="240" w:lineRule="auto"/>
        <w:rPr>
          <w:rFonts w:eastAsia="Times New Roman" w:cs="Arial"/>
          <w:i/>
          <w:iCs/>
          <w:color w:val="000000"/>
          <w:lang w:eastAsia="bg-BG"/>
        </w:rPr>
      </w:pPr>
    </w:p>
    <w:p w14:paraId="4FECC1FA" w14:textId="71B067D1"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Циклоспорин</w:t>
      </w:r>
    </w:p>
    <w:p w14:paraId="48DA83B0"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При съпътстваща употреба на АСЕ инхибитори с циклоспорин може да възникне хиперкалиемия. Препоръчва се проследяване на серумния калий.</w:t>
      </w:r>
    </w:p>
    <w:p w14:paraId="1A5C1C70" w14:textId="77777777" w:rsidR="00EF75B1" w:rsidRDefault="00EF75B1" w:rsidP="00EF75B1">
      <w:pPr>
        <w:spacing w:line="240" w:lineRule="auto"/>
        <w:rPr>
          <w:rFonts w:eastAsia="Times New Roman" w:cs="Arial"/>
          <w:i/>
          <w:iCs/>
          <w:color w:val="000000"/>
          <w:lang w:eastAsia="bg-BG"/>
        </w:rPr>
      </w:pPr>
    </w:p>
    <w:p w14:paraId="01FAD80C" w14:textId="66E92C79"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Хепарин</w:t>
      </w:r>
    </w:p>
    <w:p w14:paraId="0F3F076C"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При съпътстваща употреба на АСЕ инхибитори с хепарин може да възникне хиперкалиемия. Препоръчва се проследяване на серумния калий.</w:t>
      </w:r>
    </w:p>
    <w:p w14:paraId="6FAFFC94" w14:textId="77777777" w:rsidR="00EF75B1" w:rsidRDefault="00EF75B1" w:rsidP="00EF75B1">
      <w:pPr>
        <w:spacing w:line="240" w:lineRule="auto"/>
        <w:rPr>
          <w:rFonts w:eastAsia="Times New Roman" w:cs="Arial"/>
          <w:i/>
          <w:iCs/>
          <w:color w:val="000000"/>
          <w:lang w:eastAsia="bg-BG"/>
        </w:rPr>
      </w:pPr>
    </w:p>
    <w:p w14:paraId="000C8385" w14:textId="5ABBBF8A"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Лекарства, повишаващи риска от ангиоедем</w:t>
      </w:r>
    </w:p>
    <w:p w14:paraId="7B1E4228"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lastRenderedPageBreak/>
        <w:t>Съпътстващата употреба на АСЕ инхибитори със сакубитрил/валсартан е противопоказана, тъй като това повишава риска от ангиоедем (вж. точка 4.3 и 4.4).</w:t>
      </w:r>
    </w:p>
    <w:p w14:paraId="52DCE541" w14:textId="48FDB14E"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Съпътстващата употреба на АСЕ инхибитори с рацекадотрил, </w:t>
      </w:r>
      <w:r w:rsidRPr="00EF75B1">
        <w:rPr>
          <w:rFonts w:eastAsia="Times New Roman" w:cs="Arial"/>
          <w:color w:val="000000"/>
          <w:lang w:val="en-US"/>
        </w:rPr>
        <w:t xml:space="preserve">mTOR </w:t>
      </w:r>
      <w:r w:rsidRPr="00EF75B1">
        <w:rPr>
          <w:rFonts w:eastAsia="Times New Roman" w:cs="Arial"/>
          <w:color w:val="000000"/>
          <w:lang w:eastAsia="bg-BG"/>
        </w:rPr>
        <w:t xml:space="preserve">инхибитори (напр. сиролимус, еверолимус, темсиролимус) и вилдаглиптин може да доведе до повишен риск от ангиоедем (вж. точка 4.4). Инхибитори на </w:t>
      </w:r>
      <w:r w:rsidRPr="00EF75B1">
        <w:rPr>
          <w:rFonts w:eastAsia="Times New Roman" w:cs="Arial"/>
          <w:color w:val="000000"/>
          <w:lang w:val="en-US"/>
        </w:rPr>
        <w:t xml:space="preserve">mTOR </w:t>
      </w:r>
      <w:r w:rsidRPr="00EF75B1">
        <w:rPr>
          <w:rFonts w:eastAsia="Times New Roman" w:cs="Arial"/>
          <w:color w:val="000000"/>
          <w:lang w:eastAsia="bg-BG"/>
        </w:rPr>
        <w:t>(напр. сиролимус, еверолимус, темзиролимус)</w:t>
      </w:r>
    </w:p>
    <w:p w14:paraId="4ED813C2" w14:textId="77777777" w:rsidR="00EF75B1" w:rsidRDefault="00EF75B1" w:rsidP="00EF75B1">
      <w:pPr>
        <w:spacing w:line="240" w:lineRule="auto"/>
        <w:rPr>
          <w:rFonts w:eastAsia="Times New Roman" w:cs="Arial"/>
          <w:i/>
          <w:iCs/>
          <w:color w:val="000000"/>
          <w:lang w:eastAsia="bg-BG"/>
        </w:rPr>
      </w:pPr>
    </w:p>
    <w:p w14:paraId="7F53C54D" w14:textId="4D79A5BD"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Ко-тримоксазол (триметоприм/сулфаметоксазол)</w:t>
      </w:r>
    </w:p>
    <w:p w14:paraId="4BC5213E"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Пациенти, получаващи съпътстващо ко-тримексазол (триметоприм/сулфаметоксазол), може да бъдат изложени на повишен риск от хиперкалиемия (вж. точка 4.4).</w:t>
      </w:r>
    </w:p>
    <w:p w14:paraId="62E50DC0" w14:textId="77777777" w:rsidR="00EF75B1" w:rsidRPr="00EF75B1" w:rsidRDefault="00EF75B1" w:rsidP="00EF75B1"/>
    <w:p w14:paraId="15A75A66" w14:textId="527AD9FC" w:rsidR="00A71DCF" w:rsidRDefault="002C50EE" w:rsidP="00A93499">
      <w:pPr>
        <w:pStyle w:val="Heading2"/>
      </w:pPr>
      <w:r>
        <w:t>4.6. Фертилитет, бременност и кърмене</w:t>
      </w:r>
    </w:p>
    <w:p w14:paraId="4E097096" w14:textId="5B3114BD" w:rsidR="00EF75B1" w:rsidRDefault="00EF75B1" w:rsidP="00EF75B1"/>
    <w:p w14:paraId="04F5863B" w14:textId="410F7284" w:rsidR="00EF75B1" w:rsidRPr="00EF75B1" w:rsidRDefault="00EF75B1" w:rsidP="00EF75B1">
      <w:pPr>
        <w:pStyle w:val="Heading3"/>
        <w:rPr>
          <w:u w:val="single"/>
        </w:rPr>
      </w:pPr>
      <w:r w:rsidRPr="00EF75B1">
        <w:rPr>
          <w:u w:val="single"/>
        </w:rPr>
        <w:t>Бременност</w:t>
      </w:r>
    </w:p>
    <w:tbl>
      <w:tblPr>
        <w:tblStyle w:val="TableGrid"/>
        <w:tblW w:w="0" w:type="auto"/>
        <w:tblLook w:val="04A0" w:firstRow="1" w:lastRow="0" w:firstColumn="1" w:lastColumn="0" w:noHBand="0" w:noVBand="1"/>
      </w:tblPr>
      <w:tblGrid>
        <w:gridCol w:w="9350"/>
      </w:tblGrid>
      <w:tr w:rsidR="00EF75B1" w14:paraId="2B06D24B" w14:textId="77777777" w:rsidTr="00EF75B1">
        <w:tc>
          <w:tcPr>
            <w:tcW w:w="9500" w:type="dxa"/>
          </w:tcPr>
          <w:p w14:paraId="35B99145" w14:textId="7DEA0AE1" w:rsidR="00EF75B1" w:rsidRPr="00EF75B1" w:rsidRDefault="00EF75B1" w:rsidP="00EF75B1">
            <w:pPr>
              <w:rPr>
                <w:lang w:val="en-US"/>
              </w:rPr>
            </w:pPr>
            <w:r>
              <w:rPr>
                <w:rFonts w:cs="Arial"/>
              </w:rPr>
              <w:t>Употребата на АСЕ инхибитори е противопоказана по време на първия триместър на бременността (вижте точка 4.4)Противопоказно е да се приемат АСЕ инхибитори през втория и третия триместър от бременността(вижте точка 4.3 и 4.4)</w:t>
            </w:r>
            <w:r>
              <w:rPr>
                <w:rFonts w:cs="Arial"/>
                <w:lang w:val="en-US"/>
              </w:rPr>
              <w:t>.</w:t>
            </w:r>
          </w:p>
        </w:tc>
      </w:tr>
    </w:tbl>
    <w:p w14:paraId="08A910F7" w14:textId="2E836540" w:rsidR="00EF75B1" w:rsidRDefault="00EF75B1" w:rsidP="00EF75B1"/>
    <w:p w14:paraId="41BF3846"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Епидемиологичните проучвания по отношение на риска от тератогенност в резултат на приложение на АСЕ инхибитори по време на първия триместър от бременността не са напълно убедителни; леко повишен риск, обаче, не може да бъде изключен. Ако продължаване на лечението с АСЕ инхибитор не е наложително, пациентките, планиращи бременност трябва да преминат на алтернативно антихипертензивно лечение с добре установен профил на безопасност по време на бремменост. Когато бременността е потвърдена, лечението с АСЕ инхибитор трябва да се преустанови незабавно и да започне алтернативна терапия.</w:t>
      </w:r>
    </w:p>
    <w:p w14:paraId="47B7B933" w14:textId="77777777" w:rsidR="00EF75B1" w:rsidRDefault="00EF75B1" w:rsidP="00EF75B1">
      <w:pPr>
        <w:rPr>
          <w:rFonts w:eastAsia="Times New Roman" w:cs="Arial"/>
          <w:color w:val="000000"/>
          <w:lang w:eastAsia="bg-BG"/>
        </w:rPr>
      </w:pPr>
    </w:p>
    <w:p w14:paraId="62826AB8" w14:textId="77777777" w:rsidR="00EF75B1" w:rsidRPr="00EF75B1" w:rsidRDefault="00EF75B1" w:rsidP="00EF75B1">
      <w:pPr>
        <w:rPr>
          <w:rFonts w:ascii="Times New Roman" w:eastAsia="Times New Roman" w:hAnsi="Times New Roman" w:cs="Times New Roman"/>
          <w:sz w:val="24"/>
          <w:szCs w:val="24"/>
          <w:lang w:eastAsia="bg-BG"/>
        </w:rPr>
      </w:pPr>
      <w:r w:rsidRPr="00EF75B1">
        <w:rPr>
          <w:rFonts w:eastAsia="Times New Roman" w:cs="Arial"/>
          <w:color w:val="000000"/>
          <w:lang w:eastAsia="bg-BG"/>
        </w:rPr>
        <w:t>Употребата на АСЕ-инхибитор през втория и третия триместър на бременността предизвиква фетотоксичност при хора (влошаване на бъбречната функция, олигохидрамния черепно-лицеви деформации) и неонатална токсичност (бъбречна недостатъчност, хипотония, хиперкалиемия</w:t>
      </w:r>
      <w:r>
        <w:rPr>
          <w:rFonts w:eastAsia="Times New Roman" w:cs="Arial"/>
          <w:color w:val="000000"/>
          <w:lang w:val="en-US" w:eastAsia="bg-BG"/>
        </w:rPr>
        <w:t xml:space="preserve"> </w:t>
      </w:r>
      <w:r w:rsidRPr="00EF75B1">
        <w:rPr>
          <w:rFonts w:eastAsia="Times New Roman" w:cs="Arial"/>
          <w:color w:val="000000"/>
          <w:lang w:eastAsia="bg-BG"/>
        </w:rPr>
        <w:t>виж също т. 5.3). Препоръчително е наблюдение на бъбречната функция и черепа на плода от втория триместър на бременността, ако експозицията към АСЕ инхибитор е продължила през втория и третия триместър на бременността.</w:t>
      </w:r>
    </w:p>
    <w:p w14:paraId="4044F008"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Кърмачета, които са били изложени вътрематочно на АСЕ инхибитори, трябва да се изследват за хипотония (вижте точка 4.3 и 4.4).</w:t>
      </w:r>
    </w:p>
    <w:p w14:paraId="5E11EC95" w14:textId="77777777" w:rsidR="00EF75B1" w:rsidRDefault="00EF75B1" w:rsidP="00EF75B1">
      <w:pPr>
        <w:spacing w:line="240" w:lineRule="auto"/>
        <w:rPr>
          <w:rFonts w:eastAsia="Times New Roman" w:cs="Arial"/>
          <w:i/>
          <w:iCs/>
          <w:color w:val="000000"/>
          <w:lang w:eastAsia="bg-BG"/>
        </w:rPr>
      </w:pPr>
    </w:p>
    <w:p w14:paraId="2FB93EEB" w14:textId="120ED519" w:rsidR="00EF75B1" w:rsidRPr="00EF75B1" w:rsidRDefault="00EF75B1" w:rsidP="00EF75B1">
      <w:pPr>
        <w:pStyle w:val="Heading3"/>
        <w:rPr>
          <w:rFonts w:ascii="Times New Roman" w:eastAsia="Times New Roman" w:hAnsi="Times New Roman" w:cs="Times New Roman"/>
          <w:u w:val="single"/>
          <w:lang w:eastAsia="bg-BG"/>
        </w:rPr>
      </w:pPr>
      <w:r w:rsidRPr="00EF75B1">
        <w:rPr>
          <w:rFonts w:eastAsia="Times New Roman"/>
          <w:u w:val="single"/>
          <w:lang w:eastAsia="bg-BG"/>
        </w:rPr>
        <w:t>Кърмене</w:t>
      </w:r>
    </w:p>
    <w:p w14:paraId="70AF994E"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Не е известно дали Витоприл се екскретира в човешката кърма. Употребата на Витоприл по време на кърмене не е препоръчителна и е предопъчително да се премине към алтернативно лечение с добре установен профил на безопасност по време на кърмене, особено при кърмене на новородено или преждевременно родено дете</w:t>
      </w:r>
    </w:p>
    <w:p w14:paraId="01D006BF" w14:textId="1B9940AC" w:rsidR="00EF75B1" w:rsidRPr="00EF75B1" w:rsidRDefault="00EF75B1" w:rsidP="00EF75B1">
      <w:pPr>
        <w:rPr>
          <w:lang w:val="en-US"/>
        </w:rPr>
      </w:pPr>
    </w:p>
    <w:p w14:paraId="6201597D" w14:textId="1581C6B7" w:rsidR="00EE6C97" w:rsidRDefault="002C50EE" w:rsidP="00A93499">
      <w:pPr>
        <w:pStyle w:val="Heading2"/>
      </w:pPr>
      <w:r>
        <w:t>4.7. Ефекти върху способността за шофиране и работа с машини</w:t>
      </w:r>
    </w:p>
    <w:p w14:paraId="2EB12483" w14:textId="5CD27ABF" w:rsidR="00EF75B1" w:rsidRDefault="00EF75B1" w:rsidP="00EF75B1"/>
    <w:p w14:paraId="570EA2B5"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Трябва да се има предвид, че способността за активно участие в пътното движение или да се управляват машини, може понякога да бъде намалена поради световъртеж или отпадналост.</w:t>
      </w:r>
    </w:p>
    <w:p w14:paraId="11BBE454" w14:textId="77777777" w:rsidR="00EF75B1" w:rsidRPr="00EF75B1" w:rsidRDefault="00EF75B1" w:rsidP="00EF75B1"/>
    <w:p w14:paraId="389A90F4" w14:textId="709D04FC" w:rsidR="00BA5B74" w:rsidRDefault="002C50EE" w:rsidP="00A93499">
      <w:pPr>
        <w:pStyle w:val="Heading2"/>
      </w:pPr>
      <w:r>
        <w:t>4.8. Нежелани лекарствени реакции</w:t>
      </w:r>
    </w:p>
    <w:p w14:paraId="52D52DA2" w14:textId="574483E1" w:rsidR="00EF75B1" w:rsidRDefault="00EF75B1" w:rsidP="00EF75B1"/>
    <w:p w14:paraId="24B6F529"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Следните нежелани реакции, наблюдавани и докладвани по време на лечение с витоприл и други АСЕ-инхибитори, са подредени по честота, като се използва следната класификация: Много чести (≥1/10); чести ≥1/100, &lt; 1/10); нечести ≥1/1000, &lt; 1/100); редки</w:t>
      </w:r>
    </w:p>
    <w:p w14:paraId="19E7F672"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≥1/10 000, &lt; 1/1000); много редки (&lt; 1/10 000), с неизвестна честота (от наличните данни не може да бъде направена оценка).</w:t>
      </w:r>
    </w:p>
    <w:p w14:paraId="478E1E76" w14:textId="77777777" w:rsidR="00EF75B1" w:rsidRDefault="00EF75B1" w:rsidP="00EF75B1">
      <w:pPr>
        <w:spacing w:line="240" w:lineRule="auto"/>
        <w:rPr>
          <w:rFonts w:eastAsia="Times New Roman" w:cs="Arial"/>
          <w:b/>
          <w:bCs/>
          <w:color w:val="000000"/>
          <w:lang w:eastAsia="bg-BG"/>
        </w:rPr>
      </w:pPr>
    </w:p>
    <w:p w14:paraId="72E63101" w14:textId="14EC47E0"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b/>
          <w:bCs/>
          <w:color w:val="000000"/>
          <w:lang w:eastAsia="bg-BG"/>
        </w:rPr>
        <w:t>Нарушения на кръвта и лимфната система:</w:t>
      </w:r>
    </w:p>
    <w:p w14:paraId="03F2D90C"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Редки:</w:t>
      </w:r>
      <w:r w:rsidRPr="00EF75B1">
        <w:rPr>
          <w:rFonts w:eastAsia="Times New Roman" w:cs="Arial"/>
          <w:color w:val="000000"/>
          <w:lang w:eastAsia="bg-BG"/>
        </w:rPr>
        <w:t xml:space="preserve"> Понижаване на хемоглобина, понижаване на хематокрита.</w:t>
      </w:r>
    </w:p>
    <w:p w14:paraId="167D4135"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Много редки:</w:t>
      </w:r>
      <w:r w:rsidRPr="00EF75B1">
        <w:rPr>
          <w:rFonts w:eastAsia="Times New Roman" w:cs="Arial"/>
          <w:color w:val="000000"/>
          <w:lang w:eastAsia="bg-BG"/>
        </w:rPr>
        <w:t xml:space="preserve"> Костно мозъчна депресия, анемия, тромбоцитопения, левкопения, неутропения, агранулоцитоза (виж т. 4.4), хемолитична анемия, лимфаденопатия, автоимунно заболяване.</w:t>
      </w:r>
    </w:p>
    <w:p w14:paraId="7B5B99B7" w14:textId="77777777" w:rsidR="00EF75B1" w:rsidRDefault="00EF75B1" w:rsidP="00EF75B1">
      <w:pPr>
        <w:spacing w:line="240" w:lineRule="auto"/>
        <w:rPr>
          <w:rFonts w:eastAsia="Times New Roman" w:cs="Arial"/>
          <w:b/>
          <w:bCs/>
          <w:color w:val="000000"/>
          <w:lang w:eastAsia="bg-BG"/>
        </w:rPr>
      </w:pPr>
      <w:bookmarkStart w:id="2" w:name="bookmark2"/>
    </w:p>
    <w:p w14:paraId="5E3B494C" w14:textId="323376A6"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b/>
          <w:bCs/>
          <w:color w:val="000000"/>
          <w:lang w:eastAsia="bg-BG"/>
        </w:rPr>
        <w:t>Нарушения на метаболизма и храненето:</w:t>
      </w:r>
      <w:bookmarkEnd w:id="2"/>
    </w:p>
    <w:p w14:paraId="2377C78C"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Много редки:</w:t>
      </w:r>
      <w:r w:rsidRPr="00EF75B1">
        <w:rPr>
          <w:rFonts w:eastAsia="Times New Roman" w:cs="Arial"/>
          <w:color w:val="000000"/>
          <w:lang w:eastAsia="bg-BG"/>
        </w:rPr>
        <w:t xml:space="preserve"> Хипогликемия</w:t>
      </w:r>
    </w:p>
    <w:p w14:paraId="187402B5" w14:textId="77777777" w:rsidR="00EF75B1" w:rsidRDefault="00EF75B1" w:rsidP="00EF75B1">
      <w:pPr>
        <w:spacing w:line="240" w:lineRule="auto"/>
        <w:rPr>
          <w:rFonts w:eastAsia="Times New Roman" w:cs="Arial"/>
          <w:b/>
          <w:bCs/>
          <w:color w:val="000000"/>
          <w:lang w:eastAsia="bg-BG"/>
        </w:rPr>
      </w:pPr>
      <w:bookmarkStart w:id="3" w:name="bookmark4"/>
    </w:p>
    <w:p w14:paraId="452EFEA8" w14:textId="0424F26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b/>
          <w:bCs/>
          <w:color w:val="000000"/>
          <w:lang w:eastAsia="bg-BG"/>
        </w:rPr>
        <w:t>Нарушения на нервната система и психични нарушения:</w:t>
      </w:r>
      <w:bookmarkEnd w:id="3"/>
    </w:p>
    <w:p w14:paraId="36EC40BC"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Чести:</w:t>
      </w:r>
      <w:r w:rsidRPr="00EF75B1">
        <w:rPr>
          <w:rFonts w:eastAsia="Times New Roman" w:cs="Arial"/>
          <w:color w:val="000000"/>
          <w:lang w:eastAsia="bg-BG"/>
        </w:rPr>
        <w:t xml:space="preserve"> Световъртеж, главоболие</w:t>
      </w:r>
    </w:p>
    <w:p w14:paraId="207C2DA3"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Нечести:</w:t>
      </w:r>
      <w:r w:rsidRPr="00EF75B1">
        <w:rPr>
          <w:rFonts w:eastAsia="Times New Roman" w:cs="Arial"/>
          <w:color w:val="000000"/>
          <w:lang w:eastAsia="bg-BG"/>
        </w:rPr>
        <w:t xml:space="preserve"> Промени в настроението, парестезия, вертиго, вкусови нарушения, смущения в съня</w:t>
      </w:r>
    </w:p>
    <w:p w14:paraId="56EF88AD"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Редки:</w:t>
      </w:r>
      <w:r w:rsidRPr="00EF75B1">
        <w:rPr>
          <w:rFonts w:eastAsia="Times New Roman" w:cs="Arial"/>
          <w:color w:val="000000"/>
          <w:lang w:eastAsia="bg-BG"/>
        </w:rPr>
        <w:t xml:space="preserve"> Умствени нарушения</w:t>
      </w:r>
    </w:p>
    <w:p w14:paraId="38EA7C8C" w14:textId="77777777" w:rsidR="00EF75B1" w:rsidRDefault="00EF75B1" w:rsidP="00EF75B1">
      <w:pPr>
        <w:spacing w:line="240" w:lineRule="auto"/>
        <w:rPr>
          <w:rFonts w:eastAsia="Times New Roman" w:cs="Arial"/>
          <w:b/>
          <w:bCs/>
          <w:color w:val="000000"/>
          <w:lang w:eastAsia="bg-BG"/>
        </w:rPr>
      </w:pPr>
      <w:bookmarkStart w:id="4" w:name="bookmark6"/>
    </w:p>
    <w:p w14:paraId="3E5B331C" w14:textId="35989074"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b/>
          <w:bCs/>
          <w:color w:val="000000"/>
          <w:lang w:eastAsia="bg-BG"/>
        </w:rPr>
        <w:t>Сърдечни и съдови нарушения:</w:t>
      </w:r>
      <w:bookmarkEnd w:id="4"/>
    </w:p>
    <w:p w14:paraId="4BC47FFB"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Чести:</w:t>
      </w:r>
      <w:r w:rsidRPr="00EF75B1">
        <w:rPr>
          <w:rFonts w:eastAsia="Times New Roman" w:cs="Arial"/>
          <w:color w:val="000000"/>
          <w:lang w:eastAsia="bg-BG"/>
        </w:rPr>
        <w:t xml:space="preserve"> Ортостатични нарушения (вкл. хипотония)</w:t>
      </w:r>
    </w:p>
    <w:p w14:paraId="4C6E8C9C"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Нечести:</w:t>
      </w:r>
      <w:r w:rsidRPr="00EF75B1">
        <w:rPr>
          <w:rFonts w:eastAsia="Times New Roman" w:cs="Arial"/>
          <w:color w:val="000000"/>
          <w:lang w:eastAsia="bg-BG"/>
        </w:rPr>
        <w:t xml:space="preserve"> Инфаркт на миокарда или мозъчно-съдов инцидент, който може да доведе до тежка хипотония при високорискови пациенти (виж т. 4.4), сърцебиене, тахикардия, синдром на Рейно.</w:t>
      </w:r>
    </w:p>
    <w:p w14:paraId="49F08E79" w14:textId="77777777" w:rsidR="00EF75B1" w:rsidRDefault="00EF75B1" w:rsidP="00EF75B1">
      <w:pPr>
        <w:spacing w:line="240" w:lineRule="auto"/>
        <w:rPr>
          <w:rFonts w:eastAsia="Times New Roman" w:cs="Arial"/>
          <w:b/>
          <w:bCs/>
          <w:color w:val="000000"/>
          <w:lang w:eastAsia="bg-BG"/>
        </w:rPr>
      </w:pPr>
      <w:bookmarkStart w:id="5" w:name="bookmark8"/>
    </w:p>
    <w:p w14:paraId="48152100" w14:textId="16B8C880"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b/>
          <w:bCs/>
          <w:color w:val="000000"/>
          <w:lang w:eastAsia="bg-BG"/>
        </w:rPr>
        <w:t>Респираторни, гръдни и медиастинални нарушения:</w:t>
      </w:r>
      <w:bookmarkEnd w:id="5"/>
    </w:p>
    <w:p w14:paraId="6D9FDF27"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Чести:</w:t>
      </w:r>
      <w:r w:rsidRPr="00EF75B1">
        <w:rPr>
          <w:rFonts w:eastAsia="Times New Roman" w:cs="Arial"/>
          <w:color w:val="000000"/>
          <w:lang w:eastAsia="bg-BG"/>
        </w:rPr>
        <w:t xml:space="preserve"> Кашлица</w:t>
      </w:r>
    </w:p>
    <w:p w14:paraId="2940D96D"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Нечести:</w:t>
      </w:r>
      <w:r w:rsidRPr="00EF75B1">
        <w:rPr>
          <w:rFonts w:eastAsia="Times New Roman" w:cs="Arial"/>
          <w:color w:val="000000"/>
          <w:lang w:eastAsia="bg-BG"/>
        </w:rPr>
        <w:t xml:space="preserve"> Ринит</w:t>
      </w:r>
    </w:p>
    <w:p w14:paraId="37E1E09F"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Много редки:</w:t>
      </w:r>
      <w:r w:rsidRPr="00EF75B1">
        <w:rPr>
          <w:rFonts w:eastAsia="Times New Roman" w:cs="Arial"/>
          <w:color w:val="000000"/>
          <w:lang w:eastAsia="bg-BG"/>
        </w:rPr>
        <w:t xml:space="preserve"> Бронхоспазъм, синуит, алергичен алвеолит/ еозинофилия пневмония</w:t>
      </w:r>
    </w:p>
    <w:p w14:paraId="43F1EC0B" w14:textId="77777777" w:rsidR="00EF75B1" w:rsidRDefault="00EF75B1" w:rsidP="00EF75B1">
      <w:pPr>
        <w:spacing w:line="240" w:lineRule="auto"/>
        <w:rPr>
          <w:rFonts w:eastAsia="Times New Roman" w:cs="Arial"/>
          <w:b/>
          <w:bCs/>
          <w:color w:val="000000"/>
          <w:lang w:eastAsia="bg-BG"/>
        </w:rPr>
      </w:pPr>
      <w:bookmarkStart w:id="6" w:name="bookmark10"/>
    </w:p>
    <w:p w14:paraId="6F730C2D" w14:textId="142AAB14" w:rsidR="00EF75B1" w:rsidRPr="00EF75B1" w:rsidRDefault="00EF75B1" w:rsidP="00EF75B1">
      <w:pPr>
        <w:spacing w:line="240" w:lineRule="auto"/>
        <w:rPr>
          <w:rFonts w:eastAsia="Times New Roman" w:cs="Arial"/>
          <w:b/>
          <w:bCs/>
          <w:color w:val="000000"/>
          <w:lang w:eastAsia="bg-BG"/>
        </w:rPr>
      </w:pPr>
      <w:r w:rsidRPr="00EF75B1">
        <w:rPr>
          <w:rFonts w:eastAsia="Times New Roman" w:cs="Arial"/>
          <w:b/>
          <w:bCs/>
          <w:color w:val="000000"/>
          <w:lang w:eastAsia="bg-BG"/>
        </w:rPr>
        <w:t>Стомашно-чревни нарушения:</w:t>
      </w:r>
      <w:bookmarkEnd w:id="6"/>
    </w:p>
    <w:p w14:paraId="2BA70113"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Чести:</w:t>
      </w:r>
      <w:r w:rsidRPr="00EF75B1">
        <w:rPr>
          <w:rFonts w:eastAsia="Times New Roman" w:cs="Arial"/>
          <w:color w:val="000000"/>
          <w:lang w:eastAsia="bg-BG"/>
        </w:rPr>
        <w:t xml:space="preserve"> Диария, повръщане</w:t>
      </w:r>
    </w:p>
    <w:p w14:paraId="40E110F1"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Нечести:</w:t>
      </w:r>
      <w:r w:rsidRPr="00EF75B1">
        <w:rPr>
          <w:rFonts w:eastAsia="Times New Roman" w:cs="Arial"/>
          <w:color w:val="000000"/>
          <w:lang w:eastAsia="bg-BG"/>
        </w:rPr>
        <w:t xml:space="preserve"> Гадене, коремна болка и стомашно разстройство</w:t>
      </w:r>
    </w:p>
    <w:p w14:paraId="1553BBA1"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Редки:</w:t>
      </w:r>
      <w:r w:rsidRPr="00EF75B1">
        <w:rPr>
          <w:rFonts w:eastAsia="Times New Roman" w:cs="Arial"/>
          <w:color w:val="000000"/>
          <w:lang w:eastAsia="bg-BG"/>
        </w:rPr>
        <w:t xml:space="preserve"> Сухота в устата</w:t>
      </w:r>
    </w:p>
    <w:p w14:paraId="4851CD4E"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Много редки:</w:t>
      </w:r>
      <w:r w:rsidRPr="00EF75B1">
        <w:rPr>
          <w:rFonts w:eastAsia="Times New Roman" w:cs="Arial"/>
          <w:color w:val="000000"/>
          <w:lang w:eastAsia="bg-BG"/>
        </w:rPr>
        <w:t xml:space="preserve"> Панкреатити, ангиоедем, хепатит, жълтеница, чернодробна недостатъчност (виж т. 4.4)</w:t>
      </w:r>
    </w:p>
    <w:p w14:paraId="1BD8B0AE" w14:textId="77777777" w:rsidR="00EF75B1" w:rsidRDefault="00EF75B1" w:rsidP="00EF75B1">
      <w:pPr>
        <w:spacing w:line="240" w:lineRule="auto"/>
        <w:rPr>
          <w:rFonts w:eastAsia="Times New Roman" w:cs="Arial"/>
          <w:b/>
          <w:bCs/>
          <w:color w:val="000000"/>
          <w:lang w:eastAsia="bg-BG"/>
        </w:rPr>
      </w:pPr>
    </w:p>
    <w:p w14:paraId="053DFD8F" w14:textId="32F92A4E"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b/>
          <w:bCs/>
          <w:color w:val="000000"/>
          <w:lang w:eastAsia="bg-BG"/>
        </w:rPr>
        <w:t>Нарушения на кожата и подкожната тъкан:</w:t>
      </w:r>
    </w:p>
    <w:p w14:paraId="7F000133"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Нечести:</w:t>
      </w:r>
      <w:r w:rsidRPr="00F273BC">
        <w:rPr>
          <w:rFonts w:eastAsia="Times New Roman" w:cs="Arial"/>
          <w:color w:val="000000"/>
          <w:lang w:eastAsia="bg-BG"/>
        </w:rPr>
        <w:t xml:space="preserve"> Обрив, сърбеж</w:t>
      </w:r>
    </w:p>
    <w:p w14:paraId="3E3B0F24"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Редки:</w:t>
      </w:r>
      <w:r w:rsidRPr="00F273BC">
        <w:rPr>
          <w:rFonts w:eastAsia="Times New Roman" w:cs="Arial"/>
          <w:color w:val="000000"/>
          <w:lang w:eastAsia="bg-BG"/>
        </w:rPr>
        <w:t xml:space="preserve"> Свръхчувствителност/Ангионевротичен оток: ангионевротичен оток на лицето, крайниците устните, езика, глотиса и/или ларинкса (виж т. 4.4), уртикария, алопеция, псориазис.</w:t>
      </w:r>
    </w:p>
    <w:p w14:paraId="7AC0BD9A"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Много редки:</w:t>
      </w:r>
      <w:r w:rsidRPr="00F273BC">
        <w:rPr>
          <w:rFonts w:eastAsia="Times New Roman" w:cs="Arial"/>
          <w:color w:val="000000"/>
          <w:lang w:eastAsia="bg-BG"/>
        </w:rPr>
        <w:t xml:space="preserve"> Силно потене, пемфигус, токсична епидермална некролиза, синдром на Стивънс- Джонсън, еритема мултиформе, кожна псевдолимфома.</w:t>
      </w:r>
    </w:p>
    <w:p w14:paraId="4F36C1DE"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lastRenderedPageBreak/>
        <w:t xml:space="preserve">Дерматологичните промени могат да бъдат придружени от повишена температура, васкулити, миалгия, артралгия, левкоцитоза и/или повишен </w:t>
      </w:r>
      <w:r w:rsidRPr="00F273BC">
        <w:rPr>
          <w:rFonts w:eastAsia="Times New Roman" w:cs="Arial"/>
          <w:color w:val="000000"/>
          <w:lang w:val="en-US"/>
        </w:rPr>
        <w:t>ANA</w:t>
      </w:r>
      <w:r w:rsidRPr="00F273BC">
        <w:rPr>
          <w:rFonts w:eastAsia="Times New Roman" w:cs="Arial"/>
          <w:color w:val="000000"/>
          <w:lang w:eastAsia="bg-BG"/>
        </w:rPr>
        <w:t>-титър, повишена скорост на утаяване на еритроцитите, еозинофилия и левкоцитоза, обрив, фоточувствителност.</w:t>
      </w:r>
    </w:p>
    <w:p w14:paraId="530878DE" w14:textId="77777777" w:rsidR="00F273BC" w:rsidRDefault="00F273BC" w:rsidP="00F273BC">
      <w:pPr>
        <w:spacing w:line="240" w:lineRule="auto"/>
        <w:rPr>
          <w:rFonts w:eastAsia="Times New Roman" w:cs="Arial"/>
          <w:b/>
          <w:bCs/>
          <w:color w:val="000000"/>
          <w:lang w:eastAsia="bg-BG"/>
        </w:rPr>
      </w:pPr>
    </w:p>
    <w:p w14:paraId="02B8447C" w14:textId="2B937551"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b/>
          <w:bCs/>
          <w:color w:val="000000"/>
          <w:lang w:eastAsia="bg-BG"/>
        </w:rPr>
        <w:t>Нарушения на бъбреците и пикочните пътища:</w:t>
      </w:r>
    </w:p>
    <w:p w14:paraId="7227EC8F"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Чести:</w:t>
      </w:r>
      <w:r w:rsidRPr="00F273BC">
        <w:rPr>
          <w:rFonts w:eastAsia="Times New Roman" w:cs="Arial"/>
          <w:color w:val="000000"/>
          <w:lang w:eastAsia="bg-BG"/>
        </w:rPr>
        <w:t xml:space="preserve"> Неправилно функциониране на бъбреците</w:t>
      </w:r>
    </w:p>
    <w:p w14:paraId="00AB2DE8"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Редки:</w:t>
      </w:r>
      <w:r w:rsidRPr="00F273BC">
        <w:rPr>
          <w:rFonts w:eastAsia="Times New Roman" w:cs="Arial"/>
          <w:color w:val="000000"/>
          <w:lang w:eastAsia="bg-BG"/>
        </w:rPr>
        <w:t xml:space="preserve"> Уремия, остра бъбречна недостатъчност</w:t>
      </w:r>
    </w:p>
    <w:p w14:paraId="420CBC60"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Много редки:</w:t>
      </w:r>
      <w:r w:rsidRPr="00F273BC">
        <w:rPr>
          <w:rFonts w:eastAsia="Times New Roman" w:cs="Arial"/>
          <w:color w:val="000000"/>
          <w:lang w:eastAsia="bg-BG"/>
        </w:rPr>
        <w:t xml:space="preserve"> Олигурия / анурия</w:t>
      </w:r>
    </w:p>
    <w:p w14:paraId="51A61C23" w14:textId="77777777" w:rsidR="00F273BC" w:rsidRDefault="00F273BC" w:rsidP="00F273BC">
      <w:pPr>
        <w:spacing w:line="240" w:lineRule="auto"/>
        <w:rPr>
          <w:rFonts w:eastAsia="Times New Roman" w:cs="Arial"/>
          <w:b/>
          <w:bCs/>
          <w:color w:val="000000"/>
          <w:lang w:eastAsia="bg-BG"/>
        </w:rPr>
      </w:pPr>
    </w:p>
    <w:p w14:paraId="7DA39753" w14:textId="0711D1B1"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b/>
          <w:bCs/>
          <w:color w:val="000000"/>
          <w:lang w:eastAsia="bg-BG"/>
        </w:rPr>
        <w:t>Нарушения на репродуктивната система и гърдите:</w:t>
      </w:r>
    </w:p>
    <w:p w14:paraId="07F13867"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Нечести:</w:t>
      </w:r>
      <w:r w:rsidRPr="00F273BC">
        <w:rPr>
          <w:rFonts w:eastAsia="Times New Roman" w:cs="Arial"/>
          <w:color w:val="000000"/>
          <w:lang w:eastAsia="bg-BG"/>
        </w:rPr>
        <w:t xml:space="preserve"> Импотентност</w:t>
      </w:r>
    </w:p>
    <w:p w14:paraId="4C0D7499"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Редки:</w:t>
      </w:r>
      <w:r w:rsidRPr="00F273BC">
        <w:rPr>
          <w:rFonts w:eastAsia="Times New Roman" w:cs="Arial"/>
          <w:color w:val="000000"/>
          <w:lang w:eastAsia="bg-BG"/>
        </w:rPr>
        <w:t xml:space="preserve"> Гинекомастия</w:t>
      </w:r>
    </w:p>
    <w:p w14:paraId="42542DA5" w14:textId="77777777" w:rsidR="00F273BC" w:rsidRDefault="00F273BC" w:rsidP="00F273BC">
      <w:pPr>
        <w:spacing w:line="240" w:lineRule="auto"/>
        <w:rPr>
          <w:rFonts w:eastAsia="Times New Roman" w:cs="Arial"/>
          <w:b/>
          <w:bCs/>
          <w:color w:val="000000"/>
          <w:lang w:eastAsia="bg-BG"/>
        </w:rPr>
      </w:pPr>
    </w:p>
    <w:p w14:paraId="3B3EFFBA" w14:textId="6C924454"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b/>
          <w:bCs/>
          <w:color w:val="000000"/>
          <w:lang w:eastAsia="bg-BG"/>
        </w:rPr>
        <w:t>Общи нарушения и ефекти на мястото на приложение:</w:t>
      </w:r>
    </w:p>
    <w:p w14:paraId="7AE55CDB" w14:textId="3267F8C5"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Нечести:</w:t>
      </w:r>
      <w:r w:rsidRPr="00F273BC">
        <w:rPr>
          <w:rFonts w:eastAsia="Times New Roman" w:cs="Arial"/>
          <w:color w:val="000000"/>
          <w:lang w:eastAsia="bg-BG"/>
        </w:rPr>
        <w:t xml:space="preserve"> Умора, астеиия</w:t>
      </w:r>
    </w:p>
    <w:p w14:paraId="1BBB3BF4" w14:textId="77777777" w:rsidR="00F273BC" w:rsidRDefault="00F273BC" w:rsidP="00F273BC">
      <w:pPr>
        <w:spacing w:line="240" w:lineRule="auto"/>
        <w:rPr>
          <w:rFonts w:eastAsia="Times New Roman" w:cs="Arial"/>
          <w:b/>
          <w:bCs/>
          <w:color w:val="000000"/>
          <w:lang w:eastAsia="bg-BG"/>
        </w:rPr>
      </w:pPr>
    </w:p>
    <w:p w14:paraId="4C28390A" w14:textId="20774C6A"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b/>
          <w:bCs/>
          <w:color w:val="000000"/>
          <w:lang w:eastAsia="bg-BG"/>
        </w:rPr>
        <w:t>Изследвания:</w:t>
      </w:r>
    </w:p>
    <w:p w14:paraId="3E211BA9"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Нечести:</w:t>
      </w:r>
      <w:r w:rsidRPr="00F273BC">
        <w:rPr>
          <w:rFonts w:eastAsia="Times New Roman" w:cs="Arial"/>
          <w:color w:val="000000"/>
          <w:lang w:eastAsia="bg-BG"/>
        </w:rPr>
        <w:t xml:space="preserve"> Увеличаване на серумните нива на урея, креатинин, повишаване на чернодробните ензими, хиперкалиемия</w:t>
      </w:r>
    </w:p>
    <w:p w14:paraId="172EF2DF"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Редки:</w:t>
      </w:r>
      <w:r w:rsidRPr="00F273BC">
        <w:rPr>
          <w:rFonts w:eastAsia="Times New Roman" w:cs="Arial"/>
          <w:color w:val="000000"/>
          <w:lang w:eastAsia="bg-BG"/>
        </w:rPr>
        <w:t xml:space="preserve"> Повишаване на нивото на серумния билирубин, хипонатриемия</w:t>
      </w:r>
    </w:p>
    <w:p w14:paraId="645A2540" w14:textId="77777777" w:rsidR="00F273BC" w:rsidRDefault="00F273BC" w:rsidP="00F273BC">
      <w:pPr>
        <w:spacing w:line="240" w:lineRule="auto"/>
        <w:rPr>
          <w:rFonts w:eastAsia="Times New Roman" w:cs="Arial"/>
          <w:color w:val="000000"/>
          <w:lang w:eastAsia="bg-BG"/>
        </w:rPr>
      </w:pPr>
    </w:p>
    <w:p w14:paraId="7F280BA2" w14:textId="593BC0A3"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Данните за безопасност, получени при клинични проучвания показват, че терапевтичният отговор към лизиноприл е добър при педиатрични пациенти с хипертония и профилът на безопасност при тази възрастова група е съизмерим с профила на безопасност при възрастни.</w:t>
      </w:r>
    </w:p>
    <w:p w14:paraId="514EDB31" w14:textId="77777777" w:rsidR="00F273BC" w:rsidRDefault="00F273BC" w:rsidP="00F273BC">
      <w:pPr>
        <w:spacing w:line="240" w:lineRule="auto"/>
        <w:rPr>
          <w:rFonts w:eastAsia="Times New Roman" w:cs="Arial"/>
          <w:color w:val="000000"/>
          <w:u w:val="single"/>
          <w:lang w:eastAsia="bg-BG"/>
        </w:rPr>
      </w:pPr>
    </w:p>
    <w:p w14:paraId="3E532FA7" w14:textId="78F7B104"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u w:val="single"/>
          <w:lang w:eastAsia="bg-BG"/>
        </w:rPr>
        <w:t>Съобщаване на подозирани нежелани реакции</w:t>
      </w:r>
    </w:p>
    <w:p w14:paraId="1857DF6E"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w:t>
      </w:r>
    </w:p>
    <w:p w14:paraId="7E23368E"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 xml:space="preserve">Изпълнителна агенция по лекарствата, ул. Дамян Груев 8, 1303 София, телефон: +359 2 8903417, уебадрес: </w:t>
      </w:r>
      <w:r w:rsidRPr="00F273BC">
        <w:rPr>
          <w:rFonts w:ascii="Times New Roman" w:eastAsia="Times New Roman" w:hAnsi="Times New Roman" w:cs="Times New Roman"/>
          <w:sz w:val="24"/>
          <w:szCs w:val="24"/>
          <w:lang w:eastAsia="bg-BG"/>
        </w:rPr>
        <w:fldChar w:fldCharType="begin"/>
      </w:r>
      <w:r w:rsidRPr="00F273BC">
        <w:rPr>
          <w:rFonts w:ascii="Times New Roman" w:eastAsia="Times New Roman" w:hAnsi="Times New Roman" w:cs="Times New Roman"/>
          <w:sz w:val="24"/>
          <w:szCs w:val="24"/>
          <w:lang w:eastAsia="bg-BG"/>
        </w:rPr>
        <w:instrText xml:space="preserve"> HYPERLINK "http://www.bda.bg" </w:instrText>
      </w:r>
      <w:r w:rsidRPr="00F273BC">
        <w:rPr>
          <w:rFonts w:ascii="Times New Roman" w:eastAsia="Times New Roman" w:hAnsi="Times New Roman" w:cs="Times New Roman"/>
          <w:sz w:val="24"/>
          <w:szCs w:val="24"/>
          <w:lang w:eastAsia="bg-BG"/>
        </w:rPr>
      </w:r>
      <w:r w:rsidRPr="00F273BC">
        <w:rPr>
          <w:rFonts w:ascii="Times New Roman" w:eastAsia="Times New Roman" w:hAnsi="Times New Roman" w:cs="Times New Roman"/>
          <w:sz w:val="24"/>
          <w:szCs w:val="24"/>
          <w:lang w:eastAsia="bg-BG"/>
        </w:rPr>
        <w:fldChar w:fldCharType="separate"/>
      </w:r>
      <w:r w:rsidRPr="00F273BC">
        <w:rPr>
          <w:rFonts w:eastAsia="Times New Roman" w:cs="Arial"/>
          <w:color w:val="000000"/>
          <w:lang w:val="en-US"/>
        </w:rPr>
        <w:t>www.bda.bg</w:t>
      </w:r>
      <w:r w:rsidRPr="00F273BC">
        <w:rPr>
          <w:rFonts w:ascii="Times New Roman" w:eastAsia="Times New Roman" w:hAnsi="Times New Roman" w:cs="Times New Roman"/>
          <w:sz w:val="24"/>
          <w:szCs w:val="24"/>
          <w:lang w:eastAsia="bg-BG"/>
        </w:rPr>
        <w:fldChar w:fldCharType="end"/>
      </w:r>
    </w:p>
    <w:p w14:paraId="7A843B62" w14:textId="77777777" w:rsidR="00EF75B1" w:rsidRPr="00EF75B1" w:rsidRDefault="00EF75B1" w:rsidP="00EF75B1"/>
    <w:p w14:paraId="4A5904B1" w14:textId="7153E1A3" w:rsidR="00EE6C97" w:rsidRDefault="002C50EE" w:rsidP="00A93499">
      <w:pPr>
        <w:pStyle w:val="Heading2"/>
      </w:pPr>
      <w:r>
        <w:t>4.9. Предозиране</w:t>
      </w:r>
    </w:p>
    <w:p w14:paraId="3A041ECE" w14:textId="4B1E9097" w:rsidR="00F273BC" w:rsidRDefault="00F273BC" w:rsidP="00F273BC"/>
    <w:p w14:paraId="6E9DBCD5" w14:textId="43944418" w:rsidR="00F273BC" w:rsidRPr="00F273BC" w:rsidRDefault="00F273BC" w:rsidP="00F273BC">
      <w:r>
        <w:rPr>
          <w:rFonts w:cs="Arial"/>
        </w:rPr>
        <w:t>Има ограничени данни за предозиране при хора. В зависимост от степента на предозиране могат да се очакват следните симптоми: тежка хипотония, шок, електролитен дисбаланс, бъбречна недостатъчност, хипервентилация, тахикардия, сърцебиене, брадикардия, световъртеж, безпокойство и кашлица. Препоръчителното лечение при предозиране е интравенозна инфузия на физиологичен разтвор. Ако е налице хипотония, пациентите трябва да се поставят в легнало положение. Ако е възможно, може да се направи инфузия с ангиотензин II и/или може да бъде обсъдено интравенозно приложение на катехоламини. Ако предозирането е извършено скоро, трябва да се предприемат мерки за елиминирането на витоприл (напр. предизвикване на повръщане, промивка на стомаха, прилагане на абсорбенти и натриев сулфат). Витоприл може да се отстрани чрез хемодиализа (виж т. 4.4 Специални предупреждения и специални предпазни мерки при употреба). При устойчива на лечение</w:t>
      </w:r>
      <w:r>
        <w:rPr>
          <w:rFonts w:cs="Arial"/>
          <w:u w:val="single"/>
        </w:rPr>
        <w:t xml:space="preserve"> </w:t>
      </w:r>
      <w:r>
        <w:rPr>
          <w:rFonts w:cs="Arial"/>
        </w:rPr>
        <w:t xml:space="preserve">брадикардия, </w:t>
      </w:r>
      <w:r>
        <w:rPr>
          <w:rFonts w:cs="Arial"/>
        </w:rPr>
        <w:lastRenderedPageBreak/>
        <w:t>трябва да се използва пейсмейкър. Трябва често да се проследяват жизнените признаци, серумните концентрации на електролитите и креатинина.</w:t>
      </w:r>
    </w:p>
    <w:p w14:paraId="02081B24" w14:textId="36FE76F4" w:rsidR="00395555" w:rsidRPr="00395555" w:rsidRDefault="002C50EE" w:rsidP="008A6AF2">
      <w:pPr>
        <w:pStyle w:val="Heading1"/>
      </w:pPr>
      <w:r>
        <w:t>5. ФАРМАКОЛОГИЧНИ СВОЙСТВА</w:t>
      </w:r>
    </w:p>
    <w:p w14:paraId="3B9FA2B5" w14:textId="02AD6480" w:rsidR="00EE6C97" w:rsidRDefault="002C50EE" w:rsidP="00A93499">
      <w:pPr>
        <w:pStyle w:val="Heading2"/>
      </w:pPr>
      <w:r>
        <w:t>5.1. Фармакодинамични свойства</w:t>
      </w:r>
    </w:p>
    <w:p w14:paraId="50F5220B" w14:textId="6727EBE5" w:rsidR="00F273BC" w:rsidRDefault="00F273BC" w:rsidP="00F273BC"/>
    <w:p w14:paraId="5371E892"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Фармакотерапевтична група: Инхибитори на ангиотензин конвертиращия ензим, АТС код: С09А АОЗ</w:t>
      </w:r>
    </w:p>
    <w:p w14:paraId="25FB08CF" w14:textId="77777777" w:rsidR="00F273BC" w:rsidRDefault="00F273BC" w:rsidP="00F273BC">
      <w:pPr>
        <w:spacing w:line="240" w:lineRule="auto"/>
        <w:rPr>
          <w:rFonts w:eastAsia="Times New Roman" w:cs="Arial"/>
          <w:color w:val="000000"/>
          <w:lang w:eastAsia="bg-BG"/>
        </w:rPr>
      </w:pPr>
    </w:p>
    <w:p w14:paraId="53F4171C" w14:textId="1E7FC025"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Механизъм на действие</w:t>
      </w:r>
    </w:p>
    <w:p w14:paraId="5627607E"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Лизиноприл е пептидил дипептидаза инхибитор. Той инхибира ангиотензин конвертиращия ензим (АСЕ), който катализира превръщането на ангиотензин I във вазоконстрикторен пептид ангиотензин II. Ангиотензин II също стимулира секрецията на алдостерон от надбъбречната медула. Инхибирането на АСЕ води до намаляване на концентрациите на ангиотензин II, водещо до намаляване на вазопресорната активност и намаляване секрецията на алдостерон. Намаляването на плазмените нива на алдостерона може да доведе до повишаване на серумната концентрация на калий.</w:t>
      </w:r>
    </w:p>
    <w:p w14:paraId="1ABDCBF5" w14:textId="77777777" w:rsidR="00F273BC" w:rsidRDefault="00F273BC" w:rsidP="00F273BC">
      <w:pPr>
        <w:spacing w:line="240" w:lineRule="auto"/>
        <w:rPr>
          <w:rFonts w:eastAsia="Times New Roman" w:cs="Arial"/>
          <w:color w:val="000000"/>
          <w:lang w:eastAsia="bg-BG"/>
        </w:rPr>
      </w:pPr>
    </w:p>
    <w:p w14:paraId="3FAD9B03" w14:textId="2A8DBDF9"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Фармакодинамични ефекти</w:t>
      </w:r>
    </w:p>
    <w:p w14:paraId="0220A8BF"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Въпреки че се предполага, че механизмът, чрез който лизиноприлът понижава кръвното налягане е основно потискане на ренин-ангиотензин-алдостерон системата, той действа също и при хипертонични пациенти с ниска плазмена концентрация на ренин. АСЕ е идентичен с кининаза II, ензим, който разгражда бради кинина. Не е всеоще изяснено дали повишаването на нивата на брадикинина, силен вазодилататорен пептид, играе роля за терапевтичното действие на лизиноприл.</w:t>
      </w:r>
    </w:p>
    <w:p w14:paraId="649E0642" w14:textId="77777777" w:rsidR="00F273BC" w:rsidRDefault="00F273BC" w:rsidP="00F273BC">
      <w:pPr>
        <w:spacing w:line="240" w:lineRule="auto"/>
        <w:rPr>
          <w:rFonts w:eastAsia="Times New Roman" w:cs="Arial"/>
          <w:color w:val="000000"/>
          <w:lang w:eastAsia="bg-BG"/>
        </w:rPr>
      </w:pPr>
    </w:p>
    <w:p w14:paraId="39F65505" w14:textId="7E4628F4"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Клинична ефикасност и безопасност</w:t>
      </w:r>
    </w:p>
    <w:p w14:paraId="3A286C0C"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 xml:space="preserve">Влиянието на лизиноприл върху смъртността и заболеваемостта от сърдечна недостатъчност е изследвана, като са сравнени пациенти с прием на висока доза (32,5 </w:t>
      </w:r>
      <w:r w:rsidRPr="00F273BC">
        <w:rPr>
          <w:rFonts w:eastAsia="Times New Roman" w:cs="Arial"/>
          <w:color w:val="000000"/>
          <w:lang w:val="en-US"/>
        </w:rPr>
        <w:t xml:space="preserve">mg </w:t>
      </w:r>
      <w:r w:rsidRPr="00F273BC">
        <w:rPr>
          <w:rFonts w:eastAsia="Times New Roman" w:cs="Arial"/>
          <w:color w:val="000000"/>
          <w:lang w:eastAsia="bg-BG"/>
        </w:rPr>
        <w:t xml:space="preserve">или 35 </w:t>
      </w:r>
      <w:r w:rsidRPr="00F273BC">
        <w:rPr>
          <w:rFonts w:eastAsia="Times New Roman" w:cs="Arial"/>
          <w:color w:val="000000"/>
          <w:lang w:val="en-US"/>
        </w:rPr>
        <w:t xml:space="preserve">mg </w:t>
      </w:r>
      <w:r w:rsidRPr="00F273BC">
        <w:rPr>
          <w:rFonts w:eastAsia="Times New Roman" w:cs="Arial"/>
          <w:color w:val="000000"/>
          <w:lang w:eastAsia="bg-BG"/>
        </w:rPr>
        <w:t xml:space="preserve">дневно) с такива с прием на ниска доза (2,5 </w:t>
      </w:r>
      <w:r w:rsidRPr="00F273BC">
        <w:rPr>
          <w:rFonts w:eastAsia="Times New Roman" w:cs="Arial"/>
          <w:color w:val="000000"/>
          <w:lang w:val="en-US"/>
        </w:rPr>
        <w:t xml:space="preserve">mg </w:t>
      </w:r>
      <w:r w:rsidRPr="00F273BC">
        <w:rPr>
          <w:rFonts w:eastAsia="Times New Roman" w:cs="Arial"/>
          <w:color w:val="000000"/>
          <w:lang w:eastAsia="bg-BG"/>
        </w:rPr>
        <w:t xml:space="preserve">или 5 </w:t>
      </w:r>
      <w:r w:rsidRPr="00F273BC">
        <w:rPr>
          <w:rFonts w:eastAsia="Times New Roman" w:cs="Arial"/>
          <w:color w:val="000000"/>
          <w:lang w:val="en-US"/>
        </w:rPr>
        <w:t xml:space="preserve">mg </w:t>
      </w:r>
      <w:r w:rsidRPr="00F273BC">
        <w:rPr>
          <w:rFonts w:eastAsia="Times New Roman" w:cs="Arial"/>
          <w:color w:val="000000"/>
          <w:lang w:eastAsia="bg-BG"/>
        </w:rPr>
        <w:t>дневно). При изследвани 3164 пациенти, за период със средна продължителност 46 месеца за преживелите пациенти, при пациентите, приемали висока доза, има 12% намаление на риска от смърт и хоспитализация в комбинираната крайна точка за всички случаи (р= 0,002) срещу 8% намаление на риска от смърт и сърдечно-съдова хоспитализация в комбинираната крайна точка за всички случаи, при пациентите приемали ниска доза (р = 0,036). Наблюдавано е понижаване на риска при всички случаи на смърт (8%; р = 0,128) и от сърдечносъдова смърт (10%; р = 0,073). В пост-хок анализа броят на хоспитализираните за сърдечна недостатъчност е намален с 24% (р = 0,002) при пациенти, лекувани с висока доза лизиноприл, в сравнение с тези, лекувани с ниска доза. Симптоматичните ползи са подобни при пациентите, лекувани с високи и ниски дози лизиноприл.</w:t>
      </w:r>
    </w:p>
    <w:p w14:paraId="7B41D173" w14:textId="77777777" w:rsidR="00F273BC" w:rsidRDefault="00F273BC" w:rsidP="00F273BC">
      <w:pPr>
        <w:spacing w:line="240" w:lineRule="auto"/>
        <w:rPr>
          <w:rFonts w:eastAsia="Times New Roman" w:cs="Arial"/>
          <w:color w:val="000000"/>
          <w:lang w:eastAsia="bg-BG"/>
        </w:rPr>
      </w:pPr>
    </w:p>
    <w:p w14:paraId="3BC5E0ED" w14:textId="1D63084A"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Резултатите от изследванията показват, че общият профил на нежелани ефекти получен от пациенти лекувани с високи и ниски дози лизиноприл е подобен по естество и брой. Предсказуемите събития, възникнали в следствие на АСЕ инхибирането, като хипотония или изменение в бъбречната функция, са лесно управляеми и рядко водят до преустановяване на лечението. Кашлицата е по-рядко срещана при пациенти лекувани с високи дози лизиноприл, отколкото при тези лекувани с ниски.</w:t>
      </w:r>
    </w:p>
    <w:p w14:paraId="3FE12BCF" w14:textId="77777777" w:rsidR="00F273BC" w:rsidRDefault="00F273BC" w:rsidP="00F273BC">
      <w:pPr>
        <w:spacing w:line="240" w:lineRule="auto"/>
        <w:rPr>
          <w:rFonts w:eastAsia="Times New Roman" w:cs="Arial"/>
          <w:color w:val="000000"/>
          <w:lang w:val="en-US"/>
        </w:rPr>
      </w:pPr>
    </w:p>
    <w:p w14:paraId="3152B266" w14:textId="270D2F6D"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val="en-US"/>
        </w:rPr>
        <w:lastRenderedPageBreak/>
        <w:t xml:space="preserve">GISSI-3 </w:t>
      </w:r>
      <w:r w:rsidRPr="00F273BC">
        <w:rPr>
          <w:rFonts w:eastAsia="Times New Roman" w:cs="Arial"/>
          <w:color w:val="000000"/>
          <w:lang w:eastAsia="bg-BG"/>
        </w:rPr>
        <w:t xml:space="preserve">проучване, при което се използва </w:t>
      </w:r>
      <w:r w:rsidRPr="00F273BC">
        <w:rPr>
          <w:rFonts w:eastAsia="Times New Roman" w:cs="Arial"/>
          <w:color w:val="000000"/>
          <w:lang w:val="en-US"/>
        </w:rPr>
        <w:t xml:space="preserve">2x2 </w:t>
      </w:r>
      <w:r w:rsidRPr="00F273BC">
        <w:rPr>
          <w:rFonts w:eastAsia="Times New Roman" w:cs="Arial"/>
          <w:color w:val="000000"/>
          <w:lang w:eastAsia="bg-BG"/>
        </w:rPr>
        <w:t>факториален дизайн за да се сравни ефекта от прием на лизиноприл и глицерил тринитрат, приемани самостоятелно или в комбинация, в продължение на 6 седмици по отношение на контролна група показва, че при 19 394 пациенти, които са били подложени на лечение с лизиноприл в рамките на 24 часа след остър инфаркт на миокарда, има статистически значимо намаляване на риска от смъртност с 11% (2р =0,03) по отношение на контролната група.</w:t>
      </w:r>
    </w:p>
    <w:p w14:paraId="4C92C5C6"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Намаляването на риска след прием на глицерил тринитрат не е значимо, но комбинацията от лизиноприл и глицерил тринитрат показва значимо намаляване на риска от смъртност 17% (2р =0,02). В подгрупата на пациентите в старческа възраст (над 70 години) и жени определени предварително като пациенти с висок риск от смъртност, са наблюдавани значимо подобяване за комбинираната крайна точка на сърдечната функция и намаляване на смъртността</w:t>
      </w:r>
    </w:p>
    <w:p w14:paraId="6CAE53F8" w14:textId="77777777" w:rsidR="00F273BC" w:rsidRPr="00F273BC" w:rsidRDefault="00F273BC" w:rsidP="00F273BC">
      <w:pPr>
        <w:rPr>
          <w:rFonts w:ascii="Times New Roman" w:eastAsia="Times New Roman" w:hAnsi="Times New Roman" w:cs="Times New Roman"/>
          <w:sz w:val="24"/>
          <w:szCs w:val="24"/>
          <w:lang w:eastAsia="bg-BG"/>
        </w:rPr>
      </w:pPr>
      <w:r w:rsidRPr="00F273BC">
        <w:rPr>
          <w:rFonts w:eastAsia="Times New Roman" w:cs="Arial"/>
          <w:color w:val="000000"/>
          <w:lang w:eastAsia="bg-BG"/>
        </w:rPr>
        <w:t>Комбинираната крайна точка за всички пациенти лекувани с лизиноприл и комбинация от</w:t>
      </w:r>
      <w:r>
        <w:rPr>
          <w:rFonts w:eastAsia="Times New Roman" w:cs="Arial"/>
          <w:color w:val="000000"/>
          <w:lang w:val="en-US" w:eastAsia="bg-BG"/>
        </w:rPr>
        <w:t xml:space="preserve"> </w:t>
      </w:r>
      <w:r w:rsidRPr="00F273BC">
        <w:rPr>
          <w:rFonts w:eastAsia="Times New Roman" w:cs="Arial"/>
          <w:color w:val="000000"/>
          <w:lang w:eastAsia="bg-BG"/>
        </w:rPr>
        <w:t>лизиноприл и глицерил тринитрат в продължение на 6 седмици, както и при пациентите от високорисковата подгрупата лекувани в продължение на 6 месеца, също показва значим превантивен ефект на лизиноприл. Както би могло да се очаква от всяко лечение с вазодилататор, се увеличават случаите на хипотония и бъбречна дисфункция, свързани с лечението с лизиноприл, но те не са свързани с пропорционално нарастване на смъртността.</w:t>
      </w:r>
    </w:p>
    <w:p w14:paraId="69F3AEC4" w14:textId="77777777" w:rsidR="00F273BC" w:rsidRDefault="00F273BC" w:rsidP="00F273BC">
      <w:pPr>
        <w:spacing w:line="240" w:lineRule="auto"/>
        <w:rPr>
          <w:rFonts w:eastAsia="Times New Roman" w:cs="Arial"/>
          <w:color w:val="000000"/>
          <w:lang w:eastAsia="bg-BG"/>
        </w:rPr>
      </w:pPr>
    </w:p>
    <w:p w14:paraId="76D83785" w14:textId="46A603FC"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 xml:space="preserve">В двойно-слепи, рандом изпрани, мултицетрови проучвания, сравняващи лизиноприл с блокер на калциевите канали, при 335 хипертоници с диабет тип 2 и с начална иефропатия, характеризираща се с микроалбуминурия, е прилаган лизиноприл 10 </w:t>
      </w:r>
      <w:r w:rsidRPr="00F273BC">
        <w:rPr>
          <w:rFonts w:eastAsia="Times New Roman" w:cs="Arial"/>
          <w:color w:val="000000"/>
          <w:lang w:val="en-US"/>
        </w:rPr>
        <w:t xml:space="preserve">mg </w:t>
      </w:r>
      <w:r w:rsidRPr="00F273BC">
        <w:rPr>
          <w:rFonts w:eastAsia="Times New Roman" w:cs="Arial"/>
          <w:color w:val="000000"/>
          <w:lang w:eastAsia="bg-BG"/>
        </w:rPr>
        <w:t xml:space="preserve">и 20 </w:t>
      </w:r>
      <w:r w:rsidRPr="00F273BC">
        <w:rPr>
          <w:rFonts w:eastAsia="Times New Roman" w:cs="Arial"/>
          <w:color w:val="000000"/>
          <w:lang w:val="en-US"/>
        </w:rPr>
        <w:t xml:space="preserve">mg </w:t>
      </w:r>
      <w:r w:rsidRPr="00F273BC">
        <w:rPr>
          <w:rFonts w:eastAsia="Times New Roman" w:cs="Arial"/>
          <w:color w:val="000000"/>
          <w:lang w:eastAsia="bg-BG"/>
        </w:rPr>
        <w:t xml:space="preserve">дневно в продължение на 12 месеца, вследствие на което е понижено систоличното/диастоличното кръвно налягане с 13/10 </w:t>
      </w:r>
      <w:r w:rsidRPr="00F273BC">
        <w:rPr>
          <w:rFonts w:eastAsia="Times New Roman" w:cs="Arial"/>
          <w:color w:val="000000"/>
          <w:lang w:val="en-US"/>
        </w:rPr>
        <w:t xml:space="preserve">mmHg </w:t>
      </w:r>
      <w:r w:rsidRPr="00F273BC">
        <w:rPr>
          <w:rFonts w:eastAsia="Times New Roman" w:cs="Arial"/>
          <w:color w:val="000000"/>
          <w:lang w:eastAsia="bg-BG"/>
        </w:rPr>
        <w:t xml:space="preserve">и е намалена скоростта на уринарната екскреция на албумин с 40%. Сравнени с пациенти, приемащи блокер на калциевите канали и при които понижаването на кръвното налягане е подобно, пациентите, лекувани с лизиноприл, показват значително по- голяма редукция на скоростта на уринарната екскреция на албумин, което доказва, че АСЕ- инхибиторното действие на лизиноприл намалява микроалбуминурията чрез директен механизъм в бъбречните тъкани, като допълнение към понижаващия му кръвното налягане ефект. Лечението с лизиноприл не оказва влияние върху гликемичния контрол, показано с липса на значим ефект върху нивата на гликирания хемоглобин </w:t>
      </w:r>
      <w:r w:rsidRPr="00F273BC">
        <w:rPr>
          <w:rFonts w:eastAsia="Times New Roman" w:cs="Arial"/>
          <w:color w:val="000000"/>
          <w:lang w:val="en-US"/>
        </w:rPr>
        <w:t>(</w:t>
      </w:r>
      <w:proofErr w:type="spellStart"/>
      <w:r w:rsidRPr="00F273BC">
        <w:rPr>
          <w:rFonts w:eastAsia="Times New Roman" w:cs="Arial"/>
          <w:color w:val="000000"/>
          <w:lang w:val="en-US"/>
        </w:rPr>
        <w:t>HbAlc</w:t>
      </w:r>
      <w:proofErr w:type="spellEnd"/>
      <w:r w:rsidRPr="00F273BC">
        <w:rPr>
          <w:rFonts w:eastAsia="Times New Roman" w:cs="Arial"/>
          <w:color w:val="000000"/>
          <w:lang w:val="en-US"/>
        </w:rPr>
        <w:t>).</w:t>
      </w:r>
    </w:p>
    <w:p w14:paraId="28963FCE" w14:textId="77777777" w:rsidR="00F273BC" w:rsidRDefault="00F273BC" w:rsidP="00F273BC">
      <w:pPr>
        <w:spacing w:line="240" w:lineRule="auto"/>
        <w:rPr>
          <w:rFonts w:eastAsia="Times New Roman" w:cs="Arial"/>
          <w:color w:val="000000"/>
          <w:lang w:eastAsia="bg-BG"/>
        </w:rPr>
      </w:pPr>
    </w:p>
    <w:p w14:paraId="5FD6CED8" w14:textId="44847556"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 xml:space="preserve">Две големи рандомизирани контролирани проучвания - </w:t>
      </w:r>
      <w:r w:rsidRPr="00F273BC">
        <w:rPr>
          <w:rFonts w:eastAsia="Times New Roman" w:cs="Arial"/>
          <w:color w:val="000000"/>
          <w:lang w:val="en-US"/>
        </w:rPr>
        <w:t xml:space="preserve">ONTARGET (ON going Telmisartan Alone and in combination with Ramipril Global Endpoint Trial - </w:t>
      </w:r>
      <w:r w:rsidRPr="00F273BC">
        <w:rPr>
          <w:rFonts w:eastAsia="Times New Roman" w:cs="Arial"/>
          <w:color w:val="000000"/>
          <w:lang w:eastAsia="bg-BG"/>
        </w:rPr>
        <w:t xml:space="preserve">текущо глобално изпитване за крайни точки на телмисартан, самостоятелно и в комбинация с рамиприл) и </w:t>
      </w:r>
      <w:r w:rsidRPr="00F273BC">
        <w:rPr>
          <w:rFonts w:eastAsia="Times New Roman" w:cs="Arial"/>
          <w:color w:val="000000"/>
          <w:lang w:val="en-US"/>
        </w:rPr>
        <w:t xml:space="preserve">VA NEPHRON-D </w:t>
      </w:r>
      <w:r w:rsidRPr="00F273BC">
        <w:rPr>
          <w:rFonts w:eastAsia="Times New Roman" w:cs="Arial"/>
          <w:color w:val="000000"/>
          <w:lang w:eastAsia="bg-BG"/>
        </w:rPr>
        <w:t xml:space="preserve">(Клинично проучване свързано с развитие на нефропатия при диабет, проведено от Министерство по въпросите на ветераните) - проучват употребата на комбинацията от АСЕ инхибитор и ангиотензин </w:t>
      </w:r>
      <w:r w:rsidRPr="00F273BC">
        <w:rPr>
          <w:rFonts w:eastAsia="Times New Roman" w:cs="Arial"/>
          <w:color w:val="000000"/>
          <w:lang w:val="en-US"/>
        </w:rPr>
        <w:t>II</w:t>
      </w:r>
      <w:r w:rsidRPr="00F273BC">
        <w:rPr>
          <w:rFonts w:eastAsia="Times New Roman" w:cs="Arial"/>
          <w:color w:val="000000"/>
          <w:lang w:eastAsia="bg-BG"/>
        </w:rPr>
        <w:t>-рецепторен блокер.</w:t>
      </w:r>
    </w:p>
    <w:p w14:paraId="4ECA131A"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val="en-US"/>
        </w:rPr>
        <w:t xml:space="preserve">ONTARGET </w:t>
      </w:r>
      <w:r w:rsidRPr="00F273BC">
        <w:rPr>
          <w:rFonts w:eastAsia="Times New Roman" w:cs="Arial"/>
          <w:color w:val="000000"/>
          <w:lang w:eastAsia="bg-BG"/>
        </w:rPr>
        <w:t xml:space="preserve">е проучване, проведено при пациенти с анамнеза за сърдечно-съдова или мозъчносъдова болест, или захарен диабет тип 2, придружени с данни за увреждане на ефекторни органи, </w:t>
      </w:r>
      <w:r w:rsidRPr="00F273BC">
        <w:rPr>
          <w:rFonts w:eastAsia="Times New Roman" w:cs="Arial"/>
          <w:color w:val="000000"/>
          <w:lang w:val="en-US"/>
        </w:rPr>
        <w:t xml:space="preserve">VA NEPHRON-D </w:t>
      </w:r>
      <w:r w:rsidRPr="00F273BC">
        <w:rPr>
          <w:rFonts w:eastAsia="Times New Roman" w:cs="Arial"/>
          <w:color w:val="000000"/>
          <w:lang w:eastAsia="bg-BG"/>
        </w:rPr>
        <w:t>е проучване при пациенти със захарен диабет тип 2 и диабетна нефропатия.</w:t>
      </w:r>
    </w:p>
    <w:p w14:paraId="394BB618"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Тези проучвания не показват значим благоприятен ефект върху бъбречните и/или сърдечно</w:t>
      </w:r>
      <w:r w:rsidRPr="00F273BC">
        <w:rPr>
          <w:rFonts w:eastAsia="Times New Roman" w:cs="Arial"/>
          <w:color w:val="000000"/>
          <w:lang w:eastAsia="bg-BG"/>
        </w:rPr>
        <w:softHyphen/>
        <w:t xml:space="preserve">съдовите последици и смъртност, като същевременно са наблюдавани повишен риск от хиперкалиемия, остро увреждане на бъбреците и/или хипотония в сравнение с монотерапията.Като се имат предвид сходните им фармакодинамични свойства, тези резултати са приложими и за други АСЕ инхибитори и ангиотензин </w:t>
      </w:r>
      <w:r w:rsidRPr="00F273BC">
        <w:rPr>
          <w:rFonts w:eastAsia="Times New Roman" w:cs="Arial"/>
          <w:color w:val="000000"/>
          <w:lang w:val="en-US"/>
        </w:rPr>
        <w:t>II</w:t>
      </w:r>
      <w:r w:rsidRPr="00F273BC">
        <w:rPr>
          <w:rFonts w:eastAsia="Times New Roman" w:cs="Arial"/>
          <w:color w:val="000000"/>
          <w:lang w:eastAsia="bg-BG"/>
        </w:rPr>
        <w:t>-рецепторни блокери.</w:t>
      </w:r>
    </w:p>
    <w:p w14:paraId="289594E8"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lastRenderedPageBreak/>
        <w:t xml:space="preserve">АСЕ инхибитори и ангиотензин </w:t>
      </w:r>
      <w:r w:rsidRPr="00F273BC">
        <w:rPr>
          <w:rFonts w:eastAsia="Times New Roman" w:cs="Arial"/>
          <w:color w:val="000000"/>
          <w:lang w:val="en-US"/>
        </w:rPr>
        <w:t>II</w:t>
      </w:r>
      <w:r w:rsidRPr="00F273BC">
        <w:rPr>
          <w:rFonts w:eastAsia="Times New Roman" w:cs="Arial"/>
          <w:color w:val="000000"/>
          <w:lang w:eastAsia="bg-BG"/>
        </w:rPr>
        <w:t>-рецепторни блокери следователно не трябва да се използват едновременно при пациенти с диабетна нефропатия.</w:t>
      </w:r>
    </w:p>
    <w:p w14:paraId="0D7E4820"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val="en-US"/>
        </w:rPr>
        <w:t xml:space="preserve">ALTITUDE </w:t>
      </w:r>
      <w:r w:rsidRPr="00F273BC">
        <w:rPr>
          <w:rFonts w:eastAsia="Times New Roman" w:cs="Arial"/>
          <w:color w:val="000000"/>
          <w:lang w:eastAsia="bg-BG"/>
        </w:rPr>
        <w:t xml:space="preserve">(Клинично проучване проведено с алискирен при пациенти със захарен диабет тип 2 с използване на сърдечно-съдови и бъбречни заболявания като крайни точки) е проучване, предназначено да изследва ползата от добавянето на алискирен към стандартна терапия с АСЕ инхибитор или ангиотензин </w:t>
      </w:r>
      <w:r w:rsidRPr="00F273BC">
        <w:rPr>
          <w:rFonts w:eastAsia="Times New Roman" w:cs="Arial"/>
          <w:color w:val="000000"/>
          <w:lang w:val="en-US"/>
        </w:rPr>
        <w:t>II</w:t>
      </w:r>
      <w:r w:rsidRPr="00F273BC">
        <w:rPr>
          <w:rFonts w:eastAsia="Times New Roman" w:cs="Arial"/>
          <w:color w:val="000000"/>
          <w:lang w:eastAsia="bg-BG"/>
        </w:rPr>
        <w:t>-рецепторен блокер при пациенти със захарен диабет тип 2 и хронично бъбречно заболяване, сърдечно-съдово заболяване или и двете. Проучването е прекратено преждевременно поради повишен риск от неблагоприятни последици, Както сърдечно-съдовата смърт, така и инсултът са по-чести в групата на алискирен, отколкото в групата на плацебо, а представляващите интерес нежелани събития и сериозни нежелани събития (хиперкалиемия, хипотония и бъбречна дисфункция) се съобщават по-често в групата на алискирен, отколкото в групата на плацебо.</w:t>
      </w:r>
    </w:p>
    <w:p w14:paraId="429F4FD9" w14:textId="77777777" w:rsidR="00F273BC" w:rsidRDefault="00F273BC" w:rsidP="00F273BC">
      <w:pPr>
        <w:spacing w:line="240" w:lineRule="auto"/>
        <w:rPr>
          <w:rFonts w:eastAsia="Times New Roman" w:cs="Arial"/>
          <w:i/>
          <w:iCs/>
          <w:color w:val="000000"/>
          <w:lang w:eastAsia="bg-BG"/>
        </w:rPr>
      </w:pPr>
    </w:p>
    <w:p w14:paraId="40A19DCF" w14:textId="271A9A54"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Педиатрична популация</w:t>
      </w:r>
    </w:p>
    <w:p w14:paraId="132FF228"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 xml:space="preserve">В клинично проучване, включващо 115 педиатрични пациенти с хипертония, на възраст от 6 до 16 години, с телесно тегло под 50 </w:t>
      </w:r>
      <w:r w:rsidRPr="00F273BC">
        <w:rPr>
          <w:rFonts w:eastAsia="Times New Roman" w:cs="Arial"/>
          <w:color w:val="000000"/>
          <w:lang w:val="en-US"/>
        </w:rPr>
        <w:t xml:space="preserve">kg </w:t>
      </w:r>
      <w:r w:rsidRPr="00F273BC">
        <w:rPr>
          <w:rFonts w:eastAsia="Times New Roman" w:cs="Arial"/>
          <w:color w:val="000000"/>
          <w:lang w:eastAsia="bg-BG"/>
        </w:rPr>
        <w:t xml:space="preserve">са приемали 0,625 </w:t>
      </w:r>
      <w:r w:rsidRPr="00F273BC">
        <w:rPr>
          <w:rFonts w:eastAsia="Times New Roman" w:cs="Arial"/>
          <w:color w:val="000000"/>
          <w:lang w:val="en-US"/>
        </w:rPr>
        <w:t xml:space="preserve">mg </w:t>
      </w:r>
      <w:r w:rsidRPr="00F273BC">
        <w:rPr>
          <w:rFonts w:eastAsia="Times New Roman" w:cs="Arial"/>
          <w:color w:val="000000"/>
          <w:lang w:eastAsia="bg-BG"/>
        </w:rPr>
        <w:t xml:space="preserve">или 2,5 </w:t>
      </w:r>
      <w:r w:rsidRPr="00F273BC">
        <w:rPr>
          <w:rFonts w:eastAsia="Times New Roman" w:cs="Arial"/>
          <w:color w:val="000000"/>
          <w:lang w:val="en-US"/>
        </w:rPr>
        <w:t xml:space="preserve">mg </w:t>
      </w:r>
      <w:r w:rsidRPr="00F273BC">
        <w:rPr>
          <w:rFonts w:eastAsia="Times New Roman" w:cs="Arial"/>
          <w:color w:val="000000"/>
          <w:lang w:eastAsia="bg-BG"/>
        </w:rPr>
        <w:t xml:space="preserve">или 20 </w:t>
      </w:r>
      <w:r w:rsidRPr="00F273BC">
        <w:rPr>
          <w:rFonts w:eastAsia="Times New Roman" w:cs="Arial"/>
          <w:color w:val="000000"/>
          <w:lang w:val="en-US"/>
        </w:rPr>
        <w:t xml:space="preserve">mg </w:t>
      </w:r>
      <w:r w:rsidRPr="00F273BC">
        <w:rPr>
          <w:rFonts w:eastAsia="Times New Roman" w:cs="Arial"/>
          <w:color w:val="000000"/>
          <w:lang w:eastAsia="bg-BG"/>
        </w:rPr>
        <w:t xml:space="preserve">лизиноприл еднократно дневно и пациенти с телесно тегло над 50 </w:t>
      </w:r>
      <w:r w:rsidRPr="00F273BC">
        <w:rPr>
          <w:rFonts w:eastAsia="Times New Roman" w:cs="Arial"/>
          <w:color w:val="000000"/>
          <w:lang w:val="en-US"/>
        </w:rPr>
        <w:t xml:space="preserve">kg </w:t>
      </w:r>
      <w:r w:rsidRPr="00F273BC">
        <w:rPr>
          <w:rFonts w:eastAsia="Times New Roman" w:cs="Arial"/>
          <w:color w:val="000000"/>
          <w:lang w:eastAsia="bg-BG"/>
        </w:rPr>
        <w:t xml:space="preserve">са приемали 1,25 </w:t>
      </w:r>
      <w:r w:rsidRPr="00F273BC">
        <w:rPr>
          <w:rFonts w:eastAsia="Times New Roman" w:cs="Arial"/>
          <w:color w:val="000000"/>
          <w:lang w:val="en-US"/>
        </w:rPr>
        <w:t>mg,</w:t>
      </w:r>
      <w:r w:rsidRPr="00F273BC">
        <w:rPr>
          <w:rFonts w:eastAsia="Times New Roman" w:cs="Arial"/>
          <w:color w:val="000000"/>
          <w:lang w:eastAsia="bg-BG"/>
        </w:rPr>
        <w:t xml:space="preserve">5 </w:t>
      </w:r>
      <w:r w:rsidRPr="00F273BC">
        <w:rPr>
          <w:rFonts w:eastAsia="Times New Roman" w:cs="Arial"/>
          <w:color w:val="000000"/>
          <w:lang w:val="en-US"/>
        </w:rPr>
        <w:t xml:space="preserve">mg </w:t>
      </w:r>
      <w:r w:rsidRPr="00F273BC">
        <w:rPr>
          <w:rFonts w:eastAsia="Times New Roman" w:cs="Arial"/>
          <w:color w:val="000000"/>
          <w:lang w:eastAsia="bg-BG"/>
        </w:rPr>
        <w:t>или</w:t>
      </w:r>
      <w:r w:rsidRPr="00F273BC">
        <w:rPr>
          <w:rFonts w:eastAsia="Times New Roman" w:cs="Arial"/>
          <w:color w:val="000000"/>
          <w:lang w:val="en-US"/>
        </w:rPr>
        <w:t xml:space="preserve"> 40mg</w:t>
      </w:r>
      <w:r w:rsidRPr="00F273BC">
        <w:rPr>
          <w:rFonts w:eastAsia="Times New Roman" w:cs="Arial"/>
          <w:color w:val="000000"/>
          <w:u w:val="single"/>
          <w:lang w:eastAsia="bg-BG"/>
        </w:rPr>
        <w:t xml:space="preserve"> </w:t>
      </w:r>
      <w:r w:rsidRPr="00F273BC">
        <w:rPr>
          <w:rFonts w:eastAsia="Times New Roman" w:cs="Arial"/>
          <w:color w:val="000000"/>
          <w:lang w:eastAsia="bg-BG"/>
        </w:rPr>
        <w:t>лизиноприл еднократно дневно. В края на втората седмица, лизиноприл понижава</w:t>
      </w:r>
      <w:r w:rsidRPr="00F273BC">
        <w:rPr>
          <w:rFonts w:eastAsia="Times New Roman" w:cs="Arial"/>
          <w:color w:val="000000"/>
          <w:lang w:val="en-US"/>
        </w:rPr>
        <w:t xml:space="preserve"> </w:t>
      </w:r>
      <w:r w:rsidRPr="00F273BC">
        <w:rPr>
          <w:rFonts w:eastAsia="Times New Roman" w:cs="Arial"/>
          <w:color w:val="000000"/>
          <w:lang w:eastAsia="bg-BG"/>
        </w:rPr>
        <w:t xml:space="preserve">кръвното налягане дозозависимо с непрекъсната антихипертензивна ефикасност, проявяваща се при дози по-високи от 1,25 </w:t>
      </w:r>
      <w:r w:rsidRPr="00F273BC">
        <w:rPr>
          <w:rFonts w:eastAsia="Times New Roman" w:cs="Arial"/>
          <w:color w:val="000000"/>
          <w:lang w:val="en-US"/>
        </w:rPr>
        <w:t>mg.</w:t>
      </w:r>
    </w:p>
    <w:p w14:paraId="3169A7D9"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 xml:space="preserve">Този ефект се потвърждава във фазата на отнемане, когато диастолното налягане се повишава с 9 </w:t>
      </w:r>
      <w:r w:rsidRPr="00F273BC">
        <w:rPr>
          <w:rFonts w:eastAsia="Times New Roman" w:cs="Arial"/>
          <w:color w:val="000000"/>
          <w:lang w:val="en-US"/>
        </w:rPr>
        <w:t xml:space="preserve">mmHg </w:t>
      </w:r>
      <w:r w:rsidRPr="00F273BC">
        <w:rPr>
          <w:rFonts w:eastAsia="Times New Roman" w:cs="Arial"/>
          <w:color w:val="000000"/>
          <w:lang w:eastAsia="bg-BG"/>
        </w:rPr>
        <w:t>при групата плацебо, докато пациентите, приемали средни до високи дози пизиноприл</w:t>
      </w:r>
    </w:p>
    <w:p w14:paraId="35BA2B26" w14:textId="74C70EAC" w:rsidR="00F273BC" w:rsidRDefault="00F273BC" w:rsidP="00F273BC">
      <w:pPr>
        <w:spacing w:line="240" w:lineRule="auto"/>
        <w:rPr>
          <w:rFonts w:ascii="Times New Roman" w:eastAsia="Times New Roman" w:hAnsi="Times New Roman" w:cs="Times New Roman"/>
          <w:sz w:val="24"/>
          <w:szCs w:val="24"/>
          <w:lang w:val="en-US" w:eastAsia="bg-BG"/>
        </w:rPr>
      </w:pPr>
    </w:p>
    <w:p w14:paraId="138ACA55" w14:textId="69B74AFC"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са били с постоянни показатели. Дозозависимият антихипертензивен ефект на лизиноприл е постоянен при няколко демографски подгрупи: възраст, пол, раса.</w:t>
      </w:r>
    </w:p>
    <w:p w14:paraId="01919041" w14:textId="77777777" w:rsidR="00F273BC" w:rsidRPr="00F273BC" w:rsidRDefault="00F273BC" w:rsidP="00F273BC"/>
    <w:p w14:paraId="173D7F1D" w14:textId="37C4A0CE" w:rsidR="00EE6C97" w:rsidRDefault="002C50EE" w:rsidP="00A93499">
      <w:pPr>
        <w:pStyle w:val="Heading2"/>
      </w:pPr>
      <w:r>
        <w:t>5.2. Фармакокинетични свойства</w:t>
      </w:r>
    </w:p>
    <w:p w14:paraId="0D59D0F6" w14:textId="49B223D7" w:rsidR="00F273BC" w:rsidRDefault="00F273BC" w:rsidP="00F273BC"/>
    <w:p w14:paraId="371DCC38"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Лизиноприлът е перорално активен не-сулфидрил-съдържащ АСЕ- инхибитор .</w:t>
      </w:r>
    </w:p>
    <w:p w14:paraId="28BCE625" w14:textId="77777777" w:rsidR="00F273BC" w:rsidRDefault="00F273BC" w:rsidP="00F273BC">
      <w:pPr>
        <w:spacing w:line="240" w:lineRule="auto"/>
        <w:rPr>
          <w:rFonts w:eastAsia="Times New Roman" w:cs="Arial"/>
          <w:i/>
          <w:iCs/>
          <w:color w:val="000000"/>
          <w:lang w:eastAsia="bg-BG"/>
        </w:rPr>
      </w:pPr>
    </w:p>
    <w:p w14:paraId="0D30571D" w14:textId="425DEF94"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Абсорбция</w:t>
      </w:r>
    </w:p>
    <w:p w14:paraId="128AB40D"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 xml:space="preserve">След перорално приемане на лизиноприл, пикът в плазмената концентрация се достига за около 7 часа, като при пациенти с остър инфаркт на миокарда съществува тенденция за незначително удължаване на времето за достигане на максимална плазмена концентрация. При клинични проучвания, на базата на получени стойности в отделената урина, средното абсорбирано количество на лизиноприл е около 25%, като индивидуалната вариабилност при всички дози (5- 80 </w:t>
      </w:r>
      <w:r w:rsidRPr="00F273BC">
        <w:rPr>
          <w:rFonts w:eastAsia="Times New Roman" w:cs="Arial"/>
          <w:color w:val="000000"/>
          <w:lang w:val="en-US"/>
        </w:rPr>
        <w:t xml:space="preserve">mg) </w:t>
      </w:r>
      <w:r w:rsidRPr="00F273BC">
        <w:rPr>
          <w:rFonts w:eastAsia="Times New Roman" w:cs="Arial"/>
          <w:color w:val="000000"/>
          <w:lang w:eastAsia="bg-BG"/>
        </w:rPr>
        <w:t>е 6-60%. Абсолютната бионаличност намалява до около 16% при пациенти със сърдечна недостатъчност. Абсорбцията на лизиноприл не се повлиява от едновременен прием на храна.</w:t>
      </w:r>
    </w:p>
    <w:p w14:paraId="368152BC" w14:textId="77777777" w:rsidR="00F273BC" w:rsidRDefault="00F273BC" w:rsidP="00F273BC">
      <w:pPr>
        <w:spacing w:line="240" w:lineRule="auto"/>
        <w:rPr>
          <w:rFonts w:eastAsia="Times New Roman" w:cs="Arial"/>
          <w:i/>
          <w:iCs/>
          <w:color w:val="000000"/>
          <w:lang w:eastAsia="bg-BG"/>
        </w:rPr>
      </w:pPr>
    </w:p>
    <w:p w14:paraId="6E2A1942" w14:textId="71D5EA10"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Разпределение</w:t>
      </w:r>
    </w:p>
    <w:p w14:paraId="6017DE34"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Лизиноприлът не се свързва със серумните протеини, освен с ангиотензин-конвертиращия ензим (АСЕ). Изследвания при плъхове показват, че лизиноприлът преминава слабо през кръвно-мозъчната бариера.</w:t>
      </w:r>
    </w:p>
    <w:p w14:paraId="52B7CF35" w14:textId="77777777" w:rsidR="00F273BC" w:rsidRDefault="00F273BC" w:rsidP="00F273BC">
      <w:pPr>
        <w:spacing w:line="240" w:lineRule="auto"/>
        <w:rPr>
          <w:rFonts w:eastAsia="Times New Roman" w:cs="Arial"/>
          <w:i/>
          <w:iCs/>
          <w:color w:val="000000"/>
          <w:lang w:eastAsia="bg-BG"/>
        </w:rPr>
      </w:pPr>
    </w:p>
    <w:p w14:paraId="0EB45A05" w14:textId="50C28D69"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Елиминиране</w:t>
      </w:r>
    </w:p>
    <w:p w14:paraId="37EE1F39"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 xml:space="preserve">Лизиноприлът не се метаболизира и се екскретира напълно непроменен в урината. Времето на полуживот на лизиноприл след многократно приложение е 12,6 часа. </w:t>
      </w:r>
      <w:r w:rsidRPr="00F273BC">
        <w:rPr>
          <w:rFonts w:eastAsia="Times New Roman" w:cs="Arial"/>
          <w:color w:val="000000"/>
          <w:lang w:eastAsia="bg-BG"/>
        </w:rPr>
        <w:lastRenderedPageBreak/>
        <w:t xml:space="preserve">Клирънсът на лизиноприл при здрави доброволци е около 50 </w:t>
      </w:r>
      <w:r w:rsidRPr="00F273BC">
        <w:rPr>
          <w:rFonts w:eastAsia="Times New Roman" w:cs="Arial"/>
          <w:color w:val="000000"/>
          <w:lang w:val="en-US"/>
        </w:rPr>
        <w:t xml:space="preserve">ml/min. </w:t>
      </w:r>
      <w:r w:rsidRPr="00F273BC">
        <w:rPr>
          <w:rFonts w:eastAsia="Times New Roman" w:cs="Arial"/>
          <w:color w:val="000000"/>
          <w:lang w:eastAsia="bg-BG"/>
        </w:rPr>
        <w:t>По-голямата част от активното вещество се отделя в ранната фаза, която при ниски концентрации се последва от удължена терминална фаза, което не води до кумулиране на лекарството. Тази терминална фаза вероятно се базира на наситено свързване към АСЕ и не е пропорционална на дозата.</w:t>
      </w:r>
    </w:p>
    <w:p w14:paraId="4E954D47" w14:textId="77777777" w:rsidR="00F273BC" w:rsidRDefault="00F273BC" w:rsidP="00F273BC">
      <w:pPr>
        <w:spacing w:line="240" w:lineRule="auto"/>
        <w:rPr>
          <w:rFonts w:eastAsia="Times New Roman" w:cs="Arial"/>
          <w:i/>
          <w:iCs/>
          <w:color w:val="000000"/>
          <w:lang w:eastAsia="bg-BG"/>
        </w:rPr>
      </w:pPr>
    </w:p>
    <w:p w14:paraId="4530AA65" w14:textId="1D57DBBB"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Чернодробна недостатъчност</w:t>
      </w:r>
    </w:p>
    <w:p w14:paraId="7705B29D"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Нарушена чернодробна функция при пациенти с цироза намалява абсорбцията на лизиноприл (около 30% определено в отделената урина), а увеличава експонирането (приблизително 50%) в сравнение със здравите доброволци, което се дължи на забавения клирънс.</w:t>
      </w:r>
    </w:p>
    <w:p w14:paraId="1A6E87AE" w14:textId="77777777" w:rsidR="00F273BC" w:rsidRDefault="00F273BC" w:rsidP="00F273BC">
      <w:pPr>
        <w:spacing w:line="240" w:lineRule="auto"/>
        <w:rPr>
          <w:rFonts w:eastAsia="Times New Roman" w:cs="Arial"/>
          <w:i/>
          <w:iCs/>
          <w:color w:val="000000"/>
          <w:lang w:eastAsia="bg-BG"/>
        </w:rPr>
      </w:pPr>
    </w:p>
    <w:p w14:paraId="30A22DA4" w14:textId="4772CEA6"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Бъбречна недостатъчност</w:t>
      </w:r>
    </w:p>
    <w:p w14:paraId="58BDC91D"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 xml:space="preserve">Нарушения в бъбречната функция намаляват бъбречното елиминиране на лизиноприл, който се екскретира чрез бъбреците, но това намаление е клинично значимо само когато скоростта на гломерулна филтрация е по-ниска от 30 </w:t>
      </w:r>
      <w:r w:rsidRPr="00F273BC">
        <w:rPr>
          <w:rFonts w:eastAsia="Times New Roman" w:cs="Arial"/>
          <w:color w:val="000000"/>
          <w:lang w:val="en-US"/>
        </w:rPr>
        <w:t xml:space="preserve">ml/min. </w:t>
      </w:r>
      <w:r w:rsidRPr="00F273BC">
        <w:rPr>
          <w:rFonts w:eastAsia="Times New Roman" w:cs="Arial"/>
          <w:color w:val="000000"/>
          <w:lang w:eastAsia="bg-BG"/>
        </w:rPr>
        <w:t xml:space="preserve">При лека до средна бъбречна недостатъчност (креатининов клирънс 30 - 80 </w:t>
      </w:r>
      <w:r w:rsidRPr="00F273BC">
        <w:rPr>
          <w:rFonts w:eastAsia="Times New Roman" w:cs="Arial"/>
          <w:color w:val="000000"/>
          <w:lang w:val="en-US"/>
        </w:rPr>
        <w:t xml:space="preserve">ml/min) </w:t>
      </w:r>
      <w:r w:rsidRPr="00F273BC">
        <w:rPr>
          <w:rFonts w:eastAsia="Times New Roman" w:cs="Arial"/>
          <w:color w:val="000000"/>
          <w:lang w:eastAsia="bg-BG"/>
        </w:rPr>
        <w:t xml:space="preserve">средните </w:t>
      </w:r>
      <w:r w:rsidRPr="00F273BC">
        <w:rPr>
          <w:rFonts w:eastAsia="Times New Roman" w:cs="Arial"/>
          <w:color w:val="000000"/>
          <w:lang w:val="en-US"/>
        </w:rPr>
        <w:t xml:space="preserve">AUC </w:t>
      </w:r>
      <w:r w:rsidRPr="00F273BC">
        <w:rPr>
          <w:rFonts w:eastAsia="Times New Roman" w:cs="Arial"/>
          <w:color w:val="000000"/>
          <w:lang w:eastAsia="bg-BG"/>
        </w:rPr>
        <w:t xml:space="preserve">стойности са се повишили само с 13%&gt;, докато при остра бъбречна недостатъчност е налице 4,5-пъти нарастване на средните </w:t>
      </w:r>
      <w:r w:rsidRPr="00F273BC">
        <w:rPr>
          <w:rFonts w:eastAsia="Times New Roman" w:cs="Arial"/>
          <w:color w:val="000000"/>
          <w:lang w:val="en-US"/>
        </w:rPr>
        <w:t xml:space="preserve">AUC </w:t>
      </w:r>
      <w:r w:rsidRPr="00F273BC">
        <w:rPr>
          <w:rFonts w:eastAsia="Times New Roman" w:cs="Arial"/>
          <w:color w:val="000000"/>
          <w:lang w:eastAsia="bg-BG"/>
        </w:rPr>
        <w:t xml:space="preserve">стойности (креатининов клирънс 5-30 </w:t>
      </w:r>
      <w:r w:rsidRPr="00F273BC">
        <w:rPr>
          <w:rFonts w:eastAsia="Times New Roman" w:cs="Arial"/>
          <w:color w:val="000000"/>
          <w:lang w:val="en-US"/>
        </w:rPr>
        <w:t xml:space="preserve">ml/min). </w:t>
      </w:r>
      <w:r w:rsidRPr="00F273BC">
        <w:rPr>
          <w:rFonts w:eastAsia="Times New Roman" w:cs="Arial"/>
          <w:color w:val="000000"/>
          <w:lang w:eastAsia="bg-BG"/>
        </w:rPr>
        <w:t xml:space="preserve">Лизиноприлът може да бъде отстранен чрез диализа. По време на 4-часова хемодиализа, плазмените концентрации на лизиноприл намаляват средно с 60%, при диализен клирънс между 40 и 55 </w:t>
      </w:r>
      <w:r w:rsidRPr="00F273BC">
        <w:rPr>
          <w:rFonts w:eastAsia="Times New Roman" w:cs="Arial"/>
          <w:color w:val="000000"/>
          <w:lang w:val="en-US"/>
        </w:rPr>
        <w:t>ml/min.</w:t>
      </w:r>
    </w:p>
    <w:p w14:paraId="3C31395F" w14:textId="77777777" w:rsidR="00F273BC" w:rsidRDefault="00F273BC" w:rsidP="00F273BC">
      <w:pPr>
        <w:spacing w:line="240" w:lineRule="auto"/>
        <w:rPr>
          <w:rFonts w:eastAsia="Times New Roman" w:cs="Arial"/>
          <w:i/>
          <w:iCs/>
          <w:color w:val="000000"/>
          <w:lang w:eastAsia="bg-BG"/>
        </w:rPr>
      </w:pPr>
    </w:p>
    <w:p w14:paraId="03D943E4" w14:textId="30E0D3FC"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Сърдечна недостатъчност</w:t>
      </w:r>
    </w:p>
    <w:p w14:paraId="410E39F3"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 xml:space="preserve">Пациентите със сърдечна недостатъчност имат увеличена експозиция на лизиноприл в сравнение със здравите доброволци (повишаване на </w:t>
      </w:r>
      <w:r w:rsidRPr="00F273BC">
        <w:rPr>
          <w:rFonts w:eastAsia="Times New Roman" w:cs="Arial"/>
          <w:color w:val="000000"/>
          <w:lang w:val="en-US"/>
        </w:rPr>
        <w:t xml:space="preserve">AUC </w:t>
      </w:r>
      <w:r w:rsidRPr="00F273BC">
        <w:rPr>
          <w:rFonts w:eastAsia="Times New Roman" w:cs="Arial"/>
          <w:color w:val="000000"/>
          <w:lang w:eastAsia="bg-BG"/>
        </w:rPr>
        <w:t>стойностите средно с 125%), но на базата на стойностите определени в отделената урина, налице е една намалена абсорбция до около 16% в сравнение със здравите доброволци.</w:t>
      </w:r>
    </w:p>
    <w:p w14:paraId="041B92F1" w14:textId="77777777" w:rsidR="00F273BC" w:rsidRDefault="00F273BC" w:rsidP="00F273BC">
      <w:pPr>
        <w:spacing w:line="240" w:lineRule="auto"/>
        <w:rPr>
          <w:rFonts w:eastAsia="Times New Roman" w:cs="Arial"/>
          <w:i/>
          <w:iCs/>
          <w:color w:val="000000"/>
          <w:lang w:eastAsia="bg-BG"/>
        </w:rPr>
      </w:pPr>
    </w:p>
    <w:p w14:paraId="59D1FAFD" w14:textId="1A4FD7EE"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Педиатрична популация</w:t>
      </w:r>
    </w:p>
    <w:p w14:paraId="5215CAF7" w14:textId="70950AD4" w:rsidR="00F273BC" w:rsidRDefault="00F273BC" w:rsidP="00F273BC">
      <w:pPr>
        <w:rPr>
          <w:rFonts w:eastAsia="Times New Roman" w:cs="Arial"/>
          <w:color w:val="000000"/>
          <w:lang w:eastAsia="bg-BG"/>
        </w:rPr>
      </w:pPr>
      <w:r w:rsidRPr="00F273BC">
        <w:rPr>
          <w:rFonts w:eastAsia="Times New Roman" w:cs="Arial"/>
          <w:color w:val="000000"/>
          <w:lang w:eastAsia="bg-BG"/>
        </w:rPr>
        <w:t xml:space="preserve">Фармакокинетичният профил на лизиноприл е проучен при 29 педиатрични пациенти с хипертония, на възраст между 6 и 16 години, с индекс на ГФ &gt; 30 </w:t>
      </w:r>
      <w:r w:rsidRPr="00F273BC">
        <w:rPr>
          <w:rFonts w:eastAsia="Times New Roman" w:cs="Arial"/>
          <w:color w:val="000000"/>
          <w:lang w:val="en-US"/>
        </w:rPr>
        <w:t>ml/min/1,72 m</w:t>
      </w:r>
      <w:r w:rsidRPr="00F273BC">
        <w:rPr>
          <w:rFonts w:eastAsia="Times New Roman" w:cs="Arial"/>
          <w:color w:val="000000"/>
          <w:vertAlign w:val="superscript"/>
          <w:lang w:val="en-US"/>
        </w:rPr>
        <w:t>2</w:t>
      </w:r>
      <w:r w:rsidRPr="00F273BC">
        <w:rPr>
          <w:rFonts w:eastAsia="Times New Roman" w:cs="Arial"/>
          <w:color w:val="000000"/>
          <w:lang w:val="en-US"/>
        </w:rPr>
        <w:t>.</w:t>
      </w:r>
      <w:r w:rsidRPr="00F273BC">
        <w:rPr>
          <w:rFonts w:eastAsia="Times New Roman" w:cs="Arial"/>
          <w:color w:val="000000"/>
          <w:lang w:eastAsia="bg-BG"/>
        </w:rPr>
        <w:t xml:space="preserve"> Равновесни плазмени концентрации на лизиноприл се наблюдават 6 часа след прилагане на дози от 0,1 до 0,2 </w:t>
      </w:r>
      <w:r w:rsidRPr="00F273BC">
        <w:rPr>
          <w:rFonts w:eastAsia="Times New Roman" w:cs="Arial"/>
          <w:color w:val="000000"/>
          <w:lang w:val="en-US"/>
        </w:rPr>
        <w:t xml:space="preserve">mg/kg, </w:t>
      </w:r>
      <w:r w:rsidRPr="00F273BC">
        <w:rPr>
          <w:rFonts w:eastAsia="Times New Roman" w:cs="Arial"/>
          <w:color w:val="000000"/>
          <w:lang w:eastAsia="bg-BG"/>
        </w:rPr>
        <w:t>като степента на абсорбцията, е около 28%. Стойностите са подобни на тези при възрастни.</w:t>
      </w:r>
    </w:p>
    <w:p w14:paraId="20CD5A68" w14:textId="01121722" w:rsidR="00F273BC" w:rsidRDefault="00F273BC" w:rsidP="00F273BC">
      <w:pPr>
        <w:rPr>
          <w:rFonts w:eastAsia="Times New Roman" w:cs="Arial"/>
          <w:color w:val="000000"/>
          <w:lang w:eastAsia="bg-BG"/>
        </w:rPr>
      </w:pPr>
    </w:p>
    <w:p w14:paraId="725877A7"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 xml:space="preserve">Наблюдаваните стойности на </w:t>
      </w:r>
      <w:r w:rsidRPr="00F273BC">
        <w:rPr>
          <w:rFonts w:eastAsia="Times New Roman" w:cs="Arial"/>
          <w:color w:val="000000"/>
          <w:lang w:val="en-US"/>
        </w:rPr>
        <w:t xml:space="preserve">AUC </w:t>
      </w:r>
      <w:r w:rsidRPr="00F273BC">
        <w:rPr>
          <w:rFonts w:eastAsia="Times New Roman" w:cs="Arial"/>
          <w:color w:val="000000"/>
          <w:lang w:eastAsia="bg-BG"/>
        </w:rPr>
        <w:t>и С</w:t>
      </w:r>
      <w:r w:rsidRPr="00F273BC">
        <w:rPr>
          <w:rFonts w:eastAsia="Times New Roman" w:cs="Arial"/>
          <w:color w:val="000000"/>
          <w:vertAlign w:val="subscript"/>
          <w:lang w:val="en-US"/>
        </w:rPr>
        <w:t>max</w:t>
      </w:r>
      <w:r w:rsidRPr="00F273BC">
        <w:rPr>
          <w:rFonts w:eastAsia="Times New Roman" w:cs="Arial"/>
          <w:color w:val="000000"/>
          <w:lang w:val="en-US"/>
        </w:rPr>
        <w:t xml:space="preserve"> </w:t>
      </w:r>
      <w:r w:rsidRPr="00F273BC">
        <w:rPr>
          <w:rFonts w:eastAsia="Times New Roman" w:cs="Arial"/>
          <w:color w:val="000000"/>
          <w:lang w:eastAsia="bg-BG"/>
        </w:rPr>
        <w:t>при деца в това проучване са подобни на тези, наблюдавани при възрастни.</w:t>
      </w:r>
    </w:p>
    <w:p w14:paraId="042EB080" w14:textId="77777777" w:rsidR="00F273BC" w:rsidRDefault="00F273BC" w:rsidP="00F273BC">
      <w:pPr>
        <w:spacing w:line="240" w:lineRule="auto"/>
        <w:rPr>
          <w:rFonts w:eastAsia="Times New Roman" w:cs="Arial"/>
          <w:i/>
          <w:iCs/>
          <w:color w:val="000000"/>
          <w:lang w:eastAsia="bg-BG"/>
        </w:rPr>
      </w:pPr>
    </w:p>
    <w:p w14:paraId="46F33954" w14:textId="7C0919C6"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Пациенти в старческа възраст</w:t>
      </w:r>
    </w:p>
    <w:p w14:paraId="7BEB2880"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 xml:space="preserve">Пациентите в старческа възраст имат по-високи стойности в кръвта и повишени </w:t>
      </w:r>
      <w:r w:rsidRPr="00F273BC">
        <w:rPr>
          <w:rFonts w:eastAsia="Times New Roman" w:cs="Arial"/>
          <w:color w:val="000000"/>
          <w:lang w:val="en-US"/>
        </w:rPr>
        <w:t>AUC</w:t>
      </w:r>
      <w:r w:rsidRPr="00F273BC">
        <w:rPr>
          <w:rFonts w:eastAsia="Times New Roman" w:cs="Arial"/>
          <w:color w:val="000000"/>
          <w:lang w:eastAsia="bg-BG"/>
        </w:rPr>
        <w:t>- стойности (приблизително с 60%) в сравнение с по-младите пациенти.</w:t>
      </w:r>
    </w:p>
    <w:p w14:paraId="2E0E348A" w14:textId="77777777" w:rsidR="00F273BC" w:rsidRPr="00F273BC" w:rsidRDefault="00F273BC" w:rsidP="00F273BC"/>
    <w:p w14:paraId="0CC65FE3" w14:textId="0E35E3D0" w:rsidR="00EE6C97" w:rsidRDefault="002C50EE" w:rsidP="00A93499">
      <w:pPr>
        <w:pStyle w:val="Heading2"/>
      </w:pPr>
      <w:r>
        <w:t>5.3. Предклинични данни за безопасност</w:t>
      </w:r>
    </w:p>
    <w:p w14:paraId="447156B6" w14:textId="4B186E24" w:rsidR="00F273BC" w:rsidRDefault="00F273BC" w:rsidP="00F273BC"/>
    <w:p w14:paraId="1F907946"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 xml:space="preserve">Предклиничните данни за безопасност не показват особени рискове за хората на базата на традиционните фармакологични изпитвания за безопасност, токсичност при многократно прилагане, генотоксичност, карциногенен ефект. Установено е че, АСЕ- инхибиторите, като клас, оказват влияние върху късното развитие на зародиша, което може да доведе до смърт и конгенитални аномалии, особено черепно-лицеви </w:t>
      </w:r>
      <w:r w:rsidRPr="00F273BC">
        <w:rPr>
          <w:rFonts w:eastAsia="Times New Roman" w:cs="Arial"/>
          <w:color w:val="000000"/>
          <w:lang w:eastAsia="bg-BG"/>
        </w:rPr>
        <w:lastRenderedPageBreak/>
        <w:t xml:space="preserve">деформации. Има също съобщения за фетална токсичност, забавяне на вътрешноматочния растеж и отворен </w:t>
      </w:r>
      <w:r w:rsidRPr="00F273BC">
        <w:rPr>
          <w:rFonts w:eastAsia="Times New Roman" w:cs="Arial"/>
          <w:color w:val="000000"/>
          <w:lang w:val="en-US"/>
        </w:rPr>
        <w:t xml:space="preserve">ductus arteriosus. </w:t>
      </w:r>
      <w:r w:rsidRPr="00F273BC">
        <w:rPr>
          <w:rFonts w:eastAsia="Times New Roman" w:cs="Arial"/>
          <w:color w:val="000000"/>
          <w:lang w:eastAsia="bg-BG"/>
        </w:rPr>
        <w:t>Смята се, че тези аномалии в развитието се дължат отчасти на прякото действие на АСЕ- инхибиторите върху ренин-ангиотензин системата на фетуса и отчасти на исхемия, дължаща се на хипотония при майката и намаляване на плацентарния кръвен ток и притока на кислород до зародиша.</w:t>
      </w:r>
    </w:p>
    <w:p w14:paraId="034635BF" w14:textId="77777777" w:rsidR="00F273BC" w:rsidRPr="00F273BC" w:rsidRDefault="00F273BC" w:rsidP="00F273BC"/>
    <w:p w14:paraId="357049A8" w14:textId="44A52850" w:rsidR="00BB22B4" w:rsidRDefault="002C50EE" w:rsidP="00471F10">
      <w:pPr>
        <w:pStyle w:val="Heading1"/>
      </w:pPr>
      <w:r>
        <w:t>7. ПРИТЕЖАТЕЛ НА РАЗРЕШЕНИЕТО ЗА УПОТРЕБА</w:t>
      </w:r>
    </w:p>
    <w:p w14:paraId="0F085BC2" w14:textId="4EB4DB05" w:rsidR="00F273BC" w:rsidRDefault="00F273BC" w:rsidP="00F273BC"/>
    <w:p w14:paraId="22A16389" w14:textId="77777777" w:rsidR="00F273BC" w:rsidRPr="00F273BC" w:rsidRDefault="00F273BC" w:rsidP="00F273BC">
      <w:pPr>
        <w:rPr>
          <w:rFonts w:ascii="Times New Roman" w:hAnsi="Times New Roman" w:cs="Times New Roman"/>
          <w:sz w:val="24"/>
          <w:szCs w:val="24"/>
          <w:lang w:val="en-US" w:eastAsia="bg-BG"/>
        </w:rPr>
      </w:pPr>
      <w:r w:rsidRPr="00F273BC">
        <w:rPr>
          <w:lang w:val="en-US"/>
        </w:rPr>
        <w:t xml:space="preserve">STADA </w:t>
      </w:r>
      <w:proofErr w:type="spellStart"/>
      <w:r w:rsidRPr="00F273BC">
        <w:rPr>
          <w:lang w:val="en-US"/>
        </w:rPr>
        <w:t>Arzneimittel</w:t>
      </w:r>
      <w:proofErr w:type="spellEnd"/>
      <w:r w:rsidRPr="00F273BC">
        <w:rPr>
          <w:lang w:val="en-US"/>
        </w:rPr>
        <w:t xml:space="preserve"> AG,</w:t>
      </w:r>
    </w:p>
    <w:p w14:paraId="247446A1" w14:textId="77777777" w:rsidR="00F273BC" w:rsidRPr="00F273BC" w:rsidRDefault="00F273BC" w:rsidP="00F273BC">
      <w:pPr>
        <w:rPr>
          <w:rFonts w:ascii="Times New Roman" w:hAnsi="Times New Roman" w:cs="Times New Roman"/>
          <w:sz w:val="24"/>
          <w:szCs w:val="24"/>
          <w:lang w:val="en-US" w:eastAsia="bg-BG"/>
        </w:rPr>
      </w:pPr>
      <w:proofErr w:type="spellStart"/>
      <w:r w:rsidRPr="00F273BC">
        <w:rPr>
          <w:lang w:val="en-US"/>
        </w:rPr>
        <w:t>Stadastrasse</w:t>
      </w:r>
      <w:proofErr w:type="spellEnd"/>
      <w:r w:rsidRPr="00F273BC">
        <w:rPr>
          <w:lang w:val="en-US"/>
        </w:rPr>
        <w:t xml:space="preserve"> </w:t>
      </w:r>
      <w:r w:rsidRPr="00F273BC">
        <w:rPr>
          <w:lang w:eastAsia="bg-BG"/>
        </w:rPr>
        <w:t xml:space="preserve">2-18, </w:t>
      </w:r>
      <w:r w:rsidRPr="00F273BC">
        <w:rPr>
          <w:lang w:val="en-US"/>
        </w:rPr>
        <w:t xml:space="preserve">D-61118 Bad </w:t>
      </w:r>
      <w:proofErr w:type="spellStart"/>
      <w:r w:rsidRPr="00F273BC">
        <w:rPr>
          <w:lang w:val="en-US"/>
        </w:rPr>
        <w:t>Vilbel</w:t>
      </w:r>
      <w:proofErr w:type="spellEnd"/>
      <w:r w:rsidRPr="00F273BC">
        <w:rPr>
          <w:lang w:val="en-US"/>
        </w:rPr>
        <w:t xml:space="preserve">, </w:t>
      </w:r>
      <w:r w:rsidRPr="00F273BC">
        <w:rPr>
          <w:lang w:eastAsia="bg-BG"/>
        </w:rPr>
        <w:t>Германия</w:t>
      </w:r>
    </w:p>
    <w:p w14:paraId="0B433BD7" w14:textId="77777777" w:rsidR="00F273BC" w:rsidRPr="00F273BC" w:rsidRDefault="00F273BC" w:rsidP="00F273BC"/>
    <w:p w14:paraId="0A53321D" w14:textId="368499E5" w:rsidR="00EE6C97" w:rsidRDefault="00936AD0" w:rsidP="00A93499">
      <w:pPr>
        <w:pStyle w:val="Heading1"/>
      </w:pPr>
      <w:r>
        <w:t>8.</w:t>
      </w:r>
      <w:r w:rsidR="002C50EE">
        <w:t>НОМЕР НА РАЗРЕШЕНИЕТО ЗА УПОТРЕБА</w:t>
      </w:r>
    </w:p>
    <w:p w14:paraId="1810AE20" w14:textId="52F4C37C" w:rsidR="00F273BC" w:rsidRDefault="00F273BC" w:rsidP="00F273BC"/>
    <w:p w14:paraId="12FC5F4A" w14:textId="4896A61D" w:rsidR="00F273BC" w:rsidRPr="00F273BC" w:rsidRDefault="00F273BC" w:rsidP="00F273BC">
      <w:pPr>
        <w:rPr>
          <w:rFonts w:ascii="Times New Roman" w:hAnsi="Times New Roman" w:cs="Times New Roman"/>
          <w:sz w:val="24"/>
          <w:szCs w:val="24"/>
          <w:lang w:val="en-US" w:eastAsia="bg-BG"/>
        </w:rPr>
      </w:pPr>
      <w:r w:rsidRPr="00F273BC">
        <w:rPr>
          <w:lang w:val="en-US"/>
        </w:rPr>
        <w:t>20030</w:t>
      </w:r>
      <w:r w:rsidR="003C3EEA">
        <w:rPr>
          <w:lang w:val="en-US"/>
        </w:rPr>
        <w:t>440</w:t>
      </w:r>
    </w:p>
    <w:p w14:paraId="3715C10B" w14:textId="4A4700F7" w:rsidR="00BB22B4" w:rsidRDefault="002C50EE" w:rsidP="00471F10">
      <w:pPr>
        <w:pStyle w:val="Heading1"/>
      </w:pPr>
      <w:r>
        <w:t>9. ДАТА НА ПЪРВО РАЗРЕШАВАНЕ/ПОДНОВЯВАНЕ НА РАЗРЕШЕНИЕТО ЗА УПОТРЕБА</w:t>
      </w:r>
    </w:p>
    <w:p w14:paraId="74550659" w14:textId="2FA856AE" w:rsidR="00F273BC" w:rsidRPr="00F273BC" w:rsidRDefault="00F273BC" w:rsidP="00F273BC">
      <w:r>
        <w:t>04.2003</w:t>
      </w:r>
    </w:p>
    <w:p w14:paraId="43FB38A2" w14:textId="0C18A683" w:rsidR="007C605B" w:rsidRDefault="002C50EE" w:rsidP="005726E3">
      <w:pPr>
        <w:pStyle w:val="Heading1"/>
      </w:pPr>
      <w:r>
        <w:t>10. ДАТА НА АКТУАЛИЗИРАНЕ НА ТЕКСТА</w:t>
      </w:r>
      <w:bookmarkEnd w:id="0"/>
    </w:p>
    <w:p w14:paraId="472617BD" w14:textId="7B6C6FCE" w:rsidR="00BB22B4" w:rsidRPr="00F273BC" w:rsidRDefault="00F273BC" w:rsidP="00F273BC">
      <w:pPr>
        <w:rPr>
          <w:rFonts w:ascii="Times New Roman" w:hAnsi="Times New Roman" w:cs="Times New Roman"/>
          <w:sz w:val="24"/>
          <w:szCs w:val="24"/>
          <w:lang w:eastAsia="bg-BG"/>
        </w:rPr>
      </w:pPr>
      <w:r w:rsidRPr="00F273BC">
        <w:rPr>
          <w:lang w:eastAsia="bg-BG"/>
        </w:rPr>
        <w:t>Май 2019</w:t>
      </w:r>
    </w:p>
    <w:sectPr w:rsidR="00BB22B4" w:rsidRPr="00F273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573225"/>
    <w:multiLevelType w:val="hybridMultilevel"/>
    <w:tmpl w:val="FB9E8BAC"/>
    <w:lvl w:ilvl="0" w:tplc="61A8CAF0">
      <w:start w:val="4"/>
      <w:numFmt w:val="bullet"/>
      <w:lvlText w:val="-"/>
      <w:lvlJc w:val="left"/>
      <w:pPr>
        <w:ind w:left="720" w:hanging="360"/>
      </w:pPr>
      <w:rPr>
        <w:rFonts w:ascii="Arial" w:eastAsiaTheme="minorHAnsi" w:hAnsi="Arial" w:cs="Arial" w:hint="default"/>
        <w:sz w:val="22"/>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8"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3"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29304D31"/>
    <w:multiLevelType w:val="hybridMultilevel"/>
    <w:tmpl w:val="558E934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6D37A7"/>
    <w:multiLevelType w:val="hybridMultilevel"/>
    <w:tmpl w:val="46CC86F0"/>
    <w:lvl w:ilvl="0" w:tplc="D1263D34">
      <w:start w:val="4"/>
      <w:numFmt w:val="bullet"/>
      <w:lvlText w:val="-"/>
      <w:lvlJc w:val="left"/>
      <w:pPr>
        <w:ind w:left="720" w:hanging="360"/>
      </w:pPr>
      <w:rPr>
        <w:rFonts w:ascii="Times New Roman" w:eastAsia="Times New Roman" w:hAnsi="Times New Roman" w:cs="Times New Roman" w:hint="default"/>
        <w:color w:val="00000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0"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5"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E06251"/>
    <w:multiLevelType w:val="hybridMultilevel"/>
    <w:tmpl w:val="1090AE9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16cid:durableId="1574118384">
    <w:abstractNumId w:val="31"/>
  </w:num>
  <w:num w:numId="2" w16cid:durableId="1612932146">
    <w:abstractNumId w:val="0"/>
  </w:num>
  <w:num w:numId="3" w16cid:durableId="1810323821">
    <w:abstractNumId w:val="16"/>
  </w:num>
  <w:num w:numId="4" w16cid:durableId="2135319613">
    <w:abstractNumId w:val="3"/>
  </w:num>
  <w:num w:numId="5" w16cid:durableId="740105516">
    <w:abstractNumId w:val="1"/>
  </w:num>
  <w:num w:numId="6" w16cid:durableId="1668363208">
    <w:abstractNumId w:val="20"/>
  </w:num>
  <w:num w:numId="7" w16cid:durableId="1241988161">
    <w:abstractNumId w:val="13"/>
  </w:num>
  <w:num w:numId="8" w16cid:durableId="2102022361">
    <w:abstractNumId w:val="19"/>
  </w:num>
  <w:num w:numId="9" w16cid:durableId="1154613663">
    <w:abstractNumId w:val="2"/>
  </w:num>
  <w:num w:numId="10" w16cid:durableId="1733848127">
    <w:abstractNumId w:val="5"/>
  </w:num>
  <w:num w:numId="11" w16cid:durableId="1861704680">
    <w:abstractNumId w:val="34"/>
  </w:num>
  <w:num w:numId="12" w16cid:durableId="1434934028">
    <w:abstractNumId w:val="17"/>
  </w:num>
  <w:num w:numId="13" w16cid:durableId="479157895">
    <w:abstractNumId w:val="23"/>
  </w:num>
  <w:num w:numId="14" w16cid:durableId="1670476636">
    <w:abstractNumId w:val="15"/>
  </w:num>
  <w:num w:numId="15" w16cid:durableId="1000155783">
    <w:abstractNumId w:val="33"/>
  </w:num>
  <w:num w:numId="16" w16cid:durableId="2056420707">
    <w:abstractNumId w:val="12"/>
  </w:num>
  <w:num w:numId="17" w16cid:durableId="1787119182">
    <w:abstractNumId w:val="28"/>
  </w:num>
  <w:num w:numId="18" w16cid:durableId="722945139">
    <w:abstractNumId w:val="9"/>
  </w:num>
  <w:num w:numId="19" w16cid:durableId="1678728408">
    <w:abstractNumId w:val="30"/>
  </w:num>
  <w:num w:numId="20" w16cid:durableId="1970816657">
    <w:abstractNumId w:val="27"/>
  </w:num>
  <w:num w:numId="21" w16cid:durableId="1531146514">
    <w:abstractNumId w:val="21"/>
  </w:num>
  <w:num w:numId="22" w16cid:durableId="1276465">
    <w:abstractNumId w:val="29"/>
  </w:num>
  <w:num w:numId="23" w16cid:durableId="1624310558">
    <w:abstractNumId w:val="22"/>
  </w:num>
  <w:num w:numId="24" w16cid:durableId="1692877547">
    <w:abstractNumId w:val="10"/>
  </w:num>
  <w:num w:numId="25" w16cid:durableId="50930855">
    <w:abstractNumId w:val="26"/>
  </w:num>
  <w:num w:numId="26" w16cid:durableId="176701536">
    <w:abstractNumId w:val="25"/>
  </w:num>
  <w:num w:numId="27" w16cid:durableId="2050564750">
    <w:abstractNumId w:val="35"/>
  </w:num>
  <w:num w:numId="28" w16cid:durableId="1820733422">
    <w:abstractNumId w:val="7"/>
  </w:num>
  <w:num w:numId="29" w16cid:durableId="973678124">
    <w:abstractNumId w:val="24"/>
  </w:num>
  <w:num w:numId="30" w16cid:durableId="154884452">
    <w:abstractNumId w:val="39"/>
  </w:num>
  <w:num w:numId="31" w16cid:durableId="1053964910">
    <w:abstractNumId w:val="6"/>
  </w:num>
  <w:num w:numId="32" w16cid:durableId="2073575793">
    <w:abstractNumId w:val="37"/>
  </w:num>
  <w:num w:numId="33" w16cid:durableId="1566643170">
    <w:abstractNumId w:val="32"/>
  </w:num>
  <w:num w:numId="34" w16cid:durableId="2060787732">
    <w:abstractNumId w:val="36"/>
  </w:num>
  <w:num w:numId="35" w16cid:durableId="34161354">
    <w:abstractNumId w:val="8"/>
  </w:num>
  <w:num w:numId="36" w16cid:durableId="1976908676">
    <w:abstractNumId w:val="11"/>
  </w:num>
  <w:num w:numId="37" w16cid:durableId="758528303">
    <w:abstractNumId w:val="18"/>
  </w:num>
  <w:num w:numId="38" w16cid:durableId="178396561">
    <w:abstractNumId w:val="38"/>
  </w:num>
  <w:num w:numId="39" w16cid:durableId="934825996">
    <w:abstractNumId w:val="14"/>
  </w:num>
  <w:num w:numId="40" w16cid:durableId="14725956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A00"/>
    <w:rsid w:val="00185A46"/>
    <w:rsid w:val="001915B6"/>
    <w:rsid w:val="001A6EBD"/>
    <w:rsid w:val="001D1B23"/>
    <w:rsid w:val="002B3C38"/>
    <w:rsid w:val="002B4DBB"/>
    <w:rsid w:val="002C50EE"/>
    <w:rsid w:val="00340A0A"/>
    <w:rsid w:val="003765DC"/>
    <w:rsid w:val="00395555"/>
    <w:rsid w:val="003C3EEA"/>
    <w:rsid w:val="003E3126"/>
    <w:rsid w:val="003F5EE2"/>
    <w:rsid w:val="00426E5F"/>
    <w:rsid w:val="00471F10"/>
    <w:rsid w:val="004A448E"/>
    <w:rsid w:val="004D4D6B"/>
    <w:rsid w:val="004F1CE7"/>
    <w:rsid w:val="004F498A"/>
    <w:rsid w:val="00517A5B"/>
    <w:rsid w:val="005726E3"/>
    <w:rsid w:val="00593A00"/>
    <w:rsid w:val="005A66D9"/>
    <w:rsid w:val="00605BCA"/>
    <w:rsid w:val="006158A1"/>
    <w:rsid w:val="00617B1F"/>
    <w:rsid w:val="00672487"/>
    <w:rsid w:val="00672600"/>
    <w:rsid w:val="00681D4A"/>
    <w:rsid w:val="00685882"/>
    <w:rsid w:val="007122AD"/>
    <w:rsid w:val="0075649D"/>
    <w:rsid w:val="007C605B"/>
    <w:rsid w:val="008134C8"/>
    <w:rsid w:val="00814073"/>
    <w:rsid w:val="00826F0D"/>
    <w:rsid w:val="00875EEC"/>
    <w:rsid w:val="00893B92"/>
    <w:rsid w:val="008A6AF2"/>
    <w:rsid w:val="008C70A2"/>
    <w:rsid w:val="00936AD0"/>
    <w:rsid w:val="00954129"/>
    <w:rsid w:val="009773E4"/>
    <w:rsid w:val="009B171C"/>
    <w:rsid w:val="009F1313"/>
    <w:rsid w:val="00A20351"/>
    <w:rsid w:val="00A65A81"/>
    <w:rsid w:val="00A71DCF"/>
    <w:rsid w:val="00A93499"/>
    <w:rsid w:val="00AA23EC"/>
    <w:rsid w:val="00AC63CE"/>
    <w:rsid w:val="00AE2107"/>
    <w:rsid w:val="00B275A8"/>
    <w:rsid w:val="00B6672E"/>
    <w:rsid w:val="00BA5B74"/>
    <w:rsid w:val="00BB22B4"/>
    <w:rsid w:val="00BF2600"/>
    <w:rsid w:val="00C0049F"/>
    <w:rsid w:val="00C07B84"/>
    <w:rsid w:val="00C33464"/>
    <w:rsid w:val="00C40420"/>
    <w:rsid w:val="00C809A7"/>
    <w:rsid w:val="00C83063"/>
    <w:rsid w:val="00C87E90"/>
    <w:rsid w:val="00CA1B57"/>
    <w:rsid w:val="00CF77F7"/>
    <w:rsid w:val="00D86297"/>
    <w:rsid w:val="00DB32D3"/>
    <w:rsid w:val="00DD466D"/>
    <w:rsid w:val="00EB6364"/>
    <w:rsid w:val="00EE6C97"/>
    <w:rsid w:val="00EF75B1"/>
    <w:rsid w:val="00F273BC"/>
    <w:rsid w:val="00F37B64"/>
    <w:rsid w:val="00F53FB7"/>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18</Pages>
  <Words>7164</Words>
  <Characters>40840</Characters>
  <Application>Microsoft Office Word</Application>
  <DocSecurity>0</DocSecurity>
  <Lines>340</Lines>
  <Paragraphs>95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47909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ВАСИЛЕВ</cp:lastModifiedBy>
  <cp:revision>2</cp:revision>
  <dcterms:created xsi:type="dcterms:W3CDTF">2023-01-08T00:20:00Z</dcterms:created>
  <dcterms:modified xsi:type="dcterms:W3CDTF">2023-01-08T00:20:00Z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