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02F66622" w:rsidR="00F53FB7" w:rsidRDefault="00DD466D" w:rsidP="00A93499">
      <w:pPr>
        <w:pStyle w:val="Heading1"/>
      </w:pPr>
      <w:r>
        <w:t>1.ИМЕ НА ЛЕКАРСТВЕНИЯ ПРОДУКТ</w:t>
      </w:r>
    </w:p>
    <w:p w14:paraId="41B8DF39" w14:textId="6C586260" w:rsidR="00F925BC" w:rsidRDefault="00F925BC" w:rsidP="00F925BC"/>
    <w:p w14:paraId="78C30E64" w14:textId="77777777" w:rsidR="00F925BC" w:rsidRPr="00F925BC" w:rsidRDefault="00F925BC" w:rsidP="00F925BC">
      <w:pPr>
        <w:rPr>
          <w:sz w:val="24"/>
          <w:szCs w:val="24"/>
          <w:lang w:eastAsia="bg-BG"/>
        </w:rPr>
      </w:pPr>
      <w:r w:rsidRPr="00F925BC">
        <w:rPr>
          <w:lang w:eastAsia="bg-BG"/>
        </w:rPr>
        <w:t xml:space="preserve">Вивейс 5 </w:t>
      </w:r>
      <w:r w:rsidRPr="00F925BC">
        <w:rPr>
          <w:lang w:val="en-US"/>
        </w:rPr>
        <w:t xml:space="preserve">mg </w:t>
      </w:r>
      <w:r w:rsidRPr="00F925BC">
        <w:rPr>
          <w:lang w:eastAsia="bg-BG"/>
        </w:rPr>
        <w:t>таблетки</w:t>
      </w:r>
    </w:p>
    <w:p w14:paraId="6E0C18E6" w14:textId="77777777" w:rsidR="00F925BC" w:rsidRPr="00F925BC" w:rsidRDefault="00F925BC" w:rsidP="00F925BC">
      <w:pPr>
        <w:rPr>
          <w:sz w:val="24"/>
          <w:szCs w:val="24"/>
          <w:lang w:eastAsia="bg-BG"/>
        </w:rPr>
      </w:pPr>
      <w:r w:rsidRPr="00F925BC">
        <w:rPr>
          <w:lang w:val="en-US"/>
        </w:rPr>
        <w:t xml:space="preserve">Vivace </w:t>
      </w:r>
      <w:r w:rsidRPr="00F925BC">
        <w:rPr>
          <w:lang w:eastAsia="bg-BG"/>
        </w:rPr>
        <w:t xml:space="preserve">5 </w:t>
      </w:r>
      <w:r w:rsidRPr="00F925BC">
        <w:rPr>
          <w:lang w:val="en-US"/>
        </w:rPr>
        <w:t>mg tablets</w:t>
      </w:r>
    </w:p>
    <w:p w14:paraId="4BBC203B" w14:textId="77777777" w:rsidR="00F925BC" w:rsidRDefault="00F925BC" w:rsidP="00F925BC">
      <w:pPr>
        <w:rPr>
          <w:lang w:eastAsia="bg-BG"/>
        </w:rPr>
      </w:pPr>
    </w:p>
    <w:p w14:paraId="61241215" w14:textId="17FFCF30" w:rsidR="00F925BC" w:rsidRPr="00F925BC" w:rsidRDefault="00F925BC" w:rsidP="00F925BC">
      <w:pPr>
        <w:rPr>
          <w:sz w:val="24"/>
          <w:szCs w:val="24"/>
          <w:lang w:eastAsia="bg-BG"/>
        </w:rPr>
      </w:pPr>
      <w:r w:rsidRPr="00F925BC">
        <w:rPr>
          <w:lang w:eastAsia="bg-BG"/>
        </w:rPr>
        <w:t xml:space="preserve">Вивейс 10 </w:t>
      </w:r>
      <w:r w:rsidRPr="00F925BC">
        <w:rPr>
          <w:lang w:val="en-US"/>
        </w:rPr>
        <w:t xml:space="preserve">mg </w:t>
      </w:r>
      <w:r w:rsidRPr="00F925BC">
        <w:rPr>
          <w:lang w:eastAsia="bg-BG"/>
        </w:rPr>
        <w:t>таблетки</w:t>
      </w:r>
    </w:p>
    <w:p w14:paraId="3FD6AA70" w14:textId="77777777" w:rsidR="00F925BC" w:rsidRPr="00F925BC" w:rsidRDefault="00F925BC" w:rsidP="00F925BC">
      <w:pPr>
        <w:rPr>
          <w:sz w:val="24"/>
          <w:szCs w:val="24"/>
          <w:lang w:eastAsia="bg-BG"/>
        </w:rPr>
      </w:pPr>
      <w:r w:rsidRPr="00F925BC">
        <w:rPr>
          <w:lang w:val="en-US"/>
        </w:rPr>
        <w:t xml:space="preserve">Vivace </w:t>
      </w:r>
      <w:r w:rsidRPr="00F925BC">
        <w:rPr>
          <w:lang w:eastAsia="bg-BG"/>
        </w:rPr>
        <w:t xml:space="preserve">10 </w:t>
      </w:r>
      <w:r w:rsidRPr="00F925BC">
        <w:rPr>
          <w:lang w:val="en-US"/>
        </w:rPr>
        <w:t>mg tablets</w:t>
      </w:r>
    </w:p>
    <w:p w14:paraId="15C2F776" w14:textId="77777777" w:rsidR="00F925BC" w:rsidRPr="00F925BC" w:rsidRDefault="00F925BC" w:rsidP="00F925BC"/>
    <w:p w14:paraId="0DF202EC" w14:textId="3CBF6DC9" w:rsidR="00F53FB7" w:rsidRDefault="00DD466D" w:rsidP="00A93499">
      <w:pPr>
        <w:pStyle w:val="Heading1"/>
      </w:pPr>
      <w:r>
        <w:t>2. КАЧЕСТВЕН И КОЛИЧЕСТВЕН СЪСТАВ</w:t>
      </w:r>
    </w:p>
    <w:p w14:paraId="16E39E13" w14:textId="35340184" w:rsidR="00F925BC" w:rsidRDefault="00F925BC" w:rsidP="00F925BC"/>
    <w:p w14:paraId="44F58D0F" w14:textId="77777777" w:rsidR="00F925BC" w:rsidRPr="00F925BC" w:rsidRDefault="00F925BC" w:rsidP="00F925BC">
      <w:pPr>
        <w:rPr>
          <w:sz w:val="24"/>
          <w:szCs w:val="24"/>
          <w:lang w:eastAsia="bg-BG"/>
        </w:rPr>
      </w:pPr>
      <w:r w:rsidRPr="00F925BC">
        <w:rPr>
          <w:lang w:eastAsia="bg-BG"/>
        </w:rPr>
        <w:t xml:space="preserve">Всяка таблетка съдържа 5 </w:t>
      </w:r>
      <w:r w:rsidRPr="00F925BC">
        <w:rPr>
          <w:lang w:val="en-US"/>
        </w:rPr>
        <w:t xml:space="preserve">mg </w:t>
      </w:r>
      <w:r w:rsidRPr="00F925BC">
        <w:rPr>
          <w:lang w:eastAsia="bg-BG"/>
        </w:rPr>
        <w:t xml:space="preserve">или 10 </w:t>
      </w:r>
      <w:r w:rsidRPr="00F925BC">
        <w:rPr>
          <w:lang w:val="en-US"/>
        </w:rPr>
        <w:t xml:space="preserve">mg </w:t>
      </w:r>
      <w:r w:rsidRPr="00F925BC">
        <w:rPr>
          <w:lang w:eastAsia="bg-BG"/>
        </w:rPr>
        <w:t xml:space="preserve">рамиприл </w:t>
      </w:r>
      <w:r w:rsidRPr="00F925BC">
        <w:rPr>
          <w:lang w:val="en-US"/>
        </w:rPr>
        <w:t>(ramipril).</w:t>
      </w:r>
    </w:p>
    <w:p w14:paraId="4DB8E6E5" w14:textId="77777777" w:rsidR="00F925BC" w:rsidRDefault="00F925BC" w:rsidP="00F925BC">
      <w:pPr>
        <w:rPr>
          <w:u w:val="single"/>
          <w:lang w:eastAsia="bg-BG"/>
        </w:rPr>
      </w:pPr>
    </w:p>
    <w:p w14:paraId="1B3147E0" w14:textId="4C7C0AD8" w:rsidR="00F925BC" w:rsidRPr="00F925BC" w:rsidRDefault="00F925BC" w:rsidP="00F925BC">
      <w:pPr>
        <w:rPr>
          <w:sz w:val="24"/>
          <w:szCs w:val="24"/>
          <w:lang w:eastAsia="bg-BG"/>
        </w:rPr>
      </w:pPr>
      <w:r w:rsidRPr="00F925BC">
        <w:rPr>
          <w:u w:val="single"/>
          <w:lang w:eastAsia="bg-BG"/>
        </w:rPr>
        <w:t>Помощно вещество с известно действие</w:t>
      </w:r>
      <w:r w:rsidRPr="00F925BC">
        <w:rPr>
          <w:lang w:eastAsia="bg-BG"/>
        </w:rPr>
        <w:t>:</w:t>
      </w:r>
    </w:p>
    <w:p w14:paraId="4C9F2488" w14:textId="77777777" w:rsidR="00F925BC" w:rsidRPr="00F925BC" w:rsidRDefault="00F925BC" w:rsidP="00F925BC">
      <w:pPr>
        <w:rPr>
          <w:sz w:val="24"/>
          <w:szCs w:val="24"/>
          <w:lang w:eastAsia="bg-BG"/>
        </w:rPr>
      </w:pPr>
      <w:r w:rsidRPr="00F925BC">
        <w:rPr>
          <w:lang w:eastAsia="bg-BG"/>
        </w:rPr>
        <w:t xml:space="preserve">Всяка таблетка Вивейс 5 </w:t>
      </w:r>
      <w:r w:rsidRPr="00F925BC">
        <w:rPr>
          <w:lang w:val="en-US"/>
        </w:rPr>
        <w:t xml:space="preserve">mg </w:t>
      </w:r>
      <w:r w:rsidRPr="00F925BC">
        <w:rPr>
          <w:lang w:eastAsia="bg-BG"/>
        </w:rPr>
        <w:t xml:space="preserve">съдържа 94 </w:t>
      </w:r>
      <w:r w:rsidRPr="00F925BC">
        <w:rPr>
          <w:lang w:val="en-US"/>
        </w:rPr>
        <w:t xml:space="preserve">mg </w:t>
      </w:r>
      <w:r w:rsidRPr="00F925BC">
        <w:rPr>
          <w:lang w:eastAsia="bg-BG"/>
        </w:rPr>
        <w:t>лактоза монохидрат.</w:t>
      </w:r>
    </w:p>
    <w:p w14:paraId="10494C2D" w14:textId="77777777" w:rsidR="00F925BC" w:rsidRPr="00F925BC" w:rsidRDefault="00F925BC" w:rsidP="00F925BC">
      <w:pPr>
        <w:rPr>
          <w:sz w:val="24"/>
          <w:szCs w:val="24"/>
          <w:lang w:eastAsia="bg-BG"/>
        </w:rPr>
      </w:pPr>
      <w:r w:rsidRPr="00F925BC">
        <w:rPr>
          <w:lang w:eastAsia="bg-BG"/>
        </w:rPr>
        <w:t xml:space="preserve">Всяка таблетка Вивейс 10 </w:t>
      </w:r>
      <w:r w:rsidRPr="00F925BC">
        <w:rPr>
          <w:lang w:val="en-US"/>
        </w:rPr>
        <w:t xml:space="preserve">mg </w:t>
      </w:r>
      <w:r w:rsidRPr="00F925BC">
        <w:rPr>
          <w:lang w:eastAsia="bg-BG"/>
        </w:rPr>
        <w:t xml:space="preserve">съдържа 193,2 </w:t>
      </w:r>
      <w:r w:rsidRPr="00F925BC">
        <w:rPr>
          <w:lang w:val="en-US"/>
        </w:rPr>
        <w:t xml:space="preserve">mg </w:t>
      </w:r>
      <w:r w:rsidRPr="00F925BC">
        <w:rPr>
          <w:lang w:eastAsia="bg-BG"/>
        </w:rPr>
        <w:t>лактоза монохидрат.</w:t>
      </w:r>
    </w:p>
    <w:p w14:paraId="272AEACA" w14:textId="77777777" w:rsidR="00F925BC" w:rsidRPr="00F925BC" w:rsidRDefault="00F925BC" w:rsidP="00F925BC"/>
    <w:p w14:paraId="4CABB9ED" w14:textId="58F19BAA" w:rsidR="00F53FB7" w:rsidRDefault="00DD466D" w:rsidP="00A93499">
      <w:pPr>
        <w:pStyle w:val="Heading1"/>
      </w:pPr>
      <w:r>
        <w:t>3. ЛЕКАРСТВЕНА ФОРМА</w:t>
      </w:r>
    </w:p>
    <w:p w14:paraId="47EDAC7D" w14:textId="03FF0830" w:rsidR="00F925BC" w:rsidRDefault="00F925BC" w:rsidP="00F925BC"/>
    <w:p w14:paraId="4E4BD72B" w14:textId="77777777"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Таблетка</w:t>
      </w:r>
    </w:p>
    <w:p w14:paraId="0175B43C" w14:textId="77777777" w:rsidR="00F925BC" w:rsidRPr="00F925BC" w:rsidRDefault="00F925BC" w:rsidP="00F925BC">
      <w:pPr>
        <w:spacing w:line="240" w:lineRule="auto"/>
        <w:rPr>
          <w:rFonts w:eastAsia="Times New Roman" w:cs="Arial"/>
          <w:color w:val="000000"/>
          <w:lang w:eastAsia="bg-BG"/>
        </w:rPr>
      </w:pPr>
    </w:p>
    <w:p w14:paraId="4E8A6975" w14:textId="309C910F"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 xml:space="preserve">Вивейс 5 </w:t>
      </w:r>
      <w:r w:rsidRPr="00F925BC">
        <w:rPr>
          <w:rFonts w:eastAsia="Times New Roman" w:cs="Arial"/>
          <w:color w:val="000000"/>
          <w:lang w:val="en-US"/>
        </w:rPr>
        <w:t xml:space="preserve">mg </w:t>
      </w:r>
      <w:r w:rsidRPr="00F925BC">
        <w:rPr>
          <w:rFonts w:eastAsia="Times New Roman" w:cs="Arial"/>
          <w:color w:val="000000"/>
          <w:lang w:eastAsia="bg-BG"/>
        </w:rPr>
        <w:t xml:space="preserve">- розови, овални таблетки 8,8 х 4,4 </w:t>
      </w:r>
      <w:r w:rsidRPr="00F925BC">
        <w:rPr>
          <w:rFonts w:eastAsia="Times New Roman" w:cs="Arial"/>
          <w:color w:val="000000"/>
          <w:lang w:val="en-US"/>
        </w:rPr>
        <w:t xml:space="preserve">mm </w:t>
      </w:r>
      <w:r w:rsidRPr="00F925BC">
        <w:rPr>
          <w:rFonts w:eastAsia="Times New Roman" w:cs="Arial"/>
          <w:color w:val="000000"/>
          <w:lang w:eastAsia="bg-BG"/>
        </w:rPr>
        <w:t xml:space="preserve">с черта от едната страна и продължаваща отстрани с маркировка </w:t>
      </w:r>
      <w:r w:rsidRPr="00F925BC">
        <w:rPr>
          <w:rFonts w:eastAsia="Times New Roman" w:cs="Arial"/>
          <w:color w:val="000000"/>
          <w:lang w:val="en-US"/>
        </w:rPr>
        <w:t>R3.</w:t>
      </w:r>
    </w:p>
    <w:p w14:paraId="2EFC895E" w14:textId="77777777"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 xml:space="preserve">Вивейс 10 </w:t>
      </w:r>
      <w:r w:rsidRPr="00F925BC">
        <w:rPr>
          <w:rFonts w:eastAsia="Times New Roman" w:cs="Arial"/>
          <w:color w:val="000000"/>
          <w:lang w:val="en-US"/>
        </w:rPr>
        <w:t xml:space="preserve">mg </w:t>
      </w:r>
      <w:r w:rsidRPr="00F925BC">
        <w:rPr>
          <w:rFonts w:eastAsia="Times New Roman" w:cs="Arial"/>
          <w:color w:val="000000"/>
          <w:lang w:eastAsia="bg-BG"/>
        </w:rPr>
        <w:t xml:space="preserve">- бели или почти бели, овални таблетки 11,0 х 5,5 </w:t>
      </w:r>
      <w:r w:rsidRPr="00F925BC">
        <w:rPr>
          <w:rFonts w:eastAsia="Times New Roman" w:cs="Arial"/>
          <w:color w:val="000000"/>
          <w:lang w:val="en-US"/>
        </w:rPr>
        <w:t xml:space="preserve">mm </w:t>
      </w:r>
      <w:r w:rsidRPr="00F925BC">
        <w:rPr>
          <w:rFonts w:eastAsia="Times New Roman" w:cs="Arial"/>
          <w:color w:val="000000"/>
          <w:lang w:eastAsia="bg-BG"/>
        </w:rPr>
        <w:t xml:space="preserve">с черта от едната страна и продължаваща отстрани с маркировка </w:t>
      </w:r>
      <w:r w:rsidRPr="00F925BC">
        <w:rPr>
          <w:rFonts w:eastAsia="Times New Roman" w:cs="Arial"/>
          <w:color w:val="000000"/>
          <w:lang w:val="en-US"/>
        </w:rPr>
        <w:t>R4.</w:t>
      </w:r>
    </w:p>
    <w:p w14:paraId="019E2F55" w14:textId="77777777" w:rsidR="00F925BC" w:rsidRPr="00F925BC" w:rsidRDefault="00F925BC" w:rsidP="00F925BC">
      <w:pPr>
        <w:spacing w:line="240" w:lineRule="auto"/>
        <w:rPr>
          <w:rFonts w:eastAsia="Times New Roman" w:cs="Arial"/>
          <w:color w:val="000000"/>
          <w:lang w:eastAsia="bg-BG"/>
        </w:rPr>
      </w:pPr>
    </w:p>
    <w:p w14:paraId="292EA927" w14:textId="1B9015BA"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Таблетките могат да бъдат разделени на две равни дози.</w:t>
      </w:r>
    </w:p>
    <w:p w14:paraId="69E9C591" w14:textId="77777777" w:rsidR="00F925BC" w:rsidRPr="00F925BC" w:rsidRDefault="00F925BC" w:rsidP="00F925BC"/>
    <w:p w14:paraId="490FC2C4" w14:textId="6899DE43" w:rsidR="002C50EE" w:rsidRDefault="002C50EE" w:rsidP="002C50EE">
      <w:pPr>
        <w:pStyle w:val="Heading1"/>
      </w:pPr>
      <w:r>
        <w:t>4. КЛИНИЧНИ ДАННИ</w:t>
      </w:r>
    </w:p>
    <w:p w14:paraId="1A37D275" w14:textId="74C993F2" w:rsidR="00F53FB7" w:rsidRDefault="002C50EE" w:rsidP="00A93499">
      <w:pPr>
        <w:pStyle w:val="Heading2"/>
      </w:pPr>
      <w:r>
        <w:t>4.1. Терапевтични показания</w:t>
      </w:r>
    </w:p>
    <w:p w14:paraId="743DAFE9" w14:textId="7D92675D" w:rsidR="00F925BC" w:rsidRDefault="00F925BC" w:rsidP="00F925BC"/>
    <w:p w14:paraId="748B9A0E" w14:textId="77777777" w:rsidR="00F925BC" w:rsidRPr="00F925BC" w:rsidRDefault="00F925BC" w:rsidP="00F925BC">
      <w:pPr>
        <w:pStyle w:val="ListParagraph"/>
        <w:numPr>
          <w:ilvl w:val="0"/>
          <w:numId w:val="42"/>
        </w:numPr>
        <w:spacing w:line="240" w:lineRule="auto"/>
        <w:rPr>
          <w:rFonts w:eastAsia="Times New Roman" w:cs="Arial"/>
          <w:color w:val="000000"/>
          <w:lang w:eastAsia="bg-BG"/>
        </w:rPr>
      </w:pPr>
      <w:r w:rsidRPr="00F925BC">
        <w:rPr>
          <w:rFonts w:eastAsia="Times New Roman" w:cs="Arial"/>
          <w:color w:val="000000"/>
          <w:lang w:eastAsia="bg-BG"/>
        </w:rPr>
        <w:t>Лечение на хипертония</w:t>
      </w:r>
    </w:p>
    <w:p w14:paraId="1F3B9BC0" w14:textId="4E88E37A" w:rsidR="00F925BC" w:rsidRPr="00F925BC" w:rsidRDefault="00F925BC" w:rsidP="00F925BC">
      <w:pPr>
        <w:pStyle w:val="ListParagraph"/>
        <w:numPr>
          <w:ilvl w:val="0"/>
          <w:numId w:val="42"/>
        </w:numPr>
        <w:spacing w:line="240" w:lineRule="auto"/>
        <w:rPr>
          <w:rFonts w:eastAsia="Times New Roman" w:cs="Arial"/>
          <w:color w:val="000000"/>
          <w:lang w:eastAsia="bg-BG"/>
        </w:rPr>
      </w:pPr>
      <w:r w:rsidRPr="00F925BC">
        <w:rPr>
          <w:rFonts w:eastAsia="Times New Roman" w:cs="Arial"/>
          <w:color w:val="000000"/>
          <w:lang w:eastAsia="bg-BG"/>
        </w:rPr>
        <w:t>Сърдечно-съдова превенция: за понижаване на сърдечно-съдовата заболеваемост и смъртност при . пациенти с:</w:t>
      </w:r>
    </w:p>
    <w:p w14:paraId="0B6B795D" w14:textId="77777777" w:rsidR="00F925BC" w:rsidRPr="00F925BC" w:rsidRDefault="00F925BC" w:rsidP="00F925BC">
      <w:pPr>
        <w:pStyle w:val="ListParagraph"/>
        <w:numPr>
          <w:ilvl w:val="0"/>
          <w:numId w:val="43"/>
        </w:numPr>
        <w:spacing w:line="240" w:lineRule="auto"/>
        <w:rPr>
          <w:rFonts w:eastAsia="Times New Roman" w:cs="Arial"/>
          <w:color w:val="000000"/>
          <w:lang w:eastAsia="bg-BG"/>
        </w:rPr>
      </w:pPr>
      <w:r w:rsidRPr="00F925BC">
        <w:rPr>
          <w:rFonts w:eastAsia="Times New Roman" w:cs="Arial"/>
          <w:color w:val="000000"/>
          <w:lang w:eastAsia="bg-BG"/>
        </w:rPr>
        <w:t>манифестни атеротромботични сърдечно-съдови заболявания (анамнеза за коронарна болест на сърцето или инсулт или периферни съдови заболявания) или</w:t>
      </w:r>
    </w:p>
    <w:p w14:paraId="4E01C31D" w14:textId="1B14E395" w:rsidR="00F925BC" w:rsidRPr="00F925BC" w:rsidRDefault="00F925BC" w:rsidP="00F925BC">
      <w:pPr>
        <w:pStyle w:val="ListParagraph"/>
        <w:numPr>
          <w:ilvl w:val="0"/>
          <w:numId w:val="43"/>
        </w:numPr>
        <w:spacing w:line="240" w:lineRule="auto"/>
        <w:rPr>
          <w:rFonts w:eastAsia="Times New Roman" w:cs="Arial"/>
          <w:color w:val="000000"/>
          <w:lang w:eastAsia="bg-BG"/>
        </w:rPr>
      </w:pPr>
      <w:r w:rsidRPr="00F925BC">
        <w:rPr>
          <w:rFonts w:eastAsia="Times New Roman" w:cs="Arial"/>
          <w:color w:val="000000"/>
          <w:lang w:eastAsia="bg-BG"/>
        </w:rPr>
        <w:t>диабет с поне един сърдечно-съдов рисков фактор (вж. точка 5.1).</w:t>
      </w:r>
    </w:p>
    <w:p w14:paraId="34A6FBF7" w14:textId="7F176F39" w:rsidR="00F925BC" w:rsidRPr="00F925BC" w:rsidRDefault="00F925BC" w:rsidP="00F925BC">
      <w:pPr>
        <w:pStyle w:val="ListParagraph"/>
        <w:numPr>
          <w:ilvl w:val="0"/>
          <w:numId w:val="44"/>
        </w:numPr>
        <w:spacing w:line="240" w:lineRule="auto"/>
        <w:rPr>
          <w:rFonts w:eastAsia="Times New Roman" w:cs="Arial"/>
          <w:sz w:val="28"/>
          <w:szCs w:val="28"/>
          <w:lang w:eastAsia="bg-BG"/>
        </w:rPr>
      </w:pPr>
      <w:r w:rsidRPr="00F925BC">
        <w:rPr>
          <w:rFonts w:eastAsia="Times New Roman" w:cs="Arial"/>
          <w:color w:val="000000"/>
          <w:lang w:eastAsia="bg-BG"/>
        </w:rPr>
        <w:t>Лечение на бъбречно заболяване:</w:t>
      </w:r>
    </w:p>
    <w:p w14:paraId="31F8822A" w14:textId="77777777" w:rsidR="00F925BC" w:rsidRPr="00F925BC" w:rsidRDefault="00F925BC" w:rsidP="00F925BC">
      <w:pPr>
        <w:pStyle w:val="ListParagraph"/>
        <w:numPr>
          <w:ilvl w:val="0"/>
          <w:numId w:val="40"/>
        </w:numPr>
        <w:spacing w:line="240" w:lineRule="auto"/>
        <w:rPr>
          <w:rFonts w:eastAsia="Times New Roman" w:cs="Arial"/>
          <w:color w:val="000000"/>
          <w:lang w:eastAsia="bg-BG"/>
        </w:rPr>
      </w:pPr>
      <w:r w:rsidRPr="00F925BC">
        <w:rPr>
          <w:rFonts w:eastAsia="Times New Roman" w:cs="Arial"/>
          <w:color w:val="000000"/>
          <w:lang w:eastAsia="bg-BG"/>
        </w:rPr>
        <w:t>Начална диабетна гломерулна нефропатия, определена от наличие на микроалбуминурия;</w:t>
      </w:r>
    </w:p>
    <w:p w14:paraId="28556462" w14:textId="77777777" w:rsidR="00F925BC" w:rsidRPr="00F925BC" w:rsidRDefault="00F925BC" w:rsidP="00F925BC">
      <w:pPr>
        <w:pStyle w:val="ListParagraph"/>
        <w:numPr>
          <w:ilvl w:val="0"/>
          <w:numId w:val="40"/>
        </w:numPr>
        <w:spacing w:line="240" w:lineRule="auto"/>
        <w:rPr>
          <w:rFonts w:eastAsia="Times New Roman" w:cs="Arial"/>
          <w:color w:val="000000"/>
          <w:lang w:eastAsia="bg-BG"/>
        </w:rPr>
      </w:pPr>
      <w:r w:rsidRPr="00F925BC">
        <w:rPr>
          <w:rFonts w:eastAsia="Times New Roman" w:cs="Arial"/>
          <w:color w:val="000000"/>
          <w:lang w:eastAsia="bg-BG"/>
        </w:rPr>
        <w:lastRenderedPageBreak/>
        <w:t>Проявена диабетна гломерулна нефропатия, определена от макропротеинурия при пациенти с поне един сърдечно-съдов рисков фактор (вж. точка 5.1),</w:t>
      </w:r>
    </w:p>
    <w:p w14:paraId="4887562E" w14:textId="4D469881" w:rsidR="00F925BC" w:rsidRPr="00F925BC" w:rsidRDefault="00F925BC" w:rsidP="00F925BC">
      <w:pPr>
        <w:pStyle w:val="ListParagraph"/>
        <w:numPr>
          <w:ilvl w:val="0"/>
          <w:numId w:val="40"/>
        </w:numPr>
        <w:spacing w:line="240" w:lineRule="auto"/>
        <w:rPr>
          <w:rFonts w:eastAsia="Times New Roman" w:cs="Arial"/>
          <w:color w:val="000000"/>
          <w:lang w:eastAsia="bg-BG"/>
        </w:rPr>
      </w:pPr>
      <w:r w:rsidRPr="00F925BC">
        <w:rPr>
          <w:rFonts w:eastAsia="Times New Roman" w:cs="Arial"/>
          <w:color w:val="000000"/>
          <w:lang w:eastAsia="bg-BG"/>
        </w:rPr>
        <w:t>Проявена недиабетна гломерулна нефропатия, определена от макропротеинурия</w:t>
      </w:r>
      <w:r w:rsidRPr="00F925BC">
        <w:rPr>
          <w:rFonts w:eastAsia="Times New Roman" w:cs="Arial"/>
          <w:color w:val="000000"/>
          <w:lang w:val="en-US"/>
        </w:rPr>
        <w:t xml:space="preserve"> </w:t>
      </w:r>
      <w:r w:rsidRPr="00F925BC">
        <w:rPr>
          <w:rFonts w:eastAsia="Times New Roman" w:cs="Arial"/>
          <w:color w:val="000000"/>
          <w:lang w:eastAsia="bg-BG"/>
        </w:rPr>
        <w:t>≥3</w:t>
      </w:r>
      <w:r w:rsidRPr="00F925BC">
        <w:rPr>
          <w:rFonts w:eastAsia="Times New Roman" w:cs="Arial"/>
          <w:color w:val="000000"/>
          <w:lang w:val="en-US"/>
        </w:rPr>
        <w:t xml:space="preserve">g </w:t>
      </w:r>
      <w:r w:rsidRPr="00F925BC">
        <w:rPr>
          <w:rFonts w:eastAsia="Times New Roman" w:cs="Arial"/>
          <w:color w:val="000000"/>
          <w:lang w:eastAsia="bg-BG"/>
        </w:rPr>
        <w:t>на ден (вж, точка 5.1).</w:t>
      </w:r>
    </w:p>
    <w:p w14:paraId="5CDAAF6E" w14:textId="77777777" w:rsidR="00F925BC" w:rsidRPr="00F925BC" w:rsidRDefault="00F925BC" w:rsidP="00F925BC">
      <w:pPr>
        <w:pStyle w:val="ListParagraph"/>
        <w:numPr>
          <w:ilvl w:val="0"/>
          <w:numId w:val="44"/>
        </w:numPr>
        <w:spacing w:line="240" w:lineRule="auto"/>
        <w:rPr>
          <w:rFonts w:eastAsia="Times New Roman" w:cs="Arial"/>
          <w:color w:val="000000"/>
          <w:lang w:eastAsia="bg-BG"/>
        </w:rPr>
      </w:pPr>
      <w:r w:rsidRPr="00F925BC">
        <w:rPr>
          <w:rFonts w:eastAsia="Times New Roman" w:cs="Arial"/>
          <w:color w:val="000000"/>
          <w:lang w:eastAsia="bg-BG"/>
        </w:rPr>
        <w:t>Лечение на симптоматична сърдечна недостатъчност.</w:t>
      </w:r>
    </w:p>
    <w:p w14:paraId="74946660" w14:textId="4C88FC0E" w:rsidR="00F925BC" w:rsidRDefault="00F925BC" w:rsidP="00F925BC">
      <w:pPr>
        <w:pStyle w:val="ListParagraph"/>
        <w:numPr>
          <w:ilvl w:val="0"/>
          <w:numId w:val="44"/>
        </w:numPr>
        <w:spacing w:line="240" w:lineRule="auto"/>
        <w:rPr>
          <w:rFonts w:ascii="Times New Roman" w:eastAsia="Times New Roman" w:hAnsi="Times New Roman" w:cs="Times New Roman"/>
          <w:color w:val="000000"/>
          <w:sz w:val="20"/>
          <w:szCs w:val="20"/>
          <w:lang w:eastAsia="bg-BG"/>
        </w:rPr>
      </w:pPr>
      <w:r w:rsidRPr="00F925BC">
        <w:rPr>
          <w:rFonts w:eastAsia="Times New Roman" w:cs="Arial"/>
          <w:color w:val="000000"/>
          <w:lang w:eastAsia="bg-BG"/>
        </w:rPr>
        <w:t>Вторична профилактика след остър миокарден инфаркт: намаляване на смъртността в</w:t>
      </w:r>
      <w:r w:rsidRPr="00F925BC">
        <w:rPr>
          <w:rFonts w:eastAsia="Times New Roman" w:cs="Arial"/>
          <w:smallCaps/>
          <w:color w:val="000000"/>
          <w:lang w:eastAsia="bg-BG"/>
        </w:rPr>
        <w:t xml:space="preserve"> </w:t>
      </w:r>
      <w:r w:rsidRPr="00F925BC">
        <w:rPr>
          <w:rFonts w:eastAsia="Times New Roman" w:cs="Arial"/>
          <w:color w:val="000000"/>
          <w:lang w:eastAsia="bg-BG"/>
        </w:rPr>
        <w:t>острата фаза на миокарден инфаркт при пациенти с клинични признаци на сърдечна недостатъчност, с начало повече от 48 часа след остър миокарден инфаркт</w:t>
      </w:r>
    </w:p>
    <w:p w14:paraId="3E3A90E8" w14:textId="77777777" w:rsidR="00F925BC" w:rsidRPr="00F925BC" w:rsidRDefault="00F925BC" w:rsidP="00F925BC">
      <w:pPr>
        <w:spacing w:line="240" w:lineRule="auto"/>
        <w:rPr>
          <w:rFonts w:ascii="Times New Roman" w:eastAsia="Times New Roman" w:hAnsi="Times New Roman" w:cs="Times New Roman"/>
          <w:color w:val="000000"/>
          <w:sz w:val="20"/>
          <w:szCs w:val="20"/>
          <w:lang w:eastAsia="bg-BG"/>
        </w:rPr>
      </w:pPr>
    </w:p>
    <w:p w14:paraId="05D17336" w14:textId="3BFEA38B" w:rsidR="00F53FB7" w:rsidRDefault="002C50EE" w:rsidP="00A93499">
      <w:pPr>
        <w:pStyle w:val="Heading2"/>
      </w:pPr>
      <w:r>
        <w:t>4.2. Дозировка и начин на приложение</w:t>
      </w:r>
    </w:p>
    <w:p w14:paraId="32D4ECE7" w14:textId="2D9138DB" w:rsidR="00F925BC" w:rsidRDefault="00F925BC" w:rsidP="00F925BC"/>
    <w:p w14:paraId="79D4804E" w14:textId="77777777" w:rsidR="00F925BC" w:rsidRPr="00F925BC" w:rsidRDefault="00F925BC" w:rsidP="00F925BC">
      <w:pPr>
        <w:pStyle w:val="Heading3"/>
        <w:rPr>
          <w:rFonts w:eastAsia="Times New Roman"/>
          <w:u w:val="single"/>
          <w:lang w:eastAsia="bg-BG"/>
        </w:rPr>
      </w:pPr>
      <w:r w:rsidRPr="00F925BC">
        <w:rPr>
          <w:rFonts w:eastAsia="Times New Roman"/>
          <w:u w:val="single"/>
          <w:lang w:eastAsia="bg-BG"/>
        </w:rPr>
        <w:t>Дозировка</w:t>
      </w:r>
    </w:p>
    <w:p w14:paraId="5F622486" w14:textId="77777777" w:rsidR="00F925BC" w:rsidRPr="00F925BC" w:rsidRDefault="00F925BC" w:rsidP="00F925BC">
      <w:pPr>
        <w:spacing w:line="240" w:lineRule="auto"/>
        <w:rPr>
          <w:rFonts w:eastAsia="Times New Roman" w:cs="Arial"/>
          <w:color w:val="000000"/>
          <w:lang w:eastAsia="bg-BG"/>
        </w:rPr>
      </w:pPr>
    </w:p>
    <w:p w14:paraId="684B3149" w14:textId="39432152"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Препоръчва се Вивейс да бъде приеман веднъж дневно, по едно и също време всеки ден.</w:t>
      </w:r>
    </w:p>
    <w:p w14:paraId="27AEAE97"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Тъй като приемът на храна не променя бионаличностга му, рамиприл може да бъде приеман преди, по време на или след хранене (вж. точка 5.2).</w:t>
      </w:r>
    </w:p>
    <w:p w14:paraId="736C8E00"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Вивейс трябва да се поглъща с течност. Не трябва да се д ъвче или разтрошава.</w:t>
      </w:r>
    </w:p>
    <w:p w14:paraId="0F638A9A" w14:textId="77777777" w:rsidR="00F925BC" w:rsidRPr="00F925BC" w:rsidRDefault="00F925BC" w:rsidP="00F925BC">
      <w:pPr>
        <w:spacing w:line="240" w:lineRule="auto"/>
        <w:rPr>
          <w:rFonts w:eastAsia="Times New Roman" w:cs="Arial"/>
          <w:i/>
          <w:iCs/>
          <w:color w:val="000000"/>
          <w:lang w:eastAsia="bg-BG"/>
        </w:rPr>
      </w:pPr>
    </w:p>
    <w:p w14:paraId="26908A37" w14:textId="53200B6F"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Възрастни</w:t>
      </w:r>
    </w:p>
    <w:p w14:paraId="4FDD7854" w14:textId="77777777" w:rsidR="00F925BC" w:rsidRPr="00F925BC" w:rsidRDefault="00F925BC" w:rsidP="00F925BC">
      <w:pPr>
        <w:spacing w:line="240" w:lineRule="auto"/>
        <w:rPr>
          <w:rFonts w:eastAsia="Times New Roman" w:cs="Arial"/>
          <w:color w:val="000000"/>
          <w:u w:val="single"/>
          <w:lang w:eastAsia="bg-BG"/>
        </w:rPr>
      </w:pPr>
    </w:p>
    <w:p w14:paraId="12132F55" w14:textId="78C8F149"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Пациенти лекувани с диуретици:</w:t>
      </w:r>
    </w:p>
    <w:p w14:paraId="050B9112"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След започване на терапия с рамиприл, може да настъпи хипотония; това е по-вероятно при пациенти, които са лекувани едновременно с диуретици. Поради това се препоръчва повишено внимание, тъй като тези пациенти могат да бъдат с намален обем течности и/или соли.</w:t>
      </w:r>
    </w:p>
    <w:p w14:paraId="27C91411"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Ако е възможно, диуретикът трябва да бъде спрян 2 до 3 дни преди началото на терапията с рамиприл (вж. точка 4.4).</w:t>
      </w:r>
    </w:p>
    <w:p w14:paraId="68139050"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При пациенти с хипертония, при които диуретикът не е спрян, терапията с рамиприл трябва да бъде започната с доза от 1,25 </w:t>
      </w:r>
      <w:r w:rsidRPr="00F925BC">
        <w:rPr>
          <w:rFonts w:eastAsia="Times New Roman" w:cs="Arial"/>
          <w:color w:val="000000"/>
          <w:lang w:val="en-US"/>
        </w:rPr>
        <w:t xml:space="preserve">mg. </w:t>
      </w:r>
      <w:r w:rsidRPr="00F925BC">
        <w:rPr>
          <w:rFonts w:eastAsia="Times New Roman" w:cs="Arial"/>
          <w:color w:val="000000"/>
          <w:lang w:eastAsia="bg-BG"/>
        </w:rPr>
        <w:t>Трябва да бъдат проследявани бъбречната функция и плазменият калий. Последващата дозировка на рамиприл трябва да бъде определяна според желаното артериално налягане.</w:t>
      </w:r>
    </w:p>
    <w:p w14:paraId="76C9EFDE" w14:textId="77777777" w:rsidR="00F925BC" w:rsidRPr="00F925BC" w:rsidRDefault="00F925BC" w:rsidP="00F925BC">
      <w:pPr>
        <w:spacing w:line="240" w:lineRule="auto"/>
        <w:rPr>
          <w:rFonts w:eastAsia="Times New Roman" w:cs="Arial"/>
          <w:b/>
          <w:bCs/>
          <w:i/>
          <w:iCs/>
          <w:color w:val="000000"/>
          <w:lang w:eastAsia="bg-BG"/>
        </w:rPr>
      </w:pPr>
    </w:p>
    <w:p w14:paraId="5194397C" w14:textId="7E5DFD43"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Хипертония</w:t>
      </w:r>
    </w:p>
    <w:p w14:paraId="2DA1B137" w14:textId="77777777" w:rsidR="00F925BC" w:rsidRPr="00F925BC" w:rsidRDefault="00F925BC" w:rsidP="00F925BC">
      <w:pPr>
        <w:spacing w:line="240" w:lineRule="auto"/>
        <w:rPr>
          <w:rFonts w:eastAsia="Times New Roman" w:cs="Arial"/>
          <w:color w:val="000000"/>
          <w:lang w:eastAsia="bg-BG"/>
        </w:rPr>
      </w:pPr>
    </w:p>
    <w:p w14:paraId="3E6E1D84" w14:textId="4B26E165" w:rsidR="00F925BC" w:rsidRPr="00F925BC" w:rsidRDefault="00F925BC" w:rsidP="00F925BC">
      <w:pPr>
        <w:spacing w:line="240" w:lineRule="auto"/>
        <w:rPr>
          <w:rFonts w:eastAsia="Times New Roman" w:cs="Arial"/>
          <w:color w:val="000000"/>
          <w:lang w:eastAsia="bg-BG"/>
        </w:rPr>
      </w:pPr>
      <w:r w:rsidRPr="00F925BC">
        <w:rPr>
          <w:rFonts w:eastAsia="Times New Roman" w:cs="Arial"/>
          <w:color w:val="000000"/>
          <w:lang w:eastAsia="bg-BG"/>
        </w:rPr>
        <w:t>Дозата трябва да бъде определена индивидуално, според профила на пациента (вижте точка 4.4) и контрола на артериалното налягане.</w:t>
      </w:r>
    </w:p>
    <w:p w14:paraId="53B8B6CA" w14:textId="77777777" w:rsidR="00F925BC" w:rsidRPr="00F925BC" w:rsidRDefault="00F925BC" w:rsidP="00F925BC">
      <w:pPr>
        <w:spacing w:line="240" w:lineRule="auto"/>
        <w:rPr>
          <w:rFonts w:eastAsia="Times New Roman" w:cs="Arial"/>
          <w:color w:val="000000"/>
          <w:lang w:eastAsia="bg-BG"/>
        </w:rPr>
      </w:pPr>
    </w:p>
    <w:p w14:paraId="216F3822" w14:textId="2F18566F"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Рамиприл може да бъде използван като монотерапия или в комбинация с други класове антихипертензивни лекарствени продукти (вж. точки 4.3, 4.4, 4.5 и 5.1).</w:t>
      </w:r>
    </w:p>
    <w:p w14:paraId="48451CC5" w14:textId="77777777" w:rsidR="00F925BC" w:rsidRPr="00F925BC" w:rsidRDefault="00F925BC" w:rsidP="00F925BC">
      <w:pPr>
        <w:spacing w:line="240" w:lineRule="auto"/>
        <w:rPr>
          <w:rFonts w:eastAsia="Times New Roman" w:cs="Arial"/>
          <w:color w:val="000000"/>
          <w:u w:val="single"/>
          <w:lang w:eastAsia="bg-BG"/>
        </w:rPr>
      </w:pPr>
    </w:p>
    <w:p w14:paraId="42C92866" w14:textId="704954BF"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Начална доза</w:t>
      </w:r>
    </w:p>
    <w:p w14:paraId="3A1FA5CD"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Лечението с рамиприл трябва да бъде започва постепенно с препоръчителна първоначална доза от 2,5 </w:t>
      </w:r>
      <w:r w:rsidRPr="00F925BC">
        <w:rPr>
          <w:rFonts w:eastAsia="Times New Roman" w:cs="Arial"/>
          <w:color w:val="000000"/>
          <w:lang w:val="en-US"/>
        </w:rPr>
        <w:t xml:space="preserve">mg </w:t>
      </w:r>
      <w:r w:rsidRPr="00F925BC">
        <w:rPr>
          <w:rFonts w:eastAsia="Times New Roman" w:cs="Arial"/>
          <w:color w:val="000000"/>
          <w:lang w:eastAsia="bg-BG"/>
        </w:rPr>
        <w:t>дневно.</w:t>
      </w:r>
    </w:p>
    <w:p w14:paraId="6B286DA8"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При пациенти с повишена активност на ренин-ангиотензин-алдостероновата система може да настъпи значително понижение на артериалното налягане, след приема на първата доза. При такива пациента се препоръчва начална доза от 1,25 </w:t>
      </w:r>
      <w:r w:rsidRPr="00F925BC">
        <w:rPr>
          <w:rFonts w:eastAsia="Times New Roman" w:cs="Arial"/>
          <w:color w:val="000000"/>
          <w:lang w:val="en-US"/>
        </w:rPr>
        <w:t xml:space="preserve">mg </w:t>
      </w:r>
      <w:r w:rsidRPr="00F925BC">
        <w:rPr>
          <w:rFonts w:eastAsia="Times New Roman" w:cs="Arial"/>
          <w:color w:val="000000"/>
          <w:lang w:eastAsia="bg-BG"/>
        </w:rPr>
        <w:t>и началото на лечението трябва да бъде извършено под медицински контрол (вж. точка 4.4).</w:t>
      </w:r>
    </w:p>
    <w:p w14:paraId="6D055561" w14:textId="77777777" w:rsidR="00F925BC" w:rsidRPr="00F925BC" w:rsidRDefault="00F925BC" w:rsidP="00F925BC">
      <w:pPr>
        <w:spacing w:line="240" w:lineRule="auto"/>
        <w:rPr>
          <w:rFonts w:eastAsia="Times New Roman" w:cs="Arial"/>
          <w:color w:val="000000"/>
          <w:u w:val="single"/>
          <w:lang w:eastAsia="bg-BG"/>
        </w:rPr>
      </w:pPr>
    </w:p>
    <w:p w14:paraId="0903AB1D" w14:textId="1E6D954C"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lastRenderedPageBreak/>
        <w:t>Титриране и поддържаща доза</w:t>
      </w:r>
    </w:p>
    <w:p w14:paraId="6CC82C5B"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Постепенно дозата може да бъде удвоена през интервал от две до четири седмици за постигане на желаното артериално налягане; максимално допустимата доза на рамиприл е</w:t>
      </w:r>
    </w:p>
    <w:p w14:paraId="565AA16F"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10 </w:t>
      </w:r>
      <w:r w:rsidRPr="00F925BC">
        <w:rPr>
          <w:rFonts w:eastAsia="Times New Roman" w:cs="Arial"/>
          <w:color w:val="000000"/>
          <w:lang w:val="en-US"/>
        </w:rPr>
        <w:t xml:space="preserve">mg </w:t>
      </w:r>
      <w:r w:rsidRPr="00F925BC">
        <w:rPr>
          <w:rFonts w:eastAsia="Times New Roman" w:cs="Arial"/>
          <w:color w:val="000000"/>
          <w:lang w:eastAsia="bg-BG"/>
        </w:rPr>
        <w:t>дневно. Обикновено дозата се прилага веднъж дневно.</w:t>
      </w:r>
    </w:p>
    <w:p w14:paraId="7D4B8F78" w14:textId="77777777" w:rsidR="00F925BC" w:rsidRPr="00F925BC" w:rsidRDefault="00F925BC" w:rsidP="00F925BC">
      <w:pPr>
        <w:spacing w:line="240" w:lineRule="auto"/>
        <w:rPr>
          <w:rFonts w:eastAsia="Times New Roman" w:cs="Arial"/>
          <w:b/>
          <w:bCs/>
          <w:i/>
          <w:iCs/>
          <w:color w:val="000000"/>
          <w:lang w:eastAsia="bg-BG"/>
        </w:rPr>
      </w:pPr>
    </w:p>
    <w:p w14:paraId="6DEFFB42" w14:textId="00A9631A"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Сърдечно-съдова превенция</w:t>
      </w:r>
    </w:p>
    <w:p w14:paraId="66D7595D" w14:textId="77777777" w:rsidR="00F925BC" w:rsidRPr="00F925BC" w:rsidRDefault="00F925BC" w:rsidP="00F925BC">
      <w:pPr>
        <w:spacing w:line="240" w:lineRule="auto"/>
        <w:rPr>
          <w:rFonts w:eastAsia="Times New Roman" w:cs="Arial"/>
          <w:color w:val="000000"/>
          <w:u w:val="single"/>
          <w:lang w:eastAsia="bg-BG"/>
        </w:rPr>
      </w:pPr>
    </w:p>
    <w:p w14:paraId="2A870E4F" w14:textId="56CBE32F"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Начална доза</w:t>
      </w:r>
    </w:p>
    <w:p w14:paraId="1A3CC5F1"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Препоръчителната първоначална доза е 2,5 </w:t>
      </w:r>
      <w:r w:rsidRPr="00F925BC">
        <w:rPr>
          <w:rFonts w:eastAsia="Times New Roman" w:cs="Arial"/>
          <w:color w:val="000000"/>
          <w:lang w:val="en-US"/>
        </w:rPr>
        <w:t xml:space="preserve">mg </w:t>
      </w:r>
      <w:r w:rsidRPr="00F925BC">
        <w:rPr>
          <w:rFonts w:eastAsia="Times New Roman" w:cs="Arial"/>
          <w:color w:val="000000"/>
          <w:lang w:eastAsia="bg-BG"/>
        </w:rPr>
        <w:t>рамиприл еднократно дневно.</w:t>
      </w:r>
    </w:p>
    <w:p w14:paraId="14036952" w14:textId="77777777" w:rsidR="00F925BC" w:rsidRPr="00F925BC" w:rsidRDefault="00F925BC" w:rsidP="00F925BC">
      <w:pPr>
        <w:spacing w:line="240" w:lineRule="auto"/>
        <w:rPr>
          <w:rFonts w:eastAsia="Times New Roman" w:cs="Arial"/>
          <w:color w:val="000000"/>
          <w:u w:val="single"/>
          <w:lang w:eastAsia="bg-BG"/>
        </w:rPr>
      </w:pPr>
    </w:p>
    <w:p w14:paraId="28826ED7" w14:textId="6E8C3613"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Титриране и поддържаща доза</w:t>
      </w:r>
    </w:p>
    <w:p w14:paraId="2EE3021A"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В зависимост от поносимостта на пациента към активното вещество дозата трябва да се повишава постепенно. Препоръчва се дозата да се удвои една или две седмици след началото на лечението и след още две до три седмици да се повиши до таргетната поддържаща доза от 10 </w:t>
      </w:r>
      <w:r w:rsidRPr="00F925BC">
        <w:rPr>
          <w:rFonts w:eastAsia="Times New Roman" w:cs="Arial"/>
          <w:color w:val="000000"/>
          <w:lang w:val="en-US"/>
        </w:rPr>
        <w:t xml:space="preserve">mg </w:t>
      </w:r>
      <w:r w:rsidRPr="00F925BC">
        <w:rPr>
          <w:rFonts w:eastAsia="Times New Roman" w:cs="Arial"/>
          <w:color w:val="000000"/>
          <w:lang w:eastAsia="bg-BG"/>
        </w:rPr>
        <w:t>рамиприл еднократно дневно.</w:t>
      </w:r>
    </w:p>
    <w:p w14:paraId="3D07C410" w14:textId="77777777" w:rsidR="00F925BC" w:rsidRPr="00F925BC" w:rsidRDefault="00F925BC" w:rsidP="00F925BC">
      <w:pPr>
        <w:spacing w:line="240" w:lineRule="auto"/>
        <w:rPr>
          <w:rFonts w:eastAsia="Times New Roman" w:cs="Arial"/>
          <w:color w:val="000000"/>
          <w:lang w:eastAsia="bg-BG"/>
        </w:rPr>
      </w:pPr>
    </w:p>
    <w:p w14:paraId="55D46AAC" w14:textId="61EC3059"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Вижте също по-горе дозировка при пациенти, лекувани с диуретици.</w:t>
      </w:r>
    </w:p>
    <w:p w14:paraId="373EE25B" w14:textId="6DF96BB5" w:rsidR="00F925BC" w:rsidRPr="00F925BC" w:rsidRDefault="00F925BC" w:rsidP="00F925BC">
      <w:pPr>
        <w:rPr>
          <w:rFonts w:cs="Arial"/>
        </w:rPr>
      </w:pPr>
    </w:p>
    <w:p w14:paraId="4D204F59" w14:textId="77777777"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Лечение на бъбречно заболяване</w:t>
      </w:r>
    </w:p>
    <w:p w14:paraId="3C0F00CC" w14:textId="77777777" w:rsidR="00F925BC" w:rsidRPr="00F925BC" w:rsidRDefault="00F925BC" w:rsidP="00F925BC">
      <w:pPr>
        <w:spacing w:line="240" w:lineRule="auto"/>
        <w:rPr>
          <w:rFonts w:eastAsia="Times New Roman" w:cs="Arial"/>
          <w:i/>
          <w:iCs/>
          <w:color w:val="000000"/>
          <w:u w:val="single"/>
          <w:lang w:eastAsia="bg-BG"/>
        </w:rPr>
      </w:pPr>
    </w:p>
    <w:p w14:paraId="6B90F839" w14:textId="7D658E3F" w:rsidR="00F925BC" w:rsidRPr="00F925BC" w:rsidRDefault="00F925BC" w:rsidP="00F925BC">
      <w:pPr>
        <w:spacing w:line="240" w:lineRule="auto"/>
        <w:rPr>
          <w:rFonts w:eastAsia="Times New Roman" w:cs="Arial"/>
          <w:lang w:eastAsia="bg-BG"/>
        </w:rPr>
      </w:pPr>
      <w:r w:rsidRPr="00F925BC">
        <w:rPr>
          <w:rFonts w:eastAsia="Times New Roman" w:cs="Arial"/>
          <w:i/>
          <w:iCs/>
          <w:color w:val="000000"/>
          <w:u w:val="single"/>
          <w:lang w:eastAsia="bg-BG"/>
        </w:rPr>
        <w:t>При пациенти с диабет и микроалбуминурия:</w:t>
      </w:r>
    </w:p>
    <w:p w14:paraId="23EE39FD" w14:textId="77777777" w:rsidR="00F925BC" w:rsidRPr="00F925BC" w:rsidRDefault="00F925BC" w:rsidP="00F925BC">
      <w:pPr>
        <w:spacing w:line="240" w:lineRule="auto"/>
        <w:rPr>
          <w:rFonts w:eastAsia="Times New Roman" w:cs="Arial"/>
          <w:color w:val="000000"/>
          <w:u w:val="single"/>
          <w:lang w:eastAsia="bg-BG"/>
        </w:rPr>
      </w:pPr>
    </w:p>
    <w:p w14:paraId="338F9C51" w14:textId="269E59F8"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Начална доза:</w:t>
      </w:r>
    </w:p>
    <w:p w14:paraId="276CA1C6"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Препоръчителната начална доза е 1,25 </w:t>
      </w:r>
      <w:r w:rsidRPr="00F925BC">
        <w:rPr>
          <w:rFonts w:eastAsia="Times New Roman" w:cs="Arial"/>
          <w:color w:val="000000"/>
          <w:lang w:val="en-US"/>
        </w:rPr>
        <w:t xml:space="preserve">mg </w:t>
      </w:r>
      <w:r w:rsidRPr="00F925BC">
        <w:rPr>
          <w:rFonts w:eastAsia="Times New Roman" w:cs="Arial"/>
          <w:color w:val="000000"/>
          <w:lang w:eastAsia="bg-BG"/>
        </w:rPr>
        <w:t>рамиприл веднъж дневно</w:t>
      </w:r>
    </w:p>
    <w:p w14:paraId="2158FEAF" w14:textId="77777777" w:rsidR="00F925BC" w:rsidRPr="00F925BC" w:rsidRDefault="00F925BC" w:rsidP="00F925BC">
      <w:pPr>
        <w:spacing w:line="240" w:lineRule="auto"/>
        <w:rPr>
          <w:rFonts w:eastAsia="Times New Roman" w:cs="Arial"/>
          <w:color w:val="000000"/>
          <w:u w:val="single"/>
          <w:lang w:eastAsia="bg-BG"/>
        </w:rPr>
      </w:pPr>
    </w:p>
    <w:p w14:paraId="0D86F450" w14:textId="05336FE9"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Титриране и поддържаща доза</w:t>
      </w:r>
    </w:p>
    <w:p w14:paraId="0D574A34"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В зависимост от поносимостта на пациента към активното вещество, дозата впоследствие се повишава. Препоръчва се удвояване на еднократната дневна доза до 2,5 </w:t>
      </w:r>
      <w:r w:rsidRPr="00F925BC">
        <w:rPr>
          <w:rFonts w:eastAsia="Times New Roman" w:cs="Arial"/>
          <w:color w:val="000000"/>
          <w:lang w:val="en-US"/>
        </w:rPr>
        <w:t xml:space="preserve">mg </w:t>
      </w:r>
      <w:r w:rsidRPr="00F925BC">
        <w:rPr>
          <w:rFonts w:eastAsia="Times New Roman" w:cs="Arial"/>
          <w:color w:val="000000"/>
          <w:lang w:eastAsia="bg-BG"/>
        </w:rPr>
        <w:t xml:space="preserve">след две седмици и до 5 </w:t>
      </w:r>
      <w:r w:rsidRPr="00F925BC">
        <w:rPr>
          <w:rFonts w:eastAsia="Times New Roman" w:cs="Arial"/>
          <w:color w:val="000000"/>
          <w:lang w:val="en-US"/>
        </w:rPr>
        <w:t xml:space="preserve">mg </w:t>
      </w:r>
      <w:r w:rsidRPr="00F925BC">
        <w:rPr>
          <w:rFonts w:eastAsia="Times New Roman" w:cs="Arial"/>
          <w:color w:val="000000"/>
          <w:lang w:eastAsia="bg-BG"/>
        </w:rPr>
        <w:t>след още две седмици.</w:t>
      </w:r>
    </w:p>
    <w:p w14:paraId="27979F6D" w14:textId="77777777" w:rsidR="00F925BC" w:rsidRPr="00F925BC" w:rsidRDefault="00F925BC" w:rsidP="00F925BC">
      <w:pPr>
        <w:spacing w:line="240" w:lineRule="auto"/>
        <w:rPr>
          <w:rFonts w:eastAsia="Times New Roman" w:cs="Arial"/>
          <w:i/>
          <w:iCs/>
          <w:color w:val="000000"/>
          <w:u w:val="single"/>
          <w:lang w:eastAsia="bg-BG"/>
        </w:rPr>
      </w:pPr>
    </w:p>
    <w:p w14:paraId="68C655A6" w14:textId="6E2F4C86" w:rsidR="00F925BC" w:rsidRPr="00F925BC" w:rsidRDefault="00F925BC" w:rsidP="00F925BC">
      <w:pPr>
        <w:spacing w:line="240" w:lineRule="auto"/>
        <w:rPr>
          <w:rFonts w:eastAsia="Times New Roman" w:cs="Arial"/>
          <w:lang w:eastAsia="bg-BG"/>
        </w:rPr>
      </w:pPr>
      <w:r w:rsidRPr="00F925BC">
        <w:rPr>
          <w:rFonts w:eastAsia="Times New Roman" w:cs="Arial"/>
          <w:i/>
          <w:iCs/>
          <w:color w:val="000000"/>
          <w:u w:val="single"/>
          <w:lang w:eastAsia="bg-BG"/>
        </w:rPr>
        <w:t>При пациенти с диабет и поне един сърдечно-съдов рисков фактор</w:t>
      </w:r>
    </w:p>
    <w:p w14:paraId="6E12A789" w14:textId="77777777" w:rsidR="00F925BC" w:rsidRPr="00F925BC" w:rsidRDefault="00F925BC" w:rsidP="00F925BC">
      <w:pPr>
        <w:spacing w:line="240" w:lineRule="auto"/>
        <w:rPr>
          <w:rFonts w:eastAsia="Times New Roman" w:cs="Arial"/>
          <w:color w:val="000000"/>
          <w:u w:val="single"/>
          <w:lang w:eastAsia="bg-BG"/>
        </w:rPr>
      </w:pPr>
    </w:p>
    <w:p w14:paraId="1BD0BA51" w14:textId="7ECBDE0D"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Начална доза:</w:t>
      </w:r>
    </w:p>
    <w:p w14:paraId="31887651"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Препоръчителната начална доза е 2,5 </w:t>
      </w:r>
      <w:r w:rsidRPr="00F925BC">
        <w:rPr>
          <w:rFonts w:eastAsia="Times New Roman" w:cs="Arial"/>
          <w:color w:val="000000"/>
          <w:lang w:val="en-US"/>
        </w:rPr>
        <w:t xml:space="preserve">mg </w:t>
      </w:r>
      <w:r w:rsidRPr="00F925BC">
        <w:rPr>
          <w:rFonts w:eastAsia="Times New Roman" w:cs="Arial"/>
          <w:color w:val="000000"/>
          <w:lang w:eastAsia="bg-BG"/>
        </w:rPr>
        <w:t>рамиприл веднъж дневно.</w:t>
      </w:r>
    </w:p>
    <w:p w14:paraId="36D10074" w14:textId="77777777" w:rsidR="00F925BC" w:rsidRPr="00F925BC" w:rsidRDefault="00F925BC" w:rsidP="00F925BC">
      <w:pPr>
        <w:spacing w:line="240" w:lineRule="auto"/>
        <w:rPr>
          <w:rFonts w:eastAsia="Times New Roman" w:cs="Arial"/>
          <w:color w:val="000000"/>
          <w:u w:val="single"/>
          <w:lang w:eastAsia="bg-BG"/>
        </w:rPr>
      </w:pPr>
    </w:p>
    <w:p w14:paraId="5B2FC070" w14:textId="5CB214B3"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Титриране и поддържаща доза</w:t>
      </w:r>
    </w:p>
    <w:p w14:paraId="51F67FAC"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5 </w:t>
      </w:r>
      <w:r w:rsidRPr="00F925BC">
        <w:rPr>
          <w:rFonts w:eastAsia="Times New Roman" w:cs="Arial"/>
          <w:color w:val="000000"/>
          <w:lang w:val="en-US"/>
        </w:rPr>
        <w:t xml:space="preserve">mg </w:t>
      </w:r>
      <w:r w:rsidRPr="00F925BC">
        <w:rPr>
          <w:rFonts w:eastAsia="Times New Roman" w:cs="Arial"/>
          <w:color w:val="000000"/>
          <w:lang w:eastAsia="bg-BG"/>
        </w:rPr>
        <w:t xml:space="preserve">рамиприл след една или две седмици и след това до 10 </w:t>
      </w:r>
      <w:r w:rsidRPr="00F925BC">
        <w:rPr>
          <w:rFonts w:eastAsia="Times New Roman" w:cs="Arial"/>
          <w:color w:val="000000"/>
          <w:lang w:val="en-US"/>
        </w:rPr>
        <w:t xml:space="preserve">mg </w:t>
      </w:r>
      <w:r w:rsidRPr="00F925BC">
        <w:rPr>
          <w:rFonts w:eastAsia="Times New Roman" w:cs="Arial"/>
          <w:color w:val="000000"/>
          <w:lang w:eastAsia="bg-BG"/>
        </w:rPr>
        <w:t xml:space="preserve">рамиприл след още две или три седмици. Таргетната дневна доза е 10 </w:t>
      </w:r>
      <w:r w:rsidRPr="00F925BC">
        <w:rPr>
          <w:rFonts w:eastAsia="Times New Roman" w:cs="Arial"/>
          <w:color w:val="000000"/>
          <w:lang w:val="en-US"/>
        </w:rPr>
        <w:t>mg.</w:t>
      </w:r>
    </w:p>
    <w:p w14:paraId="468D9A70" w14:textId="77777777" w:rsidR="00F925BC" w:rsidRPr="00F925BC" w:rsidRDefault="00F925BC" w:rsidP="00F925BC">
      <w:pPr>
        <w:spacing w:line="240" w:lineRule="auto"/>
        <w:rPr>
          <w:rFonts w:eastAsia="Times New Roman" w:cs="Arial"/>
          <w:i/>
          <w:iCs/>
          <w:color w:val="000000"/>
          <w:u w:val="single"/>
          <w:lang w:eastAsia="bg-BG"/>
        </w:rPr>
      </w:pPr>
    </w:p>
    <w:p w14:paraId="788CD467" w14:textId="0B0B2B6D" w:rsidR="00F925BC" w:rsidRPr="00F925BC" w:rsidRDefault="00F925BC" w:rsidP="00F925BC">
      <w:pPr>
        <w:spacing w:line="240" w:lineRule="auto"/>
        <w:rPr>
          <w:rFonts w:eastAsia="Times New Roman" w:cs="Arial"/>
          <w:lang w:eastAsia="bg-BG"/>
        </w:rPr>
      </w:pPr>
      <w:r w:rsidRPr="00F925BC">
        <w:rPr>
          <w:rFonts w:eastAsia="Times New Roman" w:cs="Arial"/>
          <w:i/>
          <w:iCs/>
          <w:color w:val="000000"/>
          <w:u w:val="single"/>
          <w:lang w:eastAsia="bg-BG"/>
        </w:rPr>
        <w:t xml:space="preserve">При пациенти с недиабетна нефропатия, определена от макропротеинурия ≥3 </w:t>
      </w:r>
      <w:r w:rsidRPr="00F925BC">
        <w:rPr>
          <w:rFonts w:eastAsia="Times New Roman" w:cs="Arial"/>
          <w:i/>
          <w:iCs/>
          <w:color w:val="000000"/>
          <w:u w:val="single"/>
          <w:lang w:val="en-US"/>
        </w:rPr>
        <w:t>s</w:t>
      </w:r>
      <w:r w:rsidRPr="00F925BC">
        <w:rPr>
          <w:rFonts w:eastAsia="Times New Roman" w:cs="Arial"/>
          <w:i/>
          <w:iCs/>
          <w:color w:val="000000"/>
          <w:u w:val="single"/>
          <w:lang w:eastAsia="bg-BG"/>
        </w:rPr>
        <w:t>/дневно</w:t>
      </w:r>
    </w:p>
    <w:p w14:paraId="2F4142B1" w14:textId="77777777" w:rsidR="00F925BC" w:rsidRPr="00F925BC" w:rsidRDefault="00F925BC" w:rsidP="00F925BC">
      <w:pPr>
        <w:spacing w:line="240" w:lineRule="auto"/>
        <w:rPr>
          <w:rFonts w:eastAsia="Times New Roman" w:cs="Arial"/>
          <w:color w:val="000000"/>
          <w:u w:val="single"/>
          <w:lang w:eastAsia="bg-BG"/>
        </w:rPr>
      </w:pPr>
    </w:p>
    <w:p w14:paraId="4DBD7B56" w14:textId="416A8A1D"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Начална доза:</w:t>
      </w:r>
    </w:p>
    <w:p w14:paraId="79317F42"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Препоръчителната начална доза е 1,25 </w:t>
      </w:r>
      <w:r w:rsidRPr="00F925BC">
        <w:rPr>
          <w:rFonts w:eastAsia="Times New Roman" w:cs="Arial"/>
          <w:color w:val="000000"/>
          <w:lang w:val="en-US"/>
        </w:rPr>
        <w:t xml:space="preserve">mg </w:t>
      </w:r>
      <w:r w:rsidRPr="00F925BC">
        <w:rPr>
          <w:rFonts w:eastAsia="Times New Roman" w:cs="Arial"/>
          <w:color w:val="000000"/>
          <w:lang w:eastAsia="bg-BG"/>
        </w:rPr>
        <w:t>рамиприл веднъж дневно.</w:t>
      </w:r>
    </w:p>
    <w:p w14:paraId="56210E0D" w14:textId="77777777" w:rsidR="00F925BC" w:rsidRPr="00F925BC" w:rsidRDefault="00F925BC" w:rsidP="00F925BC">
      <w:pPr>
        <w:spacing w:line="240" w:lineRule="auto"/>
        <w:rPr>
          <w:rFonts w:eastAsia="Times New Roman" w:cs="Arial"/>
          <w:color w:val="000000"/>
          <w:u w:val="single"/>
          <w:lang w:eastAsia="bg-BG"/>
        </w:rPr>
      </w:pPr>
    </w:p>
    <w:p w14:paraId="7AEC1231" w14:textId="75A85711"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Титриране и поддържаща доза</w:t>
      </w:r>
    </w:p>
    <w:p w14:paraId="4D82CE85"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lastRenderedPageBreak/>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2,5 </w:t>
      </w:r>
      <w:r w:rsidRPr="00F925BC">
        <w:rPr>
          <w:rFonts w:eastAsia="Times New Roman" w:cs="Arial"/>
          <w:color w:val="000000"/>
          <w:lang w:val="en-US"/>
        </w:rPr>
        <w:t xml:space="preserve">mg </w:t>
      </w:r>
      <w:r w:rsidRPr="00F925BC">
        <w:rPr>
          <w:rFonts w:eastAsia="Times New Roman" w:cs="Arial"/>
          <w:color w:val="000000"/>
          <w:lang w:eastAsia="bg-BG"/>
        </w:rPr>
        <w:t xml:space="preserve">след две седмици и до </w:t>
      </w:r>
      <w:r w:rsidRPr="00F925BC">
        <w:rPr>
          <w:rFonts w:eastAsia="Times New Roman" w:cs="Arial"/>
          <w:i/>
          <w:iCs/>
          <w:color w:val="000000"/>
          <w:lang w:eastAsia="bg-BG"/>
        </w:rPr>
        <w:t>5</w:t>
      </w:r>
      <w:r w:rsidRPr="00F925BC">
        <w:rPr>
          <w:rFonts w:eastAsia="Times New Roman" w:cs="Arial"/>
          <w:color w:val="000000"/>
          <w:lang w:eastAsia="bg-BG"/>
        </w:rPr>
        <w:t xml:space="preserve"> </w:t>
      </w:r>
      <w:r w:rsidRPr="00F925BC">
        <w:rPr>
          <w:rFonts w:eastAsia="Times New Roman" w:cs="Arial"/>
          <w:color w:val="000000"/>
          <w:lang w:val="en-US"/>
        </w:rPr>
        <w:t xml:space="preserve">mg </w:t>
      </w:r>
      <w:r w:rsidRPr="00F925BC">
        <w:rPr>
          <w:rFonts w:eastAsia="Times New Roman" w:cs="Arial"/>
          <w:color w:val="000000"/>
          <w:lang w:eastAsia="bg-BG"/>
        </w:rPr>
        <w:t>след още две седмици.</w:t>
      </w:r>
    </w:p>
    <w:p w14:paraId="1D5925DD" w14:textId="77777777" w:rsidR="00F925BC" w:rsidRPr="00F925BC" w:rsidRDefault="00F925BC" w:rsidP="00F925BC">
      <w:pPr>
        <w:spacing w:line="240" w:lineRule="auto"/>
        <w:rPr>
          <w:rFonts w:eastAsia="Times New Roman" w:cs="Arial"/>
          <w:b/>
          <w:bCs/>
          <w:i/>
          <w:iCs/>
          <w:color w:val="000000"/>
          <w:lang w:eastAsia="bg-BG"/>
        </w:rPr>
      </w:pPr>
    </w:p>
    <w:p w14:paraId="2E39B3BC" w14:textId="4D24F1B2"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Симптоматична сърдечна недостатъчност</w:t>
      </w:r>
    </w:p>
    <w:p w14:paraId="3FCD715F" w14:textId="77777777" w:rsidR="00F925BC" w:rsidRPr="00F925BC" w:rsidRDefault="00F925BC" w:rsidP="00F925BC">
      <w:pPr>
        <w:spacing w:line="240" w:lineRule="auto"/>
        <w:rPr>
          <w:rFonts w:eastAsia="Times New Roman" w:cs="Arial"/>
          <w:color w:val="000000"/>
          <w:u w:val="single"/>
          <w:lang w:eastAsia="bg-BG"/>
        </w:rPr>
      </w:pPr>
    </w:p>
    <w:p w14:paraId="76B110F4" w14:textId="000E4DDB"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Начална доза:</w:t>
      </w:r>
    </w:p>
    <w:p w14:paraId="01E462CC"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При стабилизирани пациенти на диуретична терапия, препоръчителната начална доза е 1,25 </w:t>
      </w:r>
      <w:r w:rsidRPr="00F925BC">
        <w:rPr>
          <w:rFonts w:eastAsia="Times New Roman" w:cs="Arial"/>
          <w:color w:val="000000"/>
          <w:lang w:val="en-US"/>
        </w:rPr>
        <w:t xml:space="preserve">mg </w:t>
      </w:r>
      <w:r w:rsidRPr="00F925BC">
        <w:rPr>
          <w:rFonts w:eastAsia="Times New Roman" w:cs="Arial"/>
          <w:color w:val="000000"/>
          <w:lang w:eastAsia="bg-BG"/>
        </w:rPr>
        <w:t>дневно.</w:t>
      </w:r>
    </w:p>
    <w:p w14:paraId="0D744D0F" w14:textId="77777777" w:rsidR="00F925BC" w:rsidRPr="00F925BC" w:rsidRDefault="00F925BC" w:rsidP="00F925BC">
      <w:pPr>
        <w:spacing w:line="240" w:lineRule="auto"/>
        <w:rPr>
          <w:rFonts w:eastAsia="Times New Roman" w:cs="Arial"/>
          <w:color w:val="000000"/>
          <w:u w:val="single"/>
          <w:lang w:eastAsia="bg-BG"/>
        </w:rPr>
      </w:pPr>
    </w:p>
    <w:p w14:paraId="31AECCDB" w14:textId="478326CC"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Титриране и поддържаща доза</w:t>
      </w:r>
    </w:p>
    <w:p w14:paraId="19F5AF80"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Рамиприл трябва да бъде титриран чрез удвояване на дозата на всеки една до две седмици до максимална дневна доза 10 </w:t>
      </w:r>
      <w:r w:rsidRPr="00F925BC">
        <w:rPr>
          <w:rFonts w:eastAsia="Times New Roman" w:cs="Arial"/>
          <w:color w:val="000000"/>
          <w:lang w:val="en-US"/>
        </w:rPr>
        <w:t xml:space="preserve">mg. </w:t>
      </w:r>
      <w:r w:rsidRPr="00F925BC">
        <w:rPr>
          <w:rFonts w:eastAsia="Times New Roman" w:cs="Arial"/>
          <w:color w:val="000000"/>
          <w:lang w:eastAsia="bg-BG"/>
        </w:rPr>
        <w:t>Предпочита се двукратен дневен прием.</w:t>
      </w:r>
    </w:p>
    <w:p w14:paraId="799EEA2D" w14:textId="77777777" w:rsidR="00F925BC" w:rsidRPr="00F925BC" w:rsidRDefault="00F925BC" w:rsidP="00F925BC">
      <w:pPr>
        <w:spacing w:line="240" w:lineRule="auto"/>
        <w:rPr>
          <w:rFonts w:eastAsia="Times New Roman" w:cs="Arial"/>
          <w:b/>
          <w:bCs/>
          <w:i/>
          <w:iCs/>
          <w:color w:val="000000"/>
          <w:lang w:eastAsia="bg-BG"/>
        </w:rPr>
      </w:pPr>
    </w:p>
    <w:p w14:paraId="015A85FD" w14:textId="5705190D"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Вторична профилактика след остър миокарден инфаркт и със сърдечна недостатъчност</w:t>
      </w:r>
    </w:p>
    <w:p w14:paraId="084EEDCA" w14:textId="77777777" w:rsidR="00F925BC" w:rsidRPr="00F925BC" w:rsidRDefault="00F925BC" w:rsidP="00F925BC">
      <w:pPr>
        <w:spacing w:line="240" w:lineRule="auto"/>
        <w:rPr>
          <w:rFonts w:eastAsia="Times New Roman" w:cs="Arial"/>
          <w:color w:val="000000"/>
          <w:u w:val="single"/>
          <w:lang w:eastAsia="bg-BG"/>
        </w:rPr>
      </w:pPr>
    </w:p>
    <w:p w14:paraId="08D2EF24" w14:textId="41BCEFF9"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Начална доза:</w:t>
      </w:r>
    </w:p>
    <w:p w14:paraId="1F2CDC59"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48 часа след остър миокарден инфаркт при клинично и хемодинамично стабилни пациенти, началната доза е 2,5 </w:t>
      </w:r>
      <w:r w:rsidRPr="00F925BC">
        <w:rPr>
          <w:rFonts w:eastAsia="Times New Roman" w:cs="Arial"/>
          <w:color w:val="000000"/>
          <w:lang w:val="en-US"/>
        </w:rPr>
        <w:t xml:space="preserve">mg </w:t>
      </w:r>
      <w:r w:rsidRPr="00F925BC">
        <w:rPr>
          <w:rFonts w:eastAsia="Times New Roman" w:cs="Arial"/>
          <w:color w:val="000000"/>
          <w:lang w:eastAsia="bg-BG"/>
        </w:rPr>
        <w:t xml:space="preserve">два пъти дневно в продължение на три дни. Ако началната доза от 2,5 </w:t>
      </w:r>
      <w:r w:rsidRPr="00F925BC">
        <w:rPr>
          <w:rFonts w:eastAsia="Times New Roman" w:cs="Arial"/>
          <w:color w:val="000000"/>
          <w:lang w:val="en-US"/>
        </w:rPr>
        <w:t xml:space="preserve">mg </w:t>
      </w:r>
      <w:r w:rsidRPr="00F925BC">
        <w:rPr>
          <w:rFonts w:eastAsia="Times New Roman" w:cs="Arial"/>
          <w:color w:val="000000"/>
          <w:lang w:eastAsia="bg-BG"/>
        </w:rPr>
        <w:t xml:space="preserve">не се понася, доза от 1,25 </w:t>
      </w:r>
      <w:r w:rsidRPr="00F925BC">
        <w:rPr>
          <w:rFonts w:eastAsia="Times New Roman" w:cs="Arial"/>
          <w:color w:val="000000"/>
          <w:lang w:val="en-US"/>
        </w:rPr>
        <w:t xml:space="preserve">mg </w:t>
      </w:r>
      <w:r w:rsidRPr="00F925BC">
        <w:rPr>
          <w:rFonts w:eastAsia="Times New Roman" w:cs="Arial"/>
          <w:color w:val="000000"/>
          <w:lang w:eastAsia="bg-BG"/>
        </w:rPr>
        <w:t xml:space="preserve">два пъти дневно трябва да бъде прилагана два дни преди повишаване до 2,5 </w:t>
      </w:r>
      <w:r w:rsidRPr="00F925BC">
        <w:rPr>
          <w:rFonts w:eastAsia="Times New Roman" w:cs="Arial"/>
          <w:color w:val="000000"/>
          <w:lang w:val="en-US"/>
        </w:rPr>
        <w:t xml:space="preserve">mg </w:t>
      </w:r>
      <w:r w:rsidRPr="00F925BC">
        <w:rPr>
          <w:rFonts w:eastAsia="Times New Roman" w:cs="Arial"/>
          <w:color w:val="000000"/>
          <w:lang w:eastAsia="bg-BG"/>
        </w:rPr>
        <w:t xml:space="preserve">и 5 </w:t>
      </w:r>
      <w:r w:rsidRPr="00F925BC">
        <w:rPr>
          <w:rFonts w:eastAsia="Times New Roman" w:cs="Arial"/>
          <w:color w:val="000000"/>
          <w:lang w:val="en-US"/>
        </w:rPr>
        <w:t xml:space="preserve">mg </w:t>
      </w:r>
      <w:r w:rsidRPr="00F925BC">
        <w:rPr>
          <w:rFonts w:eastAsia="Times New Roman" w:cs="Arial"/>
          <w:color w:val="000000"/>
          <w:lang w:eastAsia="bg-BG"/>
        </w:rPr>
        <w:t xml:space="preserve">два пъти дневно. Ако дозата не може да бъде повишена до 2,5 </w:t>
      </w:r>
      <w:r w:rsidRPr="00F925BC">
        <w:rPr>
          <w:rFonts w:eastAsia="Times New Roman" w:cs="Arial"/>
          <w:color w:val="000000"/>
          <w:lang w:val="en-US"/>
        </w:rPr>
        <w:t xml:space="preserve">mg </w:t>
      </w:r>
      <w:r w:rsidRPr="00F925BC">
        <w:rPr>
          <w:rFonts w:eastAsia="Times New Roman" w:cs="Arial"/>
          <w:color w:val="000000"/>
          <w:lang w:eastAsia="bg-BG"/>
        </w:rPr>
        <w:t>два пъти дневно, лечението трябва да се отмени.</w:t>
      </w:r>
    </w:p>
    <w:p w14:paraId="442C8870" w14:textId="77777777" w:rsidR="00F925BC" w:rsidRPr="00F925BC" w:rsidRDefault="00F925BC" w:rsidP="00F925BC">
      <w:pPr>
        <w:spacing w:line="240" w:lineRule="auto"/>
        <w:rPr>
          <w:rFonts w:eastAsia="Times New Roman" w:cs="Arial"/>
          <w:i/>
          <w:iCs/>
          <w:color w:val="000000"/>
          <w:lang w:eastAsia="bg-BG"/>
        </w:rPr>
      </w:pPr>
    </w:p>
    <w:p w14:paraId="170DFE04" w14:textId="608AB41C"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Вижте също по-горе дозировка при пациенти, лекувани с диуретици.</w:t>
      </w:r>
    </w:p>
    <w:p w14:paraId="0ED699B7" w14:textId="77777777" w:rsidR="00F925BC" w:rsidRPr="00F925BC" w:rsidRDefault="00F925BC" w:rsidP="00F925BC">
      <w:pPr>
        <w:spacing w:line="240" w:lineRule="auto"/>
        <w:rPr>
          <w:rFonts w:eastAsia="Times New Roman" w:cs="Arial"/>
          <w:lang w:eastAsia="bg-BG"/>
        </w:rPr>
      </w:pPr>
    </w:p>
    <w:p w14:paraId="59D3AA6D"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u w:val="single"/>
          <w:lang w:eastAsia="bg-BG"/>
        </w:rPr>
        <w:t>Титриране и поддържаща доза</w:t>
      </w:r>
    </w:p>
    <w:p w14:paraId="14A5ED0D" w14:textId="7B7B0A99" w:rsidR="00F925BC" w:rsidRPr="00F925BC" w:rsidRDefault="00F925BC" w:rsidP="00F925BC">
      <w:pPr>
        <w:rPr>
          <w:rFonts w:eastAsia="Times New Roman" w:cs="Arial"/>
          <w:color w:val="000000"/>
          <w:lang w:eastAsia="bg-BG"/>
        </w:rPr>
      </w:pPr>
      <w:r w:rsidRPr="00F925BC">
        <w:rPr>
          <w:rFonts w:eastAsia="Times New Roman" w:cs="Arial"/>
          <w:color w:val="000000"/>
          <w:lang w:eastAsia="bg-BG"/>
        </w:rPr>
        <w:t xml:space="preserve">Впоследствие дневната доза се повишава чрез удвояването й на интервали от до достигане на таргетната поддържаща доза от 5 </w:t>
      </w:r>
      <w:r w:rsidRPr="00F925BC">
        <w:rPr>
          <w:rFonts w:eastAsia="Times New Roman" w:cs="Arial"/>
          <w:color w:val="000000"/>
          <w:lang w:val="en-US"/>
        </w:rPr>
        <w:t xml:space="preserve">mg </w:t>
      </w:r>
      <w:r w:rsidRPr="00F925BC">
        <w:rPr>
          <w:rFonts w:eastAsia="Times New Roman" w:cs="Arial"/>
          <w:color w:val="000000"/>
          <w:lang w:eastAsia="bg-BG"/>
        </w:rPr>
        <w:t>два пъти дневно.</w:t>
      </w:r>
    </w:p>
    <w:p w14:paraId="3A528E96" w14:textId="0C34E5D7" w:rsidR="00F925BC" w:rsidRPr="00F925BC" w:rsidRDefault="00F925BC" w:rsidP="00F925BC">
      <w:pPr>
        <w:rPr>
          <w:rFonts w:eastAsia="Times New Roman" w:cs="Arial"/>
          <w:color w:val="000000"/>
          <w:lang w:eastAsia="bg-BG"/>
        </w:rPr>
      </w:pPr>
    </w:p>
    <w:p w14:paraId="3073FAA9"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Когато е възможно поддържащата доза се разделя на два приема дневно.</w:t>
      </w:r>
    </w:p>
    <w:p w14:paraId="6C63FF28"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Ако дозата не може да се повиши до .2,5 </w:t>
      </w:r>
      <w:r w:rsidRPr="00F925BC">
        <w:rPr>
          <w:rFonts w:eastAsia="Times New Roman" w:cs="Arial"/>
          <w:color w:val="000000"/>
          <w:lang w:val="en-US"/>
        </w:rPr>
        <w:t xml:space="preserve">mg </w:t>
      </w:r>
      <w:r w:rsidRPr="00F925BC">
        <w:rPr>
          <w:rFonts w:eastAsia="Times New Roman" w:cs="Arial"/>
          <w:color w:val="000000"/>
          <w:lang w:eastAsia="bg-BG"/>
        </w:rPr>
        <w:t xml:space="preserve">два пъти дневно, лечението трябва да се отмени. Все още липсва достатъчен опит при лечение на пациенти с тежка </w:t>
      </w:r>
      <w:r w:rsidRPr="00F925BC">
        <w:rPr>
          <w:rFonts w:eastAsia="Times New Roman" w:cs="Arial"/>
          <w:color w:val="000000"/>
          <w:lang w:val="en-US"/>
        </w:rPr>
        <w:t>(NYHA</w:t>
      </w:r>
      <w:r w:rsidRPr="00F925BC">
        <w:rPr>
          <w:rFonts w:eastAsia="Times New Roman" w:cs="Arial"/>
          <w:color w:val="000000"/>
          <w:lang w:eastAsia="bg-BG"/>
        </w:rPr>
        <w:t xml:space="preserve"> IV) сърдечна недостатъчност непосредствено след миокарден инфаркт. Ако се вземе решение за лечение на такива пациенти, препоръчва се терапията да бъде започната с 1,25 </w:t>
      </w:r>
      <w:r w:rsidRPr="00F925BC">
        <w:rPr>
          <w:rFonts w:eastAsia="Times New Roman" w:cs="Arial"/>
          <w:color w:val="000000"/>
          <w:lang w:val="en-US"/>
        </w:rPr>
        <w:t xml:space="preserve">mg </w:t>
      </w:r>
      <w:r w:rsidRPr="00F925BC">
        <w:rPr>
          <w:rFonts w:eastAsia="Times New Roman" w:cs="Arial"/>
          <w:color w:val="000000"/>
          <w:lang w:eastAsia="bg-BG"/>
        </w:rPr>
        <w:t>веднъж дневно и всяко повишаване на дозата да бъде извършвано с повишено внимание.</w:t>
      </w:r>
    </w:p>
    <w:p w14:paraId="17C11479" w14:textId="77777777" w:rsidR="00F925BC" w:rsidRPr="00F925BC" w:rsidRDefault="00F925BC" w:rsidP="00F925BC">
      <w:pPr>
        <w:spacing w:line="240" w:lineRule="auto"/>
        <w:rPr>
          <w:rFonts w:eastAsia="Times New Roman" w:cs="Arial"/>
          <w:b/>
          <w:bCs/>
          <w:i/>
          <w:iCs/>
          <w:color w:val="000000"/>
          <w:lang w:eastAsia="bg-BG"/>
        </w:rPr>
      </w:pPr>
    </w:p>
    <w:p w14:paraId="53409299" w14:textId="31D371CA"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Специални популации</w:t>
      </w:r>
    </w:p>
    <w:p w14:paraId="2A357770" w14:textId="77777777" w:rsidR="00F925BC" w:rsidRPr="00F925BC" w:rsidRDefault="00F925BC" w:rsidP="00F925BC">
      <w:pPr>
        <w:spacing w:line="240" w:lineRule="auto"/>
        <w:rPr>
          <w:rFonts w:eastAsia="Times New Roman" w:cs="Arial"/>
          <w:i/>
          <w:iCs/>
          <w:color w:val="000000"/>
          <w:lang w:eastAsia="bg-BG"/>
        </w:rPr>
      </w:pPr>
    </w:p>
    <w:p w14:paraId="6F44D52A" w14:textId="653B2CE0"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Бъбречно увреждане</w:t>
      </w:r>
    </w:p>
    <w:p w14:paraId="3EB2A771"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Дневната доза при пациенти с бъбречно увреждане трябва да се определя въз основа на креатининовия клирьнс (вж. точка 5.2):</w:t>
      </w:r>
    </w:p>
    <w:p w14:paraId="7172EFCF"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 xml:space="preserve">ако креатининовият клирьнс е ≥60 </w:t>
      </w:r>
      <w:r w:rsidRPr="00F925BC">
        <w:rPr>
          <w:rFonts w:eastAsia="Times New Roman" w:cs="Arial"/>
          <w:color w:val="000000"/>
          <w:lang w:val="en-US"/>
        </w:rPr>
        <w:t xml:space="preserve">ml/min, </w:t>
      </w:r>
      <w:r w:rsidRPr="00F925BC">
        <w:rPr>
          <w:rFonts w:eastAsia="Times New Roman" w:cs="Arial"/>
          <w:color w:val="000000"/>
          <w:lang w:eastAsia="bg-BG"/>
        </w:rPr>
        <w:t xml:space="preserve">не е необходимо коригиране на началната доза (2,5 </w:t>
      </w:r>
      <w:r w:rsidRPr="00F925BC">
        <w:rPr>
          <w:rFonts w:eastAsia="Times New Roman" w:cs="Arial"/>
          <w:color w:val="000000"/>
          <w:lang w:val="en-US"/>
        </w:rPr>
        <w:t>mg</w:t>
      </w:r>
      <w:r w:rsidRPr="00F925BC">
        <w:rPr>
          <w:rFonts w:eastAsia="Times New Roman" w:cs="Arial"/>
          <w:color w:val="000000"/>
          <w:lang w:eastAsia="bg-BG"/>
        </w:rPr>
        <w:t xml:space="preserve">/дневно); максималната дневна доза е 10 </w:t>
      </w:r>
      <w:r w:rsidRPr="00F925BC">
        <w:rPr>
          <w:rFonts w:eastAsia="Times New Roman" w:cs="Arial"/>
          <w:color w:val="000000"/>
          <w:lang w:val="en-US"/>
        </w:rPr>
        <w:t>mg;</w:t>
      </w:r>
    </w:p>
    <w:p w14:paraId="630A599D"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 xml:space="preserve">ако креатининовият клирънс е между 30-60 </w:t>
      </w:r>
      <w:r w:rsidRPr="00F925BC">
        <w:rPr>
          <w:rFonts w:eastAsia="Times New Roman" w:cs="Arial"/>
          <w:color w:val="000000"/>
          <w:lang w:val="en-US"/>
        </w:rPr>
        <w:t xml:space="preserve">ml/min, </w:t>
      </w:r>
      <w:r w:rsidRPr="00F925BC">
        <w:rPr>
          <w:rFonts w:eastAsia="Times New Roman" w:cs="Arial"/>
          <w:color w:val="000000"/>
          <w:lang w:eastAsia="bg-BG"/>
        </w:rPr>
        <w:t xml:space="preserve">не е необходимо коригиране на началната доза (2,5 </w:t>
      </w:r>
      <w:r w:rsidRPr="00F925BC">
        <w:rPr>
          <w:rFonts w:eastAsia="Times New Roman" w:cs="Arial"/>
          <w:color w:val="000000"/>
          <w:lang w:val="en-US"/>
        </w:rPr>
        <w:t>mg</w:t>
      </w:r>
      <w:r w:rsidRPr="00F925BC">
        <w:rPr>
          <w:rFonts w:eastAsia="Times New Roman" w:cs="Arial"/>
          <w:color w:val="000000"/>
          <w:lang w:eastAsia="bg-BG"/>
        </w:rPr>
        <w:t xml:space="preserve">/дневно); максималната дневна доза е 5 </w:t>
      </w:r>
      <w:r w:rsidRPr="00F925BC">
        <w:rPr>
          <w:rFonts w:eastAsia="Times New Roman" w:cs="Arial"/>
          <w:color w:val="000000"/>
          <w:lang w:val="en-US"/>
        </w:rPr>
        <w:t>mg;</w:t>
      </w:r>
    </w:p>
    <w:p w14:paraId="7C37C12E"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 xml:space="preserve">ако креатининовият клирьнс е между 10-30 </w:t>
      </w:r>
      <w:r w:rsidRPr="00F925BC">
        <w:rPr>
          <w:rFonts w:eastAsia="Times New Roman" w:cs="Arial"/>
          <w:color w:val="000000"/>
          <w:lang w:val="en-US"/>
        </w:rPr>
        <w:t xml:space="preserve">ml/min, </w:t>
      </w:r>
      <w:r w:rsidRPr="00F925BC">
        <w:rPr>
          <w:rFonts w:eastAsia="Times New Roman" w:cs="Arial"/>
          <w:color w:val="000000"/>
          <w:lang w:eastAsia="bg-BG"/>
        </w:rPr>
        <w:t xml:space="preserve">началната доза е 1,25 </w:t>
      </w:r>
      <w:r w:rsidRPr="00F925BC">
        <w:rPr>
          <w:rFonts w:eastAsia="Times New Roman" w:cs="Arial"/>
          <w:color w:val="000000"/>
          <w:lang w:val="en-US"/>
        </w:rPr>
        <w:t>mg</w:t>
      </w:r>
      <w:r w:rsidRPr="00F925BC">
        <w:rPr>
          <w:rFonts w:eastAsia="Times New Roman" w:cs="Arial"/>
          <w:color w:val="000000"/>
          <w:lang w:eastAsia="bg-BG"/>
        </w:rPr>
        <w:t xml:space="preserve">/дневно и максималната дневна доза е 5 </w:t>
      </w:r>
      <w:r w:rsidRPr="00F925BC">
        <w:rPr>
          <w:rFonts w:eastAsia="Times New Roman" w:cs="Arial"/>
          <w:color w:val="000000"/>
          <w:lang w:val="en-US"/>
        </w:rPr>
        <w:t>mg;</w:t>
      </w:r>
    </w:p>
    <w:p w14:paraId="513E374F" w14:textId="3F996EAD"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lastRenderedPageBreak/>
        <w:t xml:space="preserve">при хипертоници на хемодиализа: рамиприл се диализира слабо; началната доза е 1,25 </w:t>
      </w:r>
      <w:r w:rsidRPr="00F925BC">
        <w:rPr>
          <w:rFonts w:eastAsia="Times New Roman" w:cs="Arial"/>
          <w:color w:val="000000"/>
          <w:lang w:val="en-US"/>
        </w:rPr>
        <w:t>mg</w:t>
      </w:r>
      <w:r w:rsidRPr="00F925BC">
        <w:rPr>
          <w:rFonts w:eastAsia="Times New Roman" w:cs="Arial"/>
          <w:color w:val="000000"/>
          <w:lang w:eastAsia="bg-BG"/>
        </w:rPr>
        <w:t xml:space="preserve">/дневно и максималната дневна доза е 5 </w:t>
      </w:r>
      <w:r w:rsidRPr="00F925BC">
        <w:rPr>
          <w:rFonts w:eastAsia="Times New Roman" w:cs="Arial"/>
          <w:color w:val="000000"/>
          <w:lang w:val="en-US"/>
        </w:rPr>
        <w:t xml:space="preserve">mg; </w:t>
      </w:r>
      <w:r w:rsidRPr="00F925BC">
        <w:rPr>
          <w:rFonts w:eastAsia="Times New Roman" w:cs="Arial"/>
          <w:color w:val="000000"/>
          <w:lang w:eastAsia="bg-BG"/>
        </w:rPr>
        <w:t>лекарственият продукт трябва да се приема няколко часа след хемодиализната процедура.</w:t>
      </w:r>
    </w:p>
    <w:p w14:paraId="13B674A7" w14:textId="77777777" w:rsidR="00F925BC" w:rsidRPr="00F925BC" w:rsidRDefault="00F925BC" w:rsidP="00F925BC">
      <w:pPr>
        <w:spacing w:line="240" w:lineRule="auto"/>
        <w:rPr>
          <w:rFonts w:eastAsia="Times New Roman" w:cs="Arial"/>
          <w:i/>
          <w:iCs/>
          <w:color w:val="000000"/>
          <w:lang w:eastAsia="bg-BG"/>
        </w:rPr>
      </w:pPr>
    </w:p>
    <w:p w14:paraId="5ADCC384" w14:textId="01FAF5DB"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Чернодробно увреждане</w:t>
      </w:r>
      <w:r w:rsidRPr="00F925BC">
        <w:rPr>
          <w:rFonts w:eastAsia="Times New Roman" w:cs="Arial"/>
          <w:color w:val="000000"/>
          <w:lang w:eastAsia="bg-BG"/>
        </w:rPr>
        <w:t xml:space="preserve"> (вж. точка 5.2)</w:t>
      </w:r>
    </w:p>
    <w:p w14:paraId="6245756B"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При пациенти с чернодробно увреждане, лечението с рамиприл трябва да започне само под стриктен медицински контрол и максималната дневна доза е 2,5 </w:t>
      </w:r>
      <w:r w:rsidRPr="00F925BC">
        <w:rPr>
          <w:rFonts w:eastAsia="Times New Roman" w:cs="Arial"/>
          <w:color w:val="000000"/>
          <w:lang w:val="en-US"/>
        </w:rPr>
        <w:t xml:space="preserve">mg </w:t>
      </w:r>
      <w:r w:rsidRPr="00F925BC">
        <w:rPr>
          <w:rFonts w:eastAsia="Times New Roman" w:cs="Arial"/>
          <w:color w:val="000000"/>
          <w:lang w:eastAsia="bg-BG"/>
        </w:rPr>
        <w:t>рамиприл.</w:t>
      </w:r>
    </w:p>
    <w:p w14:paraId="4EFF8F4F" w14:textId="77777777" w:rsidR="00F925BC" w:rsidRPr="00F925BC" w:rsidRDefault="00F925BC" w:rsidP="00F925BC">
      <w:pPr>
        <w:spacing w:line="240" w:lineRule="auto"/>
        <w:rPr>
          <w:rFonts w:eastAsia="Times New Roman" w:cs="Arial"/>
          <w:i/>
          <w:iCs/>
          <w:color w:val="000000"/>
          <w:lang w:eastAsia="bg-BG"/>
        </w:rPr>
      </w:pPr>
    </w:p>
    <w:p w14:paraId="1DB67B3D" w14:textId="59A5F6F2"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Старческа възраст</w:t>
      </w:r>
    </w:p>
    <w:p w14:paraId="7CA2A62D"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Началните дози трябва да бъдат по-ниски и впоследствие титрирането на дозата трябва да бъде по-бавно, поради по-голямата възможност от нежелани реакции, особено при много възрастни и немощни пациенти. Трябва да се има предвид понижаване на началната доза рамиприл на 1,25 </w:t>
      </w:r>
      <w:r w:rsidRPr="00F925BC">
        <w:rPr>
          <w:rFonts w:eastAsia="Times New Roman" w:cs="Arial"/>
          <w:color w:val="000000"/>
          <w:lang w:val="en-US"/>
        </w:rPr>
        <w:t>mg.</w:t>
      </w:r>
    </w:p>
    <w:p w14:paraId="029329E0" w14:textId="77777777" w:rsidR="00F925BC" w:rsidRPr="00F925BC" w:rsidRDefault="00F925BC" w:rsidP="00F925BC">
      <w:pPr>
        <w:spacing w:line="240" w:lineRule="auto"/>
        <w:rPr>
          <w:rFonts w:eastAsia="Times New Roman" w:cs="Arial"/>
          <w:i/>
          <w:iCs/>
          <w:color w:val="000000"/>
          <w:lang w:eastAsia="bg-BG"/>
        </w:rPr>
      </w:pPr>
    </w:p>
    <w:p w14:paraId="06CE1672" w14:textId="3D29AB08"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Педиатрична популация</w:t>
      </w:r>
    </w:p>
    <w:p w14:paraId="2B3FBDE6"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Безопасността и ефективността на рамиприл при деца все още не е установена. Наличните понастоящем данни са описани в точка 4.8, 5.1 и 5.3, но специфични препоръки относно дозировката не могат да бъдат направени.</w:t>
      </w:r>
    </w:p>
    <w:p w14:paraId="1C4E9194" w14:textId="77777777" w:rsidR="00F925BC" w:rsidRPr="00F925BC" w:rsidRDefault="00F925BC" w:rsidP="00F925BC">
      <w:pPr>
        <w:spacing w:line="240" w:lineRule="auto"/>
        <w:rPr>
          <w:rFonts w:eastAsia="Times New Roman" w:cs="Arial"/>
          <w:color w:val="000000"/>
          <w:u w:val="single"/>
          <w:lang w:eastAsia="bg-BG"/>
        </w:rPr>
      </w:pPr>
    </w:p>
    <w:p w14:paraId="4764FA05" w14:textId="62BA334A" w:rsidR="00F925BC" w:rsidRPr="00F925BC" w:rsidRDefault="00F925BC" w:rsidP="00F925BC">
      <w:pPr>
        <w:pStyle w:val="Heading3"/>
        <w:rPr>
          <w:rFonts w:eastAsia="Times New Roman"/>
          <w:u w:val="single"/>
          <w:lang w:eastAsia="bg-BG"/>
        </w:rPr>
      </w:pPr>
      <w:r w:rsidRPr="00F925BC">
        <w:rPr>
          <w:rFonts w:eastAsia="Times New Roman"/>
          <w:u w:val="single"/>
          <w:lang w:eastAsia="bg-BG"/>
        </w:rPr>
        <w:t>Начин на приложение</w:t>
      </w:r>
    </w:p>
    <w:p w14:paraId="07D86703"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Перорално приложение.</w:t>
      </w:r>
    </w:p>
    <w:p w14:paraId="6462184F" w14:textId="77777777" w:rsidR="00F925BC" w:rsidRPr="00F925BC" w:rsidRDefault="00F925BC" w:rsidP="00F925BC"/>
    <w:p w14:paraId="1BF2EFF4" w14:textId="4E1A38AD" w:rsidR="001A6EBD" w:rsidRDefault="002C50EE" w:rsidP="00471F10">
      <w:pPr>
        <w:pStyle w:val="Heading2"/>
      </w:pPr>
      <w:r>
        <w:t>4.3. Противопоказания</w:t>
      </w:r>
    </w:p>
    <w:p w14:paraId="5EFD29A0" w14:textId="3132C4BB" w:rsidR="00F925BC" w:rsidRDefault="00F925BC" w:rsidP="00F925BC"/>
    <w:p w14:paraId="36B8DC94" w14:textId="77777777"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Свръхчувствителност към активното вещество, или към някое от помощните вещества,</w:t>
      </w:r>
      <w:r w:rsidRPr="00F925BC">
        <w:rPr>
          <w:rFonts w:eastAsia="Times New Roman" w:cs="Arial"/>
          <w:color w:val="000000"/>
          <w:lang w:val="en-US" w:eastAsia="bg-BG"/>
        </w:rPr>
        <w:t xml:space="preserve"> </w:t>
      </w:r>
      <w:r w:rsidRPr="00F925BC">
        <w:rPr>
          <w:rFonts w:eastAsia="Times New Roman" w:cs="Arial"/>
          <w:color w:val="000000"/>
          <w:lang w:eastAsia="bg-BG"/>
        </w:rPr>
        <w:t>изброени в точка 6.1 или към друг АСЕ инхибитор (инхибитор на ангиотензин конвертиращия ензим).</w:t>
      </w:r>
    </w:p>
    <w:p w14:paraId="0E2063D2" w14:textId="77777777"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 xml:space="preserve">Анамнеза за ангиоедем (наследствен, идиопатичен или вследствие лечение с АСЕ инхибитори или ангиотензин II рецепторни антагонисти </w:t>
      </w:r>
      <w:r w:rsidRPr="00F925BC">
        <w:rPr>
          <w:rFonts w:eastAsia="Times New Roman" w:cs="Arial"/>
          <w:color w:val="000000"/>
          <w:lang w:val="en-US"/>
        </w:rPr>
        <w:t>(AIIRAs)).</w:t>
      </w:r>
    </w:p>
    <w:p w14:paraId="20E40CB6" w14:textId="77777777"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Екстракорпорално лечение, водещо до контакт на кръвта с отрицателно заредени повърхности (вж. точка 4.5).</w:t>
      </w:r>
    </w:p>
    <w:p w14:paraId="6F4E7BBB" w14:textId="77777777"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 xml:space="preserve">Значима двустранна стеноза на бъбречната артерия или стеноза на бъбречна </w:t>
      </w:r>
      <w:r w:rsidRPr="00F925BC">
        <w:rPr>
          <w:rFonts w:eastAsia="Times New Roman" w:cs="Arial"/>
          <w:color w:val="000000"/>
          <w:lang w:val="en-US"/>
        </w:rPr>
        <w:t>a</w:t>
      </w:r>
      <w:r w:rsidRPr="00F925BC">
        <w:rPr>
          <w:rFonts w:eastAsia="Times New Roman" w:cs="Arial"/>
          <w:color w:val="000000"/>
          <w:lang w:eastAsia="bg-BG"/>
        </w:rPr>
        <w:t>ртерия на единствен функциониращ бъбрек.</w:t>
      </w:r>
    </w:p>
    <w:p w14:paraId="13B2274C" w14:textId="77777777"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Рамиприл не трябва да бъде прилаган при пациенти с хипотония или нестабилна</w:t>
      </w:r>
      <w:r w:rsidRPr="00F925BC">
        <w:rPr>
          <w:rFonts w:eastAsia="Times New Roman" w:cs="Arial"/>
          <w:color w:val="000000"/>
          <w:lang w:val="en-US" w:eastAsia="bg-BG"/>
        </w:rPr>
        <w:t xml:space="preserve"> </w:t>
      </w:r>
      <w:r w:rsidRPr="00F925BC">
        <w:rPr>
          <w:rFonts w:eastAsia="Times New Roman" w:cs="Arial"/>
          <w:color w:val="000000"/>
          <w:lang w:eastAsia="bg-BG"/>
        </w:rPr>
        <w:t>хемодинамика.</w:t>
      </w:r>
    </w:p>
    <w:p w14:paraId="66564B6A" w14:textId="77777777"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Втори и трети триместьр на бременността (вж. точки 4.4 и 4.6).</w:t>
      </w:r>
    </w:p>
    <w:p w14:paraId="33EF10BB" w14:textId="4586D660"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 xml:space="preserve">Едновременната употреба на Вивейс с алискирен-съдържащи продукти е противопоказана при пациенти със захарен диабет или бъбречно увреждане </w:t>
      </w:r>
      <w:r w:rsidRPr="00F925BC">
        <w:rPr>
          <w:rFonts w:eastAsia="Times New Roman" w:cs="Arial"/>
          <w:color w:val="000000"/>
          <w:lang w:val="en-US"/>
        </w:rPr>
        <w:t xml:space="preserve">(GFR </w:t>
      </w:r>
      <w:r w:rsidRPr="00F925BC">
        <w:rPr>
          <w:rFonts w:eastAsia="Times New Roman" w:cs="Arial"/>
          <w:color w:val="000000"/>
          <w:lang w:eastAsia="bg-BG"/>
        </w:rPr>
        <w:t xml:space="preserve">&lt; 60 </w:t>
      </w:r>
      <w:r w:rsidRPr="00F925BC">
        <w:rPr>
          <w:rFonts w:eastAsia="Times New Roman" w:cs="Arial"/>
          <w:color w:val="000000"/>
          <w:lang w:val="en-US"/>
        </w:rPr>
        <w:t>ml/min/1,73 m</w:t>
      </w:r>
      <w:r w:rsidRPr="00F925BC">
        <w:rPr>
          <w:rFonts w:eastAsia="Times New Roman" w:cs="Arial"/>
          <w:color w:val="000000"/>
          <w:vertAlign w:val="superscript"/>
          <w:lang w:val="en-US"/>
        </w:rPr>
        <w:t>2</w:t>
      </w:r>
      <w:r w:rsidRPr="00F925BC">
        <w:rPr>
          <w:rFonts w:eastAsia="Times New Roman" w:cs="Arial"/>
          <w:color w:val="000000"/>
          <w:lang w:val="en-US"/>
        </w:rPr>
        <w:t xml:space="preserve">) </w:t>
      </w:r>
      <w:r w:rsidRPr="00F925BC">
        <w:rPr>
          <w:rFonts w:eastAsia="Times New Roman" w:cs="Arial"/>
          <w:color w:val="000000"/>
          <w:lang w:eastAsia="bg-BG"/>
        </w:rPr>
        <w:t>(вж. точки 4.5 и 5.1)</w:t>
      </w:r>
    </w:p>
    <w:p w14:paraId="1FFEA0FE" w14:textId="55442FEA" w:rsidR="00F925BC" w:rsidRPr="00F925BC" w:rsidRDefault="00F925BC" w:rsidP="00F925BC">
      <w:pPr>
        <w:pStyle w:val="ListParagraph"/>
        <w:numPr>
          <w:ilvl w:val="0"/>
          <w:numId w:val="45"/>
        </w:numPr>
        <w:spacing w:line="240" w:lineRule="auto"/>
        <w:rPr>
          <w:rFonts w:eastAsia="Times New Roman" w:cs="Arial"/>
          <w:sz w:val="28"/>
          <w:szCs w:val="28"/>
          <w:lang w:eastAsia="bg-BG"/>
        </w:rPr>
      </w:pPr>
      <w:r w:rsidRPr="00F925BC">
        <w:rPr>
          <w:rFonts w:eastAsia="Times New Roman" w:cs="Arial"/>
          <w:color w:val="000000"/>
          <w:lang w:eastAsia="bg-BG"/>
        </w:rPr>
        <w:t>Съпътстваща употреба при терапия със сакубитрил/валсартан. Вивейс не трябва да се започва по-рано от 36 часа след последната доза сакубитрил/валсартан (вж. също точки 4.4 и 4.5).</w:t>
      </w:r>
    </w:p>
    <w:p w14:paraId="209D8CDC" w14:textId="77777777" w:rsidR="00F925BC" w:rsidRPr="00F925BC" w:rsidRDefault="00F925BC" w:rsidP="00F925BC"/>
    <w:p w14:paraId="0C106098" w14:textId="7526D0AE" w:rsidR="001A6EBD" w:rsidRDefault="002C50EE" w:rsidP="00471F10">
      <w:pPr>
        <w:pStyle w:val="Heading2"/>
      </w:pPr>
      <w:r>
        <w:t>4.4. Специални предупреждения и предпазни мерки при употреба</w:t>
      </w:r>
    </w:p>
    <w:p w14:paraId="6D20AB0E" w14:textId="194F1E11" w:rsidR="00F925BC" w:rsidRDefault="00F925BC" w:rsidP="00F925BC"/>
    <w:p w14:paraId="0BB25C58" w14:textId="77777777"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Специални популации</w:t>
      </w:r>
    </w:p>
    <w:p w14:paraId="4A94532B" w14:textId="77777777" w:rsidR="00F925BC" w:rsidRPr="00F925BC" w:rsidRDefault="00F925BC" w:rsidP="00F925BC">
      <w:pPr>
        <w:spacing w:line="240" w:lineRule="auto"/>
        <w:rPr>
          <w:rFonts w:eastAsia="Times New Roman" w:cs="Arial"/>
          <w:i/>
          <w:iCs/>
          <w:color w:val="000000"/>
          <w:u w:val="single"/>
          <w:lang w:eastAsia="bg-BG"/>
        </w:rPr>
      </w:pPr>
    </w:p>
    <w:p w14:paraId="548D5BA8" w14:textId="0F946285" w:rsidR="00F925BC" w:rsidRPr="00F925BC" w:rsidRDefault="00F925BC" w:rsidP="00F925BC">
      <w:pPr>
        <w:spacing w:line="240" w:lineRule="auto"/>
        <w:rPr>
          <w:rFonts w:eastAsia="Times New Roman" w:cs="Arial"/>
          <w:lang w:eastAsia="bg-BG"/>
        </w:rPr>
      </w:pPr>
      <w:r w:rsidRPr="00F925BC">
        <w:rPr>
          <w:rFonts w:eastAsia="Times New Roman" w:cs="Arial"/>
          <w:i/>
          <w:iCs/>
          <w:color w:val="000000"/>
          <w:u w:val="single"/>
          <w:lang w:eastAsia="bg-BG"/>
        </w:rPr>
        <w:lastRenderedPageBreak/>
        <w:t>Бременност</w:t>
      </w:r>
    </w:p>
    <w:p w14:paraId="4E022501"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Лечение с АСЕ инхибитори като рамиприл или ангиотензин И рецепторни антагонисти </w:t>
      </w:r>
      <w:r w:rsidRPr="00F925BC">
        <w:rPr>
          <w:rFonts w:eastAsia="Times New Roman" w:cs="Arial"/>
          <w:color w:val="000000"/>
          <w:lang w:val="en-US"/>
        </w:rPr>
        <w:t xml:space="preserve">(AIIRAs) </w:t>
      </w:r>
      <w:r w:rsidRPr="00F925BC">
        <w:rPr>
          <w:rFonts w:eastAsia="Times New Roman" w:cs="Arial"/>
          <w:color w:val="000000"/>
          <w:lang w:eastAsia="bg-BG"/>
        </w:rPr>
        <w:t>не трябва да се започва по време на бременност. При пациентките, планиращи да забременеят, терапията с АСЕ инхибитори</w:t>
      </w:r>
      <w:r w:rsidRPr="00F925BC">
        <w:rPr>
          <w:rFonts w:eastAsia="Times New Roman" w:cs="Arial"/>
          <w:color w:val="000000"/>
          <w:lang w:val="en-US"/>
        </w:rPr>
        <w:t xml:space="preserve">/AIIRAs, </w:t>
      </w:r>
      <w:r w:rsidRPr="00F925BC">
        <w:rPr>
          <w:rFonts w:eastAsia="Times New Roman" w:cs="Arial"/>
          <w:color w:val="000000"/>
          <w:lang w:eastAsia="bg-BG"/>
        </w:rPr>
        <w:t>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 инхибитори</w:t>
      </w:r>
      <w:r w:rsidRPr="00F925BC">
        <w:rPr>
          <w:rFonts w:eastAsia="Times New Roman" w:cs="Arial"/>
          <w:color w:val="000000"/>
          <w:lang w:val="en-US"/>
        </w:rPr>
        <w:t xml:space="preserve">/AIIRAs </w:t>
      </w:r>
      <w:r w:rsidRPr="00F925BC">
        <w:rPr>
          <w:rFonts w:eastAsia="Times New Roman" w:cs="Arial"/>
          <w:color w:val="000000"/>
          <w:lang w:eastAsia="bg-BG"/>
        </w:rPr>
        <w:t>трябва да бъде спряно незабавно и, ако е уместно, трябва да бъде започната алтернативна терапия (вж. точки 4.3 и 4.6).</w:t>
      </w:r>
    </w:p>
    <w:p w14:paraId="4DA26C26" w14:textId="77777777" w:rsidR="00F925BC" w:rsidRPr="00F925BC" w:rsidRDefault="00F925BC" w:rsidP="00F925BC">
      <w:pPr>
        <w:spacing w:line="240" w:lineRule="auto"/>
        <w:rPr>
          <w:rFonts w:eastAsia="Times New Roman" w:cs="Arial"/>
          <w:i/>
          <w:iCs/>
          <w:color w:val="000000"/>
          <w:u w:val="single"/>
          <w:lang w:eastAsia="bg-BG"/>
        </w:rPr>
      </w:pPr>
    </w:p>
    <w:p w14:paraId="4352838F" w14:textId="37478412" w:rsidR="00F925BC" w:rsidRPr="00F925BC" w:rsidRDefault="00F925BC" w:rsidP="00F925BC">
      <w:pPr>
        <w:spacing w:line="240" w:lineRule="auto"/>
        <w:rPr>
          <w:rFonts w:eastAsia="Times New Roman" w:cs="Arial"/>
          <w:lang w:eastAsia="bg-BG"/>
        </w:rPr>
      </w:pPr>
      <w:r w:rsidRPr="00F925BC">
        <w:rPr>
          <w:rFonts w:eastAsia="Times New Roman" w:cs="Arial"/>
          <w:i/>
          <w:iCs/>
          <w:color w:val="000000"/>
          <w:u w:val="single"/>
          <w:lang w:eastAsia="bg-BG"/>
        </w:rPr>
        <w:t>Паииенти с особен риск от хипотония</w:t>
      </w:r>
    </w:p>
    <w:p w14:paraId="224E478F" w14:textId="77777777" w:rsidR="00F925BC" w:rsidRPr="00F925BC" w:rsidRDefault="00F925BC" w:rsidP="00F925BC">
      <w:pPr>
        <w:spacing w:line="240" w:lineRule="auto"/>
        <w:rPr>
          <w:rFonts w:eastAsia="Times New Roman" w:cs="Arial"/>
          <w:i/>
          <w:iCs/>
          <w:color w:val="000000"/>
          <w:lang w:eastAsia="bg-BG"/>
        </w:rPr>
      </w:pPr>
    </w:p>
    <w:p w14:paraId="4F8DE9E1" w14:textId="6B1BBDD3"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Пациенти с повишена активност на ренин-ангиотензин-алдостероновата система</w:t>
      </w:r>
    </w:p>
    <w:p w14:paraId="7ACF0837" w14:textId="77777777" w:rsidR="00F925BC" w:rsidRPr="00F925BC" w:rsidRDefault="00F925BC" w:rsidP="00F925BC">
      <w:pPr>
        <w:spacing w:line="240" w:lineRule="auto"/>
        <w:rPr>
          <w:rFonts w:eastAsia="Times New Roman" w:cs="Arial"/>
          <w:color w:val="000000"/>
          <w:lang w:eastAsia="bg-BG"/>
        </w:rPr>
      </w:pPr>
      <w:r w:rsidRPr="00F925BC">
        <w:rPr>
          <w:rFonts w:eastAsia="Times New Roman" w:cs="Arial"/>
          <w:color w:val="000000"/>
          <w:lang w:eastAsia="bg-BG"/>
        </w:rPr>
        <w:t xml:space="preserve">Пациенти с повишена активност на ренин-ангиотензин-алдостерон системата са изложени на риск от силно изразено понижаване на артериалното налягане и влошаване на бъбречната функция, поради АСЕ инхибиране, особено когато АСЕ инхибитор или съпътстващ диуретик се приема за пръв път или при начално повишаване на дозата. Значима активност на ренин- ангиотензин-алдостерон системата може да се очаква и е необходимо медицинско наблюдение, включващо проследяване на артериалното налягане, например при: </w:t>
      </w:r>
    </w:p>
    <w:p w14:paraId="77ACDA41"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 xml:space="preserve">пациенти с тежка хипертония, </w:t>
      </w:r>
    </w:p>
    <w:p w14:paraId="0DDD1800"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пациенти с декомпенсирана застойна сърдечна недостатъчност,</w:t>
      </w:r>
    </w:p>
    <w:p w14:paraId="584D2598" w14:textId="16D9EF94"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пациенти с хемодинамично влошен левокамерен изходящ или входящ кръвоток (напр.</w:t>
      </w:r>
      <w:r w:rsidRPr="00F925BC">
        <w:rPr>
          <w:rFonts w:eastAsia="Times New Roman" w:cs="Arial"/>
          <w:color w:val="000000"/>
          <w:lang w:val="en-US" w:eastAsia="bg-BG"/>
        </w:rPr>
        <w:t xml:space="preserve"> </w:t>
      </w:r>
      <w:r w:rsidRPr="00F925BC">
        <w:rPr>
          <w:rFonts w:eastAsia="Times New Roman" w:cs="Arial"/>
          <w:color w:val="000000"/>
          <w:lang w:eastAsia="bg-BG"/>
        </w:rPr>
        <w:t xml:space="preserve">стеноза на аортата или митралната клапа), </w:t>
      </w:r>
    </w:p>
    <w:p w14:paraId="2411A366"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 xml:space="preserve">пациенти с едностранна стеноза на бъбречната артерия, с втори функциониращ бъбрек, </w:t>
      </w:r>
    </w:p>
    <w:p w14:paraId="4B054837"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 xml:space="preserve">пациенти, при които има или може да настъпи намален обем на телесните течности или соли (включително пациенти, приемащи диуретици), </w:t>
      </w:r>
    </w:p>
    <w:p w14:paraId="14DA40EB" w14:textId="41C8AF99"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 xml:space="preserve">пациенти с чернодробна цироза и/или асцит, </w:t>
      </w:r>
    </w:p>
    <w:p w14:paraId="751ED34A" w14:textId="53B654A6"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color w:val="000000"/>
          <w:lang w:eastAsia="bg-BG"/>
        </w:rPr>
        <w:t>пациенти, подложени на голяма хирургична интервенция или анестезия със средства, които предизвикват хипотония.</w:t>
      </w:r>
    </w:p>
    <w:p w14:paraId="3A9CC38E"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Обикновено се препоръчва коригиране на дехидратацията, хиповолемията или солевия дефицит преди началото на лечението (при пациенти със сърдечна недостатъчност, обаче корекцията трябва да бъде внимателно преценена спрямо риска от обемно натоварване).</w:t>
      </w:r>
    </w:p>
    <w:p w14:paraId="39E10E8F" w14:textId="77777777" w:rsidR="00F925BC" w:rsidRPr="00F925BC" w:rsidRDefault="00F925BC" w:rsidP="00F925BC">
      <w:pPr>
        <w:spacing w:line="240" w:lineRule="auto"/>
        <w:rPr>
          <w:rFonts w:eastAsia="Times New Roman" w:cs="Arial"/>
          <w:b/>
          <w:bCs/>
          <w:i/>
          <w:iCs/>
          <w:color w:val="000000"/>
          <w:lang w:eastAsia="bg-BG"/>
        </w:rPr>
      </w:pPr>
    </w:p>
    <w:p w14:paraId="2B06FA3A" w14:textId="2D83F1D4"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Двойно блокиране наренин-ангиотензин-алдостероновата система (РААС)</w:t>
      </w:r>
    </w:p>
    <w:p w14:paraId="45BA3C2A"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Има данни, че едновременната употреба на АСЕ инхибитори, ангиотензин </w:t>
      </w:r>
      <w:r w:rsidRPr="00F925BC">
        <w:rPr>
          <w:rFonts w:eastAsia="Times New Roman" w:cs="Arial"/>
          <w:color w:val="000000"/>
          <w:lang w:val="en-US"/>
        </w:rPr>
        <w:t>II</w:t>
      </w:r>
      <w:r w:rsidRPr="00F925BC">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F925BC">
        <w:rPr>
          <w:rFonts w:eastAsia="Times New Roman" w:cs="Arial"/>
          <w:color w:val="000000"/>
          <w:lang w:val="en-US"/>
        </w:rPr>
        <w:t>II</w:t>
      </w:r>
      <w:r w:rsidRPr="00F925BC">
        <w:rPr>
          <w:rFonts w:eastAsia="Times New Roman" w:cs="Arial"/>
          <w:color w:val="000000"/>
          <w:lang w:eastAsia="bg-BG"/>
        </w:rPr>
        <w:t>-рецепторни блокери или алискирен (вж. точки 4.5 и 5.1).</w:t>
      </w:r>
    </w:p>
    <w:p w14:paraId="14A300D6"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0B412DE6" w14:textId="24B03256" w:rsidR="00F925BC" w:rsidRPr="00F925BC" w:rsidRDefault="00F925BC" w:rsidP="00F925BC">
      <w:pPr>
        <w:rPr>
          <w:rFonts w:eastAsia="Times New Roman" w:cs="Arial"/>
          <w:color w:val="000000"/>
          <w:lang w:eastAsia="bg-BG"/>
        </w:rPr>
      </w:pPr>
      <w:r w:rsidRPr="00F925BC">
        <w:rPr>
          <w:rFonts w:eastAsia="Times New Roman" w:cs="Arial"/>
          <w:color w:val="000000"/>
          <w:lang w:eastAsia="bg-BG"/>
        </w:rPr>
        <w:t xml:space="preserve">АСЕ инхибитори и ангиотензин </w:t>
      </w:r>
      <w:r w:rsidRPr="00F925BC">
        <w:rPr>
          <w:rFonts w:eastAsia="Times New Roman" w:cs="Arial"/>
          <w:color w:val="000000"/>
          <w:lang w:val="en-US"/>
        </w:rPr>
        <w:t>II</w:t>
      </w:r>
      <w:r w:rsidRPr="00F925BC">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1687C43E" w14:textId="71803E6F" w:rsidR="00F925BC" w:rsidRPr="00F925BC" w:rsidRDefault="00F925BC" w:rsidP="00F925BC">
      <w:pPr>
        <w:rPr>
          <w:rFonts w:eastAsia="Times New Roman" w:cs="Arial"/>
          <w:color w:val="000000"/>
          <w:lang w:eastAsia="bg-BG"/>
        </w:rPr>
      </w:pPr>
    </w:p>
    <w:p w14:paraId="79E3EE10" w14:textId="77777777"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i/>
          <w:iCs/>
          <w:color w:val="000000"/>
          <w:lang w:eastAsia="bg-BG"/>
        </w:rPr>
        <w:t>Преходна или персистираща сърдечна недостатъчност след миокарден инфаркт</w:t>
      </w:r>
    </w:p>
    <w:p w14:paraId="45E1ED36" w14:textId="6348C615" w:rsidR="00F925BC" w:rsidRPr="00F925BC" w:rsidRDefault="00F925BC" w:rsidP="00F925BC">
      <w:pPr>
        <w:pStyle w:val="ListParagraph"/>
        <w:numPr>
          <w:ilvl w:val="0"/>
          <w:numId w:val="40"/>
        </w:numPr>
        <w:spacing w:line="240" w:lineRule="auto"/>
        <w:rPr>
          <w:rFonts w:eastAsia="Times New Roman" w:cs="Arial"/>
          <w:lang w:eastAsia="bg-BG"/>
        </w:rPr>
      </w:pPr>
      <w:r w:rsidRPr="00F925BC">
        <w:rPr>
          <w:rFonts w:eastAsia="Times New Roman" w:cs="Arial"/>
          <w:i/>
          <w:iCs/>
          <w:color w:val="000000"/>
          <w:lang w:eastAsia="bg-BG"/>
        </w:rPr>
        <w:lastRenderedPageBreak/>
        <w:t>Пациенти, изложени на риск от сърдечна или мозъчна исхемия в случай на остра хипотония</w:t>
      </w:r>
    </w:p>
    <w:p w14:paraId="075611F4"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Началото на терапията изисква строг медицински контрол.</w:t>
      </w:r>
    </w:p>
    <w:p w14:paraId="46D6E75E" w14:textId="77777777" w:rsidR="00F925BC" w:rsidRPr="00F925BC" w:rsidRDefault="00F925BC" w:rsidP="00F925BC">
      <w:pPr>
        <w:spacing w:line="240" w:lineRule="auto"/>
        <w:rPr>
          <w:rFonts w:eastAsia="Times New Roman" w:cs="Arial"/>
          <w:i/>
          <w:iCs/>
          <w:color w:val="000000"/>
          <w:u w:val="single"/>
          <w:lang w:eastAsia="bg-BG"/>
        </w:rPr>
      </w:pPr>
    </w:p>
    <w:p w14:paraId="14880467" w14:textId="77777777" w:rsidR="00F925BC" w:rsidRPr="00F925BC" w:rsidRDefault="00F925BC" w:rsidP="00F925BC">
      <w:pPr>
        <w:spacing w:line="240" w:lineRule="auto"/>
        <w:rPr>
          <w:rFonts w:eastAsia="Times New Roman" w:cs="Arial"/>
          <w:i/>
          <w:iCs/>
          <w:color w:val="000000"/>
          <w:u w:val="single"/>
          <w:lang w:eastAsia="bg-BG"/>
        </w:rPr>
      </w:pPr>
      <w:r w:rsidRPr="00F925BC">
        <w:rPr>
          <w:rFonts w:eastAsia="Times New Roman" w:cs="Arial"/>
          <w:i/>
          <w:iCs/>
          <w:color w:val="000000"/>
          <w:u w:val="single"/>
          <w:lang w:eastAsia="bg-BG"/>
        </w:rPr>
        <w:t xml:space="preserve">Пациенти в старческа възраст </w:t>
      </w:r>
    </w:p>
    <w:p w14:paraId="0BFB6F3F" w14:textId="3D76E04F"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Вижте точка 4.2.</w:t>
      </w:r>
    </w:p>
    <w:p w14:paraId="294668F1" w14:textId="77777777" w:rsidR="00F925BC" w:rsidRPr="00F925BC" w:rsidRDefault="00F925BC" w:rsidP="00F925BC">
      <w:pPr>
        <w:spacing w:line="240" w:lineRule="auto"/>
        <w:rPr>
          <w:rFonts w:eastAsia="Times New Roman" w:cs="Arial"/>
          <w:b/>
          <w:bCs/>
          <w:i/>
          <w:iCs/>
          <w:color w:val="000000"/>
          <w:lang w:eastAsia="bg-BG"/>
        </w:rPr>
      </w:pPr>
    </w:p>
    <w:p w14:paraId="47E780CE" w14:textId="411DA4C1"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Хирургични интервенции</w:t>
      </w:r>
    </w:p>
    <w:p w14:paraId="17452C2A"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Препоръчва се, когато е възможно, лечението с инхибитори на ангиотензин конвертиращия ензим като рамиприл, да бъде прекъснато един ден преди хирургичната процедура.</w:t>
      </w:r>
    </w:p>
    <w:p w14:paraId="36890B96" w14:textId="77777777" w:rsidR="00F925BC" w:rsidRPr="00F925BC" w:rsidRDefault="00F925BC" w:rsidP="00F925BC">
      <w:pPr>
        <w:spacing w:line="240" w:lineRule="auto"/>
        <w:rPr>
          <w:rFonts w:eastAsia="Times New Roman" w:cs="Arial"/>
          <w:b/>
          <w:bCs/>
          <w:i/>
          <w:iCs/>
          <w:color w:val="000000"/>
          <w:lang w:eastAsia="bg-BG"/>
        </w:rPr>
      </w:pPr>
    </w:p>
    <w:p w14:paraId="53BC0C1E" w14:textId="0D349D73"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Проследяване на бъбречната функция</w:t>
      </w:r>
    </w:p>
    <w:p w14:paraId="7029B1F6"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Бъбречната функция трябва да бъде оценена преди и по време на терапията и дозата трябва да бъде коригирана особено през първите седмици от лечението. Особено внимателно проследяване се изисква при пациенти с бъбречно увреждане (вж. точка 4.2). Има риск от влошаване на бъбречната функция, особено при пациенти със застойна сърдечна недостатъчност или след бъбречна трансплантация.</w:t>
      </w:r>
    </w:p>
    <w:p w14:paraId="671D2CB3" w14:textId="77777777" w:rsidR="00F925BC" w:rsidRPr="00F925BC" w:rsidRDefault="00F925BC" w:rsidP="00F925BC">
      <w:pPr>
        <w:spacing w:line="240" w:lineRule="auto"/>
        <w:rPr>
          <w:rFonts w:eastAsia="Times New Roman" w:cs="Arial"/>
          <w:b/>
          <w:bCs/>
          <w:i/>
          <w:iCs/>
          <w:color w:val="000000"/>
          <w:lang w:eastAsia="bg-BG"/>
        </w:rPr>
      </w:pPr>
    </w:p>
    <w:p w14:paraId="0A9D2D1F" w14:textId="428E45EB"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Свръхчувствителност/ангиоедем</w:t>
      </w:r>
    </w:p>
    <w:p w14:paraId="4AD8B063"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Ангиоедем е бил съобщаван при пациенти, лекувани с АСЕ инхибитори, включително рамиприл (вж. точка 4.8). Рискът от ангиоедем (напр. оток на дихателните пътища или езика, със или без нарушение на дишането) (вж. точка 4.5), приемащи едновременно лекарства, които могат да предизвикат ангиоедем като </w:t>
      </w:r>
      <w:r w:rsidRPr="00F925BC">
        <w:rPr>
          <w:rFonts w:eastAsia="Times New Roman" w:cs="Arial"/>
          <w:color w:val="000000"/>
          <w:lang w:val="en-US"/>
        </w:rPr>
        <w:t xml:space="preserve">mTOR </w:t>
      </w:r>
      <w:r w:rsidRPr="00F925BC">
        <w:rPr>
          <w:rFonts w:eastAsia="Times New Roman" w:cs="Arial"/>
          <w:color w:val="000000"/>
          <w:lang w:eastAsia="bg-BG"/>
        </w:rPr>
        <w:t xml:space="preserve">(таргетни на рапамицин, при бозайници) инхибитори (напр. темсиролимус, еверолимус, сиролимус); вилдаглиптин или неприлизин </w:t>
      </w:r>
      <w:r w:rsidRPr="00F925BC">
        <w:rPr>
          <w:rFonts w:eastAsia="Times New Roman" w:cs="Arial"/>
          <w:color w:val="000000"/>
          <w:lang w:val="en-US"/>
        </w:rPr>
        <w:t xml:space="preserve">(NEP) </w:t>
      </w:r>
      <w:r w:rsidRPr="00F925BC">
        <w:rPr>
          <w:rFonts w:eastAsia="Times New Roman" w:cs="Arial"/>
          <w:color w:val="000000"/>
          <w:lang w:eastAsia="bg-BG"/>
        </w:rPr>
        <w:t>инхибитори (като рацекадотрил). Комбинирането на рамиприл със сакубитрил/валсартан е противопоказно поради нарастващ риск от ангиоедем (вж. точки 4.3 и 4.5).</w:t>
      </w:r>
    </w:p>
    <w:p w14:paraId="75F3B3A8"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В случай на ангиоедем, приемът на рамиприл трябва да се прекрати.</w:t>
      </w:r>
    </w:p>
    <w:p w14:paraId="2140313D"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Трябва незабавно да се назначи спешна терапия. Пациентът трябва да бъде поставен под наблюдение поне за 12 до 24 часа и изписан след напълно отзвучаване на симптомите.</w:t>
      </w:r>
    </w:p>
    <w:p w14:paraId="30C22FF7" w14:textId="77777777" w:rsidR="00F925BC" w:rsidRPr="00F925BC" w:rsidRDefault="00F925BC" w:rsidP="00F925BC">
      <w:pPr>
        <w:spacing w:line="240" w:lineRule="auto"/>
        <w:rPr>
          <w:rFonts w:eastAsia="Times New Roman" w:cs="Arial"/>
          <w:color w:val="000000"/>
          <w:lang w:eastAsia="bg-BG"/>
        </w:rPr>
      </w:pPr>
    </w:p>
    <w:p w14:paraId="36ADB8B8" w14:textId="6548B12E"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Интестинален ангиоедем е бил съобщаван при пациенти лекувани с АСЕ инхибитори, включително рамиприл (вж. точка 4.8). При тези пациенти се наблюдава абдоминална болка (със или без гадене и повръщане).</w:t>
      </w:r>
    </w:p>
    <w:p w14:paraId="1996BE72" w14:textId="77777777" w:rsidR="00F925BC" w:rsidRPr="00F925BC" w:rsidRDefault="00F925BC" w:rsidP="00F925BC">
      <w:pPr>
        <w:spacing w:line="240" w:lineRule="auto"/>
        <w:rPr>
          <w:rFonts w:eastAsia="Times New Roman" w:cs="Arial"/>
          <w:b/>
          <w:bCs/>
          <w:i/>
          <w:iCs/>
          <w:color w:val="000000"/>
          <w:lang w:eastAsia="bg-BG"/>
        </w:rPr>
      </w:pPr>
    </w:p>
    <w:p w14:paraId="4194303A" w14:textId="24B6F30B"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Анафилактични реакции по време на десенсибилизиране</w:t>
      </w:r>
    </w:p>
    <w:p w14:paraId="6D0B028D"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Вероятността от поява и тежестта на анафилактичните и анафилактоидните реакции към отровата на насекоми и други алергени са повишени при АСЕ инхибиране. Трябва да се има предвид временно прекъсване на рамиприл преди десенсибилизация.</w:t>
      </w:r>
    </w:p>
    <w:p w14:paraId="06DE5526" w14:textId="77777777" w:rsidR="00F925BC" w:rsidRPr="00F925BC" w:rsidRDefault="00F925BC" w:rsidP="00F925BC">
      <w:pPr>
        <w:spacing w:line="240" w:lineRule="auto"/>
        <w:rPr>
          <w:rFonts w:eastAsia="Times New Roman" w:cs="Arial"/>
          <w:b/>
          <w:bCs/>
          <w:i/>
          <w:iCs/>
          <w:color w:val="000000"/>
          <w:lang w:eastAsia="bg-BG"/>
        </w:rPr>
      </w:pPr>
    </w:p>
    <w:p w14:paraId="5A6DC120" w14:textId="4714DFE6"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Серумен калий/хиперкалиемия</w:t>
      </w:r>
    </w:p>
    <w:p w14:paraId="3F96C3AA"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При някои пациенти, лекувани с АСЕ инхибитори, включително </w:t>
      </w:r>
      <w:r w:rsidRPr="00F925BC">
        <w:rPr>
          <w:rFonts w:eastAsia="Times New Roman" w:cs="Arial"/>
          <w:i/>
          <w:iCs/>
          <w:color w:val="000000"/>
          <w:lang w:eastAsia="bg-BG"/>
        </w:rPr>
        <w:t>с</w:t>
      </w:r>
      <w:r w:rsidRPr="00F925BC">
        <w:rPr>
          <w:rFonts w:eastAsia="Times New Roman" w:cs="Arial"/>
          <w:color w:val="000000"/>
          <w:lang w:eastAsia="bg-BG"/>
        </w:rPr>
        <w:t xml:space="preserve"> рамиприл, се наблюдава хиперкалиемия. Риск от хиперкалиемия има при пациенти с бъбречна недостатъчност, на възраст &gt; 70 години, с неконтролиран захарен диабет, хипоалдостеронизъм или такива, приемащи калиеви соли, калий съхраняващи диуретици и други активни вещества, повишаващи плазмените нива на калия, или състояния като дехидратация, остра сърдечна декомпенсация, метаболитна ацидоза.</w:t>
      </w:r>
    </w:p>
    <w:p w14:paraId="1DCE8415" w14:textId="77777777" w:rsidR="00F925BC" w:rsidRPr="00F925BC" w:rsidRDefault="00F925BC" w:rsidP="00F925BC">
      <w:pPr>
        <w:spacing w:line="240" w:lineRule="auto"/>
        <w:rPr>
          <w:rFonts w:eastAsia="Times New Roman" w:cs="Arial"/>
          <w:color w:val="000000"/>
          <w:lang w:eastAsia="bg-BG"/>
        </w:rPr>
      </w:pPr>
    </w:p>
    <w:p w14:paraId="500CA21A" w14:textId="7D382F30"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lastRenderedPageBreak/>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При пациенти с нарушена бъбречна функция обаче и/или при пациенти,</w:t>
      </w:r>
      <w:r w:rsidRPr="00F925BC">
        <w:rPr>
          <w:rFonts w:eastAsia="Times New Roman" w:cs="Arial"/>
          <w:color w:val="000000"/>
          <w:lang w:val="en-US"/>
        </w:rPr>
        <w:t xml:space="preserve"> </w:t>
      </w:r>
      <w:r w:rsidRPr="00F925BC">
        <w:rPr>
          <w:rFonts w:eastAsia="Times New Roman" w:cs="Arial"/>
          <w:color w:val="000000"/>
          <w:lang w:eastAsia="bg-BG"/>
        </w:rPr>
        <w:t>приемащи хранителни добавки, съдържащи калий (включително заместители на солта), калий- съхраняващи диуретици други плазмени калиеви активни вещества: (напр. хепарин</w:t>
      </w:r>
      <w:r w:rsidRPr="00F925BC">
        <w:rPr>
          <w:rFonts w:eastAsia="Times New Roman" w:cs="Arial"/>
          <w:lang w:val="en-US" w:eastAsia="bg-BG"/>
        </w:rPr>
        <w:t xml:space="preserve"> </w:t>
      </w:r>
      <w:r w:rsidRPr="00F925BC">
        <w:rPr>
          <w:rFonts w:eastAsia="Times New Roman" w:cs="Arial"/>
          <w:color w:val="000000"/>
          <w:lang w:eastAsia="bg-BG"/>
        </w:rPr>
        <w:t>триметоприм или ко-тримоксазол, известни също като триметоприм + сулфаметаксазол), и особено антагонисти на алдостерона или ангиотензин-рецепторни блокери, може да възникне хиперкалиемия. КалиЙ-съхраняващите диуретици и ангиотензин-рецепторните блокери трябва</w:t>
      </w:r>
      <w:r w:rsidRPr="00F925BC">
        <w:rPr>
          <w:rFonts w:eastAsia="Times New Roman" w:cs="Arial"/>
          <w:color w:val="000000"/>
          <w:lang w:val="en-US" w:eastAsia="bg-BG"/>
        </w:rPr>
        <w:t xml:space="preserve"> </w:t>
      </w:r>
      <w:r w:rsidRPr="00F925BC">
        <w:rPr>
          <w:rFonts w:eastAsia="Times New Roman" w:cs="Arial"/>
          <w:color w:val="000000"/>
          <w:lang w:eastAsia="bg-BG"/>
        </w:rPr>
        <w:t>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7CF51377" w14:textId="77777777" w:rsidR="00F925BC" w:rsidRPr="00F925BC" w:rsidRDefault="00F925BC" w:rsidP="00F925BC">
      <w:pPr>
        <w:spacing w:line="240" w:lineRule="auto"/>
        <w:rPr>
          <w:rFonts w:eastAsia="Times New Roman" w:cs="Arial"/>
          <w:color w:val="000000"/>
          <w:lang w:eastAsia="bg-BG"/>
        </w:rPr>
      </w:pPr>
    </w:p>
    <w:p w14:paraId="0FB393E5" w14:textId="03E17FEB"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Ако едновременната употреба на посочените средства се счита за подходяща, се препоръчва редовно проследяване на серумния калий (вж. точка 4.5).</w:t>
      </w:r>
    </w:p>
    <w:p w14:paraId="4CB982F3" w14:textId="77777777" w:rsidR="00F925BC" w:rsidRPr="00F925BC" w:rsidRDefault="00F925BC" w:rsidP="00F925BC">
      <w:pPr>
        <w:spacing w:line="240" w:lineRule="auto"/>
        <w:rPr>
          <w:rFonts w:eastAsia="Times New Roman" w:cs="Arial"/>
          <w:b/>
          <w:bCs/>
          <w:i/>
          <w:iCs/>
          <w:color w:val="000000"/>
          <w:lang w:eastAsia="bg-BG"/>
        </w:rPr>
      </w:pPr>
    </w:p>
    <w:p w14:paraId="773D6080" w14:textId="6F773F05"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Хипонатриемия</w:t>
      </w:r>
    </w:p>
    <w:p w14:paraId="08AC0411"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 xml:space="preserve">При някои пациенти, лекувани с рамиприл е наблюдаван синдром на неадекватна секреция на антидиуретичния хормон </w:t>
      </w:r>
      <w:r w:rsidRPr="00F925BC">
        <w:rPr>
          <w:rFonts w:eastAsia="Times New Roman" w:cs="Arial"/>
          <w:color w:val="000000"/>
          <w:lang w:val="en-US"/>
        </w:rPr>
        <w:t xml:space="preserve">(SIADH) </w:t>
      </w:r>
      <w:r w:rsidRPr="00F925BC">
        <w:rPr>
          <w:rFonts w:eastAsia="Times New Roman" w:cs="Arial"/>
          <w:color w:val="000000"/>
          <w:lang w:eastAsia="bg-BG"/>
        </w:rPr>
        <w:t>и последваща хипонатриемия. При пациенти в старческа възраст и други пациенти с риск от хипонатриемия, се препоръчва редовно проследяване на серумните нива на натрия.</w:t>
      </w:r>
    </w:p>
    <w:p w14:paraId="3DFDA721" w14:textId="77777777" w:rsidR="00F925BC" w:rsidRPr="00F925BC" w:rsidRDefault="00F925BC" w:rsidP="00F925BC">
      <w:pPr>
        <w:spacing w:line="240" w:lineRule="auto"/>
        <w:rPr>
          <w:rFonts w:eastAsia="Times New Roman" w:cs="Arial"/>
          <w:b/>
          <w:bCs/>
          <w:i/>
          <w:iCs/>
          <w:color w:val="000000"/>
          <w:lang w:eastAsia="bg-BG"/>
        </w:rPr>
      </w:pPr>
    </w:p>
    <w:p w14:paraId="4A24B380" w14:textId="60F8A5CE"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Неутропения/агранулоцитоза</w:t>
      </w:r>
    </w:p>
    <w:p w14:paraId="7D071F98"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Рядко са наблюдавани неутропения/агранулоцитоза, съобщавана е също и костномозъчна супресия, както и тромбоцитопения и анемия. Препоръчва се проследяване на броя бели кръвни клетки, за да се установи евентуална левкопения. По-често проследяване се препоръчва в началото на лечението и при пациенти с нарушена бъбречна функция, със съпътстваща колагеноза (напр. лупус еритематодес или склеродермия), и при лекувани с други лекарствени продукти, които могат да причинят промени в кръвната картина (вж. точки 4.5 и 4.8).</w:t>
      </w:r>
    </w:p>
    <w:p w14:paraId="1BFC6E6D" w14:textId="77777777" w:rsidR="00F925BC" w:rsidRPr="00F925BC" w:rsidRDefault="00F925BC" w:rsidP="00F925BC">
      <w:pPr>
        <w:spacing w:line="240" w:lineRule="auto"/>
        <w:rPr>
          <w:rFonts w:eastAsia="Times New Roman" w:cs="Arial"/>
          <w:b/>
          <w:bCs/>
          <w:i/>
          <w:iCs/>
          <w:color w:val="000000"/>
          <w:lang w:eastAsia="bg-BG"/>
        </w:rPr>
      </w:pPr>
    </w:p>
    <w:p w14:paraId="15541237" w14:textId="470167EB"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Етнически различия</w:t>
      </w:r>
    </w:p>
    <w:p w14:paraId="554B9588"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АСЕ инхибиторите причиняват ангиоедем с по-висока честота при чернокожи пациенти, отколкото при останалите.</w:t>
      </w:r>
    </w:p>
    <w:p w14:paraId="4FB45C2B"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Както и другите АСЕ инхибитори, рамиприл може да бъде по-малко ефективен при понижаване на кръвното налягане при чернокожи пациенти, отколкото при останалите, поради по-честото наличие на хипертония с ниски ренинови нива при чернокожата популация.</w:t>
      </w:r>
    </w:p>
    <w:p w14:paraId="2E73D564" w14:textId="77777777" w:rsidR="00F925BC" w:rsidRPr="00F925BC" w:rsidRDefault="00F925BC" w:rsidP="00F925BC">
      <w:pPr>
        <w:spacing w:line="240" w:lineRule="auto"/>
        <w:rPr>
          <w:rFonts w:eastAsia="Times New Roman" w:cs="Arial"/>
          <w:b/>
          <w:bCs/>
          <w:i/>
          <w:iCs/>
          <w:color w:val="000000"/>
          <w:lang w:eastAsia="bg-BG"/>
        </w:rPr>
      </w:pPr>
    </w:p>
    <w:p w14:paraId="5540CEB0" w14:textId="3E250D16"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Кашлица</w:t>
      </w:r>
    </w:p>
    <w:p w14:paraId="32461373"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При употребата на АСЕ инхибитори се съобщава за поява на кашлица. Характерно е, че тя е непродуктивна, продължителна и отзвучава след прекратяване на терапията. Индуцираната от АСЕ инхибитор кашлица, трябва да се разглежда като част от диференциалната диагноза на кашлицата.</w:t>
      </w:r>
    </w:p>
    <w:p w14:paraId="7D94A4E3" w14:textId="77777777" w:rsidR="00F925BC" w:rsidRPr="00F925BC" w:rsidRDefault="00F925BC" w:rsidP="00F925BC">
      <w:pPr>
        <w:spacing w:line="240" w:lineRule="auto"/>
        <w:rPr>
          <w:rFonts w:eastAsia="Times New Roman" w:cs="Arial"/>
          <w:b/>
          <w:bCs/>
          <w:i/>
          <w:iCs/>
          <w:color w:val="000000"/>
          <w:lang w:eastAsia="bg-BG"/>
        </w:rPr>
      </w:pPr>
    </w:p>
    <w:p w14:paraId="4564F0A1" w14:textId="2CCE3359" w:rsidR="00F925BC" w:rsidRPr="00F925BC" w:rsidRDefault="00F925BC" w:rsidP="00F925BC">
      <w:pPr>
        <w:spacing w:line="240" w:lineRule="auto"/>
        <w:rPr>
          <w:rFonts w:eastAsia="Times New Roman" w:cs="Arial"/>
          <w:lang w:eastAsia="bg-BG"/>
        </w:rPr>
      </w:pPr>
      <w:r w:rsidRPr="00F925BC">
        <w:rPr>
          <w:rFonts w:eastAsia="Times New Roman" w:cs="Arial"/>
          <w:b/>
          <w:bCs/>
          <w:i/>
          <w:iCs/>
          <w:color w:val="000000"/>
          <w:lang w:eastAsia="bg-BG"/>
        </w:rPr>
        <w:t>Помощни вещества</w:t>
      </w:r>
    </w:p>
    <w:p w14:paraId="4C701FC3" w14:textId="77777777"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Лактоза</w:t>
      </w:r>
    </w:p>
    <w:p w14:paraId="047F5C6D"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w:t>
      </w:r>
      <w:r w:rsidRPr="00F925BC">
        <w:rPr>
          <w:rFonts w:eastAsia="Times New Roman" w:cs="Arial"/>
          <w:color w:val="000000"/>
          <w:lang w:val="en-US"/>
        </w:rPr>
        <w:t>o</w:t>
      </w:r>
      <w:r w:rsidRPr="00F925BC">
        <w:rPr>
          <w:rFonts w:eastAsia="Times New Roman" w:cs="Arial"/>
          <w:color w:val="000000"/>
          <w:lang w:eastAsia="bg-BG"/>
        </w:rPr>
        <w:t>-галактозна малабсорбция не трябва да приемат това лекарство.</w:t>
      </w:r>
    </w:p>
    <w:p w14:paraId="258AED40" w14:textId="77777777" w:rsidR="00F925BC" w:rsidRPr="00F925BC" w:rsidRDefault="00F925BC" w:rsidP="00F925BC">
      <w:pPr>
        <w:spacing w:line="240" w:lineRule="auto"/>
        <w:rPr>
          <w:rFonts w:eastAsia="Times New Roman" w:cs="Arial"/>
          <w:i/>
          <w:iCs/>
          <w:color w:val="000000"/>
          <w:lang w:eastAsia="bg-BG"/>
        </w:rPr>
      </w:pPr>
    </w:p>
    <w:p w14:paraId="25097A3F" w14:textId="4A868436" w:rsidR="00F925BC" w:rsidRPr="00F925BC" w:rsidRDefault="00F925BC" w:rsidP="00F925BC">
      <w:pPr>
        <w:spacing w:line="240" w:lineRule="auto"/>
        <w:rPr>
          <w:rFonts w:eastAsia="Times New Roman" w:cs="Arial"/>
          <w:lang w:eastAsia="bg-BG"/>
        </w:rPr>
      </w:pPr>
      <w:r w:rsidRPr="00F925BC">
        <w:rPr>
          <w:rFonts w:eastAsia="Times New Roman" w:cs="Arial"/>
          <w:i/>
          <w:iCs/>
          <w:color w:val="000000"/>
          <w:lang w:eastAsia="bg-BG"/>
        </w:rPr>
        <w:t>Натрий</w:t>
      </w:r>
    </w:p>
    <w:p w14:paraId="77A382A6" w14:textId="77777777" w:rsidR="00F925BC" w:rsidRPr="00F925BC" w:rsidRDefault="00F925BC" w:rsidP="00F925BC">
      <w:pPr>
        <w:spacing w:line="240" w:lineRule="auto"/>
        <w:rPr>
          <w:rFonts w:eastAsia="Times New Roman" w:cs="Arial"/>
          <w:lang w:eastAsia="bg-BG"/>
        </w:rPr>
      </w:pPr>
      <w:r w:rsidRPr="00F925BC">
        <w:rPr>
          <w:rFonts w:eastAsia="Times New Roman" w:cs="Arial"/>
          <w:color w:val="000000"/>
          <w:lang w:eastAsia="bg-BG"/>
        </w:rPr>
        <w:lastRenderedPageBreak/>
        <w:t xml:space="preserve">Това лекарство съдържа по-малко от 1 </w:t>
      </w:r>
      <w:r w:rsidRPr="00F925BC">
        <w:rPr>
          <w:rFonts w:eastAsia="Times New Roman" w:cs="Arial"/>
          <w:color w:val="000000"/>
          <w:lang w:val="en-US"/>
        </w:rPr>
        <w:t xml:space="preserve">mmol </w:t>
      </w:r>
      <w:r w:rsidRPr="00F925BC">
        <w:rPr>
          <w:rFonts w:eastAsia="Times New Roman" w:cs="Arial"/>
          <w:color w:val="000000"/>
          <w:lang w:eastAsia="bg-BG"/>
        </w:rPr>
        <w:t xml:space="preserve">натрий (23 </w:t>
      </w:r>
      <w:r w:rsidRPr="00F925BC">
        <w:rPr>
          <w:rFonts w:eastAsia="Times New Roman" w:cs="Arial"/>
          <w:color w:val="000000"/>
          <w:lang w:val="en-US"/>
        </w:rPr>
        <w:t xml:space="preserve">mg) </w:t>
      </w:r>
      <w:r w:rsidRPr="00F925BC">
        <w:rPr>
          <w:rFonts w:eastAsia="Times New Roman" w:cs="Arial"/>
          <w:color w:val="000000"/>
          <w:lang w:eastAsia="bg-BG"/>
        </w:rPr>
        <w:t>на таблетка, т.е. може да се каже, че практически не съдържа натрий.</w:t>
      </w:r>
    </w:p>
    <w:p w14:paraId="5FE82634" w14:textId="56D80A3F" w:rsidR="00F925BC" w:rsidRPr="00F925BC" w:rsidRDefault="00F925BC" w:rsidP="00F925BC">
      <w:pPr>
        <w:rPr>
          <w:lang w:val="en-US"/>
        </w:rPr>
      </w:pPr>
    </w:p>
    <w:p w14:paraId="7ABEA351" w14:textId="3046D6FE"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8B28F17" w14:textId="65281D66" w:rsidR="00F925BC" w:rsidRDefault="00F925BC" w:rsidP="00F925BC"/>
    <w:p w14:paraId="3BABD629" w14:textId="77777777"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F925BC">
        <w:rPr>
          <w:rFonts w:eastAsia="Times New Roman" w:cs="Arial"/>
          <w:color w:val="000000"/>
          <w:lang w:val="en-US"/>
        </w:rPr>
        <w:t>II</w:t>
      </w:r>
      <w:r w:rsidRPr="00F925BC">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точка 4.3, 4.4 и 5.1).</w:t>
      </w:r>
    </w:p>
    <w:p w14:paraId="0AA89B72" w14:textId="77777777" w:rsidR="00F925BC" w:rsidRPr="00F925BC" w:rsidRDefault="00F925BC" w:rsidP="00F925BC">
      <w:pPr>
        <w:spacing w:line="240" w:lineRule="auto"/>
        <w:rPr>
          <w:rFonts w:eastAsia="Times New Roman" w:cs="Arial"/>
          <w:i/>
          <w:iCs/>
          <w:color w:val="000000"/>
          <w:lang w:eastAsia="bg-BG"/>
        </w:rPr>
      </w:pPr>
    </w:p>
    <w:p w14:paraId="4A43BC0F" w14:textId="67AA4868"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Лекарства, повишаващи риска от ангиоедем</w:t>
      </w:r>
    </w:p>
    <w:p w14:paraId="4EFCCD29" w14:textId="016019D8" w:rsidR="00F925BC" w:rsidRPr="00F925BC" w:rsidRDefault="00F925BC" w:rsidP="00F925BC">
      <w:pPr>
        <w:rPr>
          <w:rFonts w:eastAsia="Times New Roman" w:cs="Arial"/>
          <w:color w:val="000000"/>
          <w:lang w:eastAsia="bg-BG"/>
        </w:rPr>
      </w:pPr>
      <w:r w:rsidRPr="00F925BC">
        <w:rPr>
          <w:rFonts w:eastAsia="Times New Roman" w:cs="Arial"/>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 Лечение с рамиприл не трябва да</w:t>
      </w:r>
      <w:r w:rsidRPr="00F925BC">
        <w:rPr>
          <w:rFonts w:eastAsia="Times New Roman" w:cs="Arial"/>
          <w:color w:val="000000"/>
          <w:vertAlign w:val="superscript"/>
          <w:lang w:eastAsia="bg-BG"/>
        </w:rPr>
        <w:t xml:space="preserve"> </w:t>
      </w:r>
      <w:r w:rsidRPr="00F925BC">
        <w:rPr>
          <w:rFonts w:eastAsia="Times New Roman" w:cs="Arial"/>
          <w:color w:val="000000"/>
          <w:lang w:eastAsia="bg-BG"/>
        </w:rPr>
        <w:t>се започва по-рано от 36 часа след последната доза сакубитрил/валсартан. Лечението със сакубитрил/валсартан не трябва да се започва по-рано от 36 часа след последната доза рамиприл.</w:t>
      </w:r>
    </w:p>
    <w:p w14:paraId="5ECC1423" w14:textId="562D640C" w:rsidR="00F925BC" w:rsidRPr="00F925BC" w:rsidRDefault="00F925BC" w:rsidP="00F925BC">
      <w:pPr>
        <w:rPr>
          <w:rFonts w:eastAsia="Times New Roman" w:cs="Arial"/>
          <w:color w:val="000000"/>
          <w:lang w:eastAsia="bg-BG"/>
        </w:rPr>
      </w:pPr>
    </w:p>
    <w:p w14:paraId="1710F1BE" w14:textId="77777777"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Екстракорпорално лечение,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 сулфат, поради повишен риск от тежка анафилактоидна реакция (вж. точка 4.3). Ако се изисква подобно лечение, необходимо е да се обмисли използване на различен тип диализна мембрана или различен клас антихипертензивно средство.</w:t>
      </w:r>
    </w:p>
    <w:p w14:paraId="78798BC3" w14:textId="77777777" w:rsidR="00F925BC" w:rsidRPr="00F925BC" w:rsidRDefault="00F925BC" w:rsidP="00F925BC">
      <w:pPr>
        <w:spacing w:line="240" w:lineRule="auto"/>
        <w:rPr>
          <w:rFonts w:eastAsia="Times New Roman" w:cs="Arial"/>
          <w:i/>
          <w:iCs/>
          <w:color w:val="000000"/>
          <w:lang w:eastAsia="bg-BG"/>
        </w:rPr>
      </w:pPr>
    </w:p>
    <w:p w14:paraId="0016CD5C" w14:textId="60820EAA"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 xml:space="preserve">Калиеви соли, хепарин, калий-съхраняващи диуретици и други активни вещества повишаващи плазмените нива на калия (включително ангиотензин </w:t>
      </w:r>
      <w:r w:rsidRPr="00F925BC">
        <w:rPr>
          <w:rFonts w:eastAsia="Times New Roman" w:cs="Arial"/>
          <w:i/>
          <w:iCs/>
          <w:color w:val="000000"/>
          <w:lang w:val="en-US"/>
        </w:rPr>
        <w:t xml:space="preserve">U </w:t>
      </w:r>
      <w:r w:rsidRPr="00F925BC">
        <w:rPr>
          <w:rFonts w:eastAsia="Times New Roman" w:cs="Arial"/>
          <w:i/>
          <w:iCs/>
          <w:color w:val="000000"/>
          <w:lang w:eastAsia="bg-BG"/>
        </w:rPr>
        <w:t>антагонисти, триметоприм и в комбинация с фиксирана доза сулфаметоксазол, такролимус, циклоспорин):</w:t>
      </w:r>
      <w:r w:rsidRPr="00F925BC">
        <w:rPr>
          <w:rFonts w:eastAsia="Times New Roman" w:cs="Arial"/>
          <w:color w:val="000000"/>
          <w:lang w:eastAsia="bg-BG"/>
        </w:rPr>
        <w:t xml:space="preserve"> възможно </w:t>
      </w:r>
      <w:r w:rsidRPr="00F925BC">
        <w:rPr>
          <w:rFonts w:eastAsia="Times New Roman" w:cs="Arial"/>
          <w:i/>
          <w:iCs/>
          <w:color w:val="000000"/>
          <w:lang w:eastAsia="bg-BG"/>
        </w:rPr>
        <w:t>е</w:t>
      </w:r>
      <w:r w:rsidRPr="00F925BC">
        <w:rPr>
          <w:rFonts w:eastAsia="Times New Roman" w:cs="Arial"/>
          <w:color w:val="000000"/>
          <w:lang w:eastAsia="bg-BG"/>
        </w:rPr>
        <w:t xml:space="preserve"> да се прояви хиперкалиемия, поради което се изисква стриктно проследяване на серумния калий.</w:t>
      </w:r>
    </w:p>
    <w:p w14:paraId="43B2094C" w14:textId="77777777" w:rsidR="00F925BC" w:rsidRPr="00F925BC" w:rsidRDefault="00F925BC" w:rsidP="00F925BC">
      <w:pPr>
        <w:spacing w:line="240" w:lineRule="auto"/>
        <w:rPr>
          <w:rFonts w:eastAsia="Times New Roman" w:cs="Arial"/>
          <w:color w:val="000000"/>
          <w:lang w:eastAsia="bg-BG"/>
        </w:rPr>
      </w:pPr>
    </w:p>
    <w:p w14:paraId="05D0F2E8" w14:textId="69F3A947"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Въпреки че серумният калий обикновено остава в рамките на нормалните граници, при някои пациенти, лекувани с рамиприл, може да възникне хиперкалиемия. Употребата на калий- съхраняващи диуретици (напр. спиронолактон,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рамиприл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рамиприл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579C87A6" w14:textId="77777777" w:rsidR="00F925BC" w:rsidRPr="00F925BC" w:rsidRDefault="00F925BC" w:rsidP="00F925BC">
      <w:pPr>
        <w:spacing w:line="240" w:lineRule="auto"/>
        <w:rPr>
          <w:rFonts w:eastAsia="Times New Roman" w:cs="Arial"/>
          <w:i/>
          <w:iCs/>
          <w:color w:val="000000"/>
          <w:lang w:eastAsia="bg-BG"/>
        </w:rPr>
      </w:pPr>
    </w:p>
    <w:p w14:paraId="3C034F67" w14:textId="201B6FCB"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 xml:space="preserve">Антихипертензивни средства (напр. диуретици) и други вещества, които могат да понижат артериалното налягане (напр. нитрати, трициклични антидепресанти, </w:t>
      </w:r>
      <w:r w:rsidRPr="00F925BC">
        <w:rPr>
          <w:rFonts w:eastAsia="Times New Roman" w:cs="Arial"/>
          <w:i/>
          <w:iCs/>
          <w:color w:val="000000"/>
          <w:lang w:eastAsia="bg-BG"/>
        </w:rPr>
        <w:lastRenderedPageBreak/>
        <w:t>анестетици, прекомерен прием на алкохол, баклофен, алфузозин, доксазозин, празозин, тамсулозин, теразозин):</w:t>
      </w:r>
      <w:r w:rsidRPr="00F925BC">
        <w:rPr>
          <w:rFonts w:eastAsia="Times New Roman" w:cs="Arial"/>
          <w:color w:val="000000"/>
          <w:lang w:eastAsia="bg-BG"/>
        </w:rPr>
        <w:t xml:space="preserve"> може да се очаква увеличаване на риска от хипотония (вж. точка 4.2 за диуретици).</w:t>
      </w:r>
    </w:p>
    <w:p w14:paraId="282F9D5C" w14:textId="77777777" w:rsidR="00F925BC" w:rsidRPr="00F925BC" w:rsidRDefault="00F925BC" w:rsidP="00F925BC">
      <w:pPr>
        <w:spacing w:line="240" w:lineRule="auto"/>
        <w:rPr>
          <w:rFonts w:eastAsia="Times New Roman" w:cs="Arial"/>
          <w:i/>
          <w:iCs/>
          <w:color w:val="000000"/>
          <w:lang w:eastAsia="bg-BG"/>
        </w:rPr>
      </w:pPr>
    </w:p>
    <w:p w14:paraId="6609EE7D" w14:textId="2B0CE165"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 xml:space="preserve">Вазопресорни симпатикомиметици и други вещества (напр. изопротеренол, добутамин, допамин, епинефрин), които могат да намалят антихипертензивния ефект на рамиприл: </w:t>
      </w:r>
      <w:r w:rsidRPr="00F925BC">
        <w:rPr>
          <w:rFonts w:eastAsia="Times New Roman" w:cs="Arial"/>
          <w:color w:val="000000"/>
          <w:lang w:eastAsia="bg-BG"/>
        </w:rPr>
        <w:t>препоръчва се стриктно проследяване на артериалното налягане.</w:t>
      </w:r>
    </w:p>
    <w:p w14:paraId="1BB42BFD" w14:textId="77777777" w:rsidR="00F925BC" w:rsidRPr="00F925BC" w:rsidRDefault="00F925BC" w:rsidP="00F925BC">
      <w:pPr>
        <w:spacing w:line="240" w:lineRule="auto"/>
        <w:rPr>
          <w:rFonts w:eastAsia="Times New Roman" w:cs="Arial"/>
          <w:i/>
          <w:iCs/>
          <w:color w:val="000000"/>
          <w:lang w:eastAsia="bg-BG"/>
        </w:rPr>
      </w:pPr>
    </w:p>
    <w:p w14:paraId="3C5319C4" w14:textId="5B104F04" w:rsidR="00F925BC" w:rsidRPr="00F925BC" w:rsidRDefault="00F925BC" w:rsidP="00F925BC">
      <w:pPr>
        <w:spacing w:line="240" w:lineRule="auto"/>
        <w:rPr>
          <w:rFonts w:eastAsia="Times New Roman" w:cs="Arial"/>
          <w:i/>
          <w:iCs/>
          <w:color w:val="000000"/>
          <w:lang w:eastAsia="bg-BG"/>
        </w:rPr>
      </w:pPr>
      <w:r w:rsidRPr="00F925BC">
        <w:rPr>
          <w:rFonts w:eastAsia="Times New Roman" w:cs="Arial"/>
          <w:i/>
          <w:iCs/>
          <w:color w:val="000000"/>
          <w:lang w:eastAsia="bg-BG"/>
        </w:rPr>
        <w:t xml:space="preserve">Алопуринол, имуносупресори, кортикостероиди, прокаинамид, цитостатици и други вещества, които </w:t>
      </w:r>
    </w:p>
    <w:p w14:paraId="260F1165" w14:textId="45B498B4"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могат да променят броя на кръвните клетки:</w:t>
      </w:r>
      <w:r w:rsidRPr="00F925BC">
        <w:rPr>
          <w:rFonts w:eastAsia="Times New Roman" w:cs="Arial"/>
          <w:color w:val="000000"/>
          <w:lang w:eastAsia="bg-BG"/>
        </w:rPr>
        <w:t xml:space="preserve"> повишена вероятност от поява на хематологични реакции (вж. точка 4.4).</w:t>
      </w:r>
    </w:p>
    <w:p w14:paraId="5C686C73" w14:textId="77777777" w:rsidR="00F925BC" w:rsidRPr="00F925BC" w:rsidRDefault="00F925BC" w:rsidP="00F925BC">
      <w:pPr>
        <w:spacing w:line="240" w:lineRule="auto"/>
        <w:rPr>
          <w:rFonts w:eastAsia="Times New Roman" w:cs="Arial"/>
          <w:i/>
          <w:iCs/>
          <w:color w:val="000000"/>
          <w:lang w:eastAsia="bg-BG"/>
        </w:rPr>
      </w:pPr>
    </w:p>
    <w:p w14:paraId="2B1B1D52" w14:textId="6A085316"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Литиеви соли:</w:t>
      </w:r>
      <w:r w:rsidRPr="00F925BC">
        <w:rPr>
          <w:rFonts w:eastAsia="Times New Roman" w:cs="Arial"/>
          <w:color w:val="000000"/>
          <w:lang w:eastAsia="bg-BG"/>
        </w:rPr>
        <w:t xml:space="preserve"> екскрецията на лития може да бъде понижена от АСЕ инхибиторите и поради това токсичността на лития може да се увеличи. Нивата на лития трябва да се проследяват.</w:t>
      </w:r>
    </w:p>
    <w:p w14:paraId="286FAEF9" w14:textId="77777777" w:rsidR="00F925BC" w:rsidRPr="00F925BC" w:rsidRDefault="00F925BC" w:rsidP="00F925BC">
      <w:pPr>
        <w:spacing w:line="240" w:lineRule="auto"/>
        <w:rPr>
          <w:rFonts w:eastAsia="Times New Roman" w:cs="Arial"/>
          <w:i/>
          <w:iCs/>
          <w:color w:val="000000"/>
          <w:lang w:eastAsia="bg-BG"/>
        </w:rPr>
      </w:pPr>
    </w:p>
    <w:p w14:paraId="4A408D28" w14:textId="2D15627A"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Антидиабетни средства, включително инсулин:</w:t>
      </w:r>
      <w:r w:rsidRPr="00F925BC">
        <w:rPr>
          <w:rFonts w:eastAsia="Times New Roman" w:cs="Arial"/>
          <w:color w:val="000000"/>
          <w:lang w:eastAsia="bg-BG"/>
        </w:rPr>
        <w:t xml:space="preserve"> могат да възникнат хипогликемични реакции. Препоръчва се проследяване на стойностите на кръвната захар.</w:t>
      </w:r>
    </w:p>
    <w:p w14:paraId="72A7C14E" w14:textId="77777777" w:rsidR="00F925BC" w:rsidRPr="00F925BC" w:rsidRDefault="00F925BC" w:rsidP="00F925BC">
      <w:pPr>
        <w:spacing w:line="240" w:lineRule="auto"/>
        <w:rPr>
          <w:rFonts w:eastAsia="Times New Roman" w:cs="Arial"/>
          <w:i/>
          <w:iCs/>
          <w:color w:val="000000"/>
          <w:lang w:eastAsia="bg-BG"/>
        </w:rPr>
      </w:pPr>
    </w:p>
    <w:p w14:paraId="2974247B" w14:textId="5F985953"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Нестероидни противовъзпалителни средства и ацетилсалицилова киселина:</w:t>
      </w:r>
      <w:r w:rsidRPr="00F925BC">
        <w:rPr>
          <w:rFonts w:eastAsia="Times New Roman" w:cs="Arial"/>
          <w:color w:val="000000"/>
          <w:lang w:eastAsia="bg-BG"/>
        </w:rPr>
        <w:t xml:space="preserve"> може да се очаква намаляване на антихипертензивния ефект на рамиприл. Освен това, съпътстващото лечение с АСЕ инхибитори и НСПВС може да доведе до повишен риск от влошаване на бъбречната функция и да увеличи калиемията.</w:t>
      </w:r>
    </w:p>
    <w:p w14:paraId="7B4D5A39" w14:textId="77777777" w:rsidR="00F925BC" w:rsidRPr="00F925BC" w:rsidRDefault="00F925BC" w:rsidP="00F925BC">
      <w:pPr>
        <w:spacing w:line="240" w:lineRule="auto"/>
        <w:rPr>
          <w:rFonts w:eastAsia="Times New Roman" w:cs="Arial"/>
          <w:i/>
          <w:iCs/>
          <w:color w:val="000000"/>
          <w:lang w:eastAsia="bg-BG"/>
        </w:rPr>
      </w:pPr>
    </w:p>
    <w:p w14:paraId="67A83A34" w14:textId="28AFCCB7"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Двойно блокиране на рения -ангиотензин алдостероновата система (РААС)</w:t>
      </w:r>
    </w:p>
    <w:p w14:paraId="3BCDCD95" w14:textId="618B436D" w:rsidR="00F925BC" w:rsidRPr="00F925BC" w:rsidRDefault="00F925BC" w:rsidP="00F925BC">
      <w:pPr>
        <w:spacing w:line="240" w:lineRule="auto"/>
        <w:rPr>
          <w:rFonts w:eastAsia="Times New Roman" w:cs="Arial"/>
          <w:color w:val="000000"/>
          <w:lang w:eastAsia="bg-BG"/>
        </w:rPr>
      </w:pPr>
      <w:r w:rsidRPr="00F925BC">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F925BC">
        <w:rPr>
          <w:rFonts w:eastAsia="Times New Roman" w:cs="Arial"/>
          <w:color w:val="000000"/>
          <w:lang w:val="en-US"/>
        </w:rPr>
        <w:t>II</w:t>
      </w:r>
      <w:r w:rsidRPr="00F925BC">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 функция (включително остра бъбречна недостатъчност), в сравнение с употребата само на едно средство, действащо върху РААС (вж. точки 4.3,</w:t>
      </w:r>
      <w:r w:rsidRPr="00F925BC">
        <w:rPr>
          <w:rFonts w:eastAsia="Times New Roman" w:cs="Arial"/>
          <w:color w:val="000000"/>
          <w:lang w:val="en-US"/>
        </w:rPr>
        <w:t xml:space="preserve"> </w:t>
      </w:r>
      <w:r w:rsidRPr="00F925BC">
        <w:rPr>
          <w:rFonts w:eastAsia="Times New Roman" w:cs="Arial"/>
          <w:color w:val="000000"/>
          <w:lang w:eastAsia="bg-BG"/>
        </w:rPr>
        <w:t>4.4 и 5.1).</w:t>
      </w:r>
    </w:p>
    <w:p w14:paraId="36A69D37" w14:textId="30EA210C" w:rsidR="00F925BC" w:rsidRPr="00F925BC" w:rsidRDefault="00F925BC" w:rsidP="00F925BC">
      <w:pPr>
        <w:spacing w:line="240" w:lineRule="auto"/>
        <w:rPr>
          <w:rFonts w:eastAsia="Times New Roman" w:cs="Arial"/>
          <w:color w:val="000000"/>
          <w:lang w:eastAsia="bg-BG"/>
        </w:rPr>
      </w:pPr>
    </w:p>
    <w:p w14:paraId="2D095C93" w14:textId="77777777" w:rsidR="00F925BC" w:rsidRPr="00F925BC" w:rsidRDefault="00F925BC" w:rsidP="00F925BC">
      <w:pPr>
        <w:spacing w:line="240" w:lineRule="auto"/>
        <w:rPr>
          <w:rFonts w:eastAsia="Times New Roman" w:cs="Arial"/>
          <w:color w:val="000000"/>
          <w:lang w:eastAsia="bg-BG"/>
        </w:rPr>
      </w:pPr>
      <w:r w:rsidRPr="00F925BC">
        <w:rPr>
          <w:rFonts w:eastAsia="Times New Roman" w:cs="Arial"/>
          <w:i/>
          <w:iCs/>
          <w:color w:val="000000"/>
          <w:lang w:val="en-US"/>
        </w:rPr>
        <w:t xml:space="preserve">mTOR </w:t>
      </w:r>
      <w:r w:rsidRPr="00F925BC">
        <w:rPr>
          <w:rFonts w:eastAsia="Times New Roman" w:cs="Arial"/>
          <w:i/>
          <w:iCs/>
          <w:color w:val="000000"/>
          <w:lang w:eastAsia="bg-BG"/>
        </w:rPr>
        <w:t>инхибитори или вилдаглиптин:</w:t>
      </w:r>
      <w:r w:rsidRPr="00F925BC">
        <w:rPr>
          <w:rFonts w:eastAsia="Times New Roman" w:cs="Arial"/>
          <w:color w:val="000000"/>
          <w:lang w:eastAsia="bg-BG"/>
        </w:rPr>
        <w:t xml:space="preserve"> повишен риск от развитие на ангиоедем е възможно при пациенти, приемащи едновременно лекарства, като </w:t>
      </w:r>
      <w:r w:rsidRPr="00F925BC">
        <w:rPr>
          <w:rFonts w:eastAsia="Times New Roman" w:cs="Arial"/>
          <w:color w:val="000000"/>
          <w:lang w:val="en-US"/>
        </w:rPr>
        <w:t xml:space="preserve">mTOR </w:t>
      </w:r>
      <w:r w:rsidRPr="00F925BC">
        <w:rPr>
          <w:rFonts w:eastAsia="Times New Roman" w:cs="Arial"/>
          <w:color w:val="000000"/>
          <w:lang w:eastAsia="bg-BG"/>
        </w:rPr>
        <w:t xml:space="preserve">инхибитори (например темсиролимус, еверолимус, сиролимус) или вилдаглиптин. С повишено внимание трябва да се използва, когато се започне лечение (вж. </w:t>
      </w:r>
    </w:p>
    <w:p w14:paraId="17403E16" w14:textId="552CA6D7" w:rsidR="00F925BC" w:rsidRPr="00F925BC" w:rsidRDefault="00F925BC" w:rsidP="00F925BC">
      <w:pPr>
        <w:spacing w:line="240" w:lineRule="auto"/>
        <w:rPr>
          <w:rFonts w:eastAsia="Times New Roman" w:cs="Arial"/>
          <w:sz w:val="28"/>
          <w:szCs w:val="28"/>
          <w:lang w:eastAsia="bg-BG"/>
        </w:rPr>
      </w:pPr>
      <w:r w:rsidRPr="00F925BC">
        <w:rPr>
          <w:rFonts w:eastAsia="Times New Roman" w:cs="Arial"/>
          <w:color w:val="000000"/>
          <w:lang w:eastAsia="bg-BG"/>
        </w:rPr>
        <w:t>4.4.).</w:t>
      </w:r>
    </w:p>
    <w:p w14:paraId="0B33EECE" w14:textId="77777777" w:rsidR="00F925BC" w:rsidRPr="00F925BC" w:rsidRDefault="00F925BC" w:rsidP="00F925BC">
      <w:pPr>
        <w:spacing w:line="240" w:lineRule="auto"/>
        <w:rPr>
          <w:rFonts w:eastAsia="Times New Roman" w:cs="Arial"/>
          <w:i/>
          <w:iCs/>
          <w:color w:val="000000"/>
          <w:lang w:eastAsia="bg-BG"/>
        </w:rPr>
      </w:pPr>
    </w:p>
    <w:p w14:paraId="169A9D08" w14:textId="5B313E67"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 xml:space="preserve">Неприлизин </w:t>
      </w:r>
      <w:r w:rsidRPr="00F925BC">
        <w:rPr>
          <w:rFonts w:eastAsia="Times New Roman" w:cs="Arial"/>
          <w:i/>
          <w:iCs/>
          <w:color w:val="000000"/>
          <w:lang w:val="en-US"/>
        </w:rPr>
        <w:t xml:space="preserve">(NEP) </w:t>
      </w:r>
      <w:r w:rsidRPr="00F925BC">
        <w:rPr>
          <w:rFonts w:eastAsia="Times New Roman" w:cs="Arial"/>
          <w:i/>
          <w:iCs/>
          <w:color w:val="000000"/>
          <w:lang w:eastAsia="bg-BG"/>
        </w:rPr>
        <w:t>инхибитори:</w:t>
      </w:r>
      <w:r w:rsidRPr="00F925BC">
        <w:rPr>
          <w:rFonts w:eastAsia="Times New Roman" w:cs="Arial"/>
          <w:color w:val="000000"/>
          <w:lang w:eastAsia="bg-BG"/>
        </w:rPr>
        <w:t xml:space="preserve"> повишен риск от развитие на ангиоедем е бил съобщаван при едновременно приложение на АСЕ инхибитори и </w:t>
      </w:r>
      <w:r w:rsidRPr="00F925BC">
        <w:rPr>
          <w:rFonts w:eastAsia="Times New Roman" w:cs="Arial"/>
          <w:color w:val="000000"/>
          <w:lang w:val="en-US"/>
        </w:rPr>
        <w:t xml:space="preserve">NEP </w:t>
      </w:r>
      <w:r w:rsidRPr="00F925BC">
        <w:rPr>
          <w:rFonts w:eastAsia="Times New Roman" w:cs="Arial"/>
          <w:color w:val="000000"/>
          <w:lang w:eastAsia="bg-BG"/>
        </w:rPr>
        <w:t>инхибитори като рацекадотрил (вж. точка 4.4).</w:t>
      </w:r>
    </w:p>
    <w:p w14:paraId="279025AA" w14:textId="77777777" w:rsidR="00F925BC" w:rsidRPr="00F925BC" w:rsidRDefault="00F925BC" w:rsidP="00F925BC">
      <w:pPr>
        <w:spacing w:line="240" w:lineRule="auto"/>
        <w:rPr>
          <w:rFonts w:eastAsia="Times New Roman" w:cs="Arial"/>
          <w:i/>
          <w:iCs/>
          <w:color w:val="000000"/>
          <w:lang w:eastAsia="bg-BG"/>
        </w:rPr>
      </w:pPr>
    </w:p>
    <w:p w14:paraId="4486F79B" w14:textId="625D1233" w:rsidR="00F925BC" w:rsidRPr="00F925BC" w:rsidRDefault="00F925BC" w:rsidP="00F925BC">
      <w:pPr>
        <w:spacing w:line="240" w:lineRule="auto"/>
        <w:rPr>
          <w:rFonts w:eastAsia="Times New Roman" w:cs="Arial"/>
          <w:sz w:val="28"/>
          <w:szCs w:val="28"/>
          <w:lang w:eastAsia="bg-BG"/>
        </w:rPr>
      </w:pPr>
      <w:r w:rsidRPr="00F925BC">
        <w:rPr>
          <w:rFonts w:eastAsia="Times New Roman" w:cs="Arial"/>
          <w:i/>
          <w:iCs/>
          <w:color w:val="000000"/>
          <w:lang w:eastAsia="bg-BG"/>
        </w:rPr>
        <w:t>Сакубитрил/валсартан:</w:t>
      </w:r>
      <w:r w:rsidRPr="00F925BC">
        <w:rPr>
          <w:rFonts w:eastAsia="Times New Roman" w:cs="Arial"/>
          <w:color w:val="000000"/>
          <w:lang w:eastAsia="bg-BG"/>
        </w:rPr>
        <w:t xml:space="preserve"> едновременното приложение на АСЕ инхибитори със сакубитрил/валсартан е противопоказно, тъй като това увеличава риска от ангиоедем.</w:t>
      </w:r>
    </w:p>
    <w:p w14:paraId="266403CB" w14:textId="77777777" w:rsidR="00F925BC" w:rsidRPr="00F925BC" w:rsidRDefault="00F925BC" w:rsidP="00F925BC"/>
    <w:p w14:paraId="15A75A66" w14:textId="613AF67A" w:rsidR="00A71DCF" w:rsidRDefault="002C50EE" w:rsidP="00A93499">
      <w:pPr>
        <w:pStyle w:val="Heading2"/>
      </w:pPr>
      <w:r>
        <w:t>4.6. Фертилитет, бременност и кърмене</w:t>
      </w:r>
    </w:p>
    <w:p w14:paraId="2E0EA2A1" w14:textId="0281BB15" w:rsidR="008E2555" w:rsidRDefault="008E2555" w:rsidP="008E2555"/>
    <w:p w14:paraId="45F2B7C5" w14:textId="72F6C212" w:rsidR="008E2555" w:rsidRPr="008E2555" w:rsidRDefault="008E2555" w:rsidP="008E2555">
      <w:pPr>
        <w:pStyle w:val="Heading3"/>
        <w:rPr>
          <w:u w:val="single"/>
        </w:rPr>
      </w:pPr>
      <w:r w:rsidRPr="008E2555">
        <w:rPr>
          <w:u w:val="single"/>
        </w:rPr>
        <w:lastRenderedPageBreak/>
        <w:t>Бременност</w:t>
      </w:r>
    </w:p>
    <w:tbl>
      <w:tblPr>
        <w:tblStyle w:val="TableGrid"/>
        <w:tblW w:w="0" w:type="auto"/>
        <w:tblLook w:val="04A0" w:firstRow="1" w:lastRow="0" w:firstColumn="1" w:lastColumn="0" w:noHBand="0" w:noVBand="1"/>
      </w:tblPr>
      <w:tblGrid>
        <w:gridCol w:w="9350"/>
      </w:tblGrid>
      <w:tr w:rsidR="008E2555" w:rsidRPr="008E2555" w14:paraId="79699B80" w14:textId="77777777" w:rsidTr="008E2555">
        <w:tc>
          <w:tcPr>
            <w:tcW w:w="9500" w:type="dxa"/>
          </w:tcPr>
          <w:p w14:paraId="33C07587" w14:textId="6A8F0967" w:rsidR="008E2555" w:rsidRPr="008E2555" w:rsidRDefault="008E2555" w:rsidP="008E2555">
            <w:pPr>
              <w:rPr>
                <w:rFonts w:cs="Arial"/>
                <w:sz w:val="24"/>
                <w:szCs w:val="24"/>
              </w:rPr>
            </w:pPr>
            <w:r w:rsidRPr="008E2555">
              <w:rPr>
                <w:rFonts w:cs="Arial"/>
              </w:rPr>
              <w:t>Вивейс не се препоръчва по време на първия триместьр на бременност (вж. точка 4.4) и е противопоказан по време на втория и третия триместър на бременността (вж. точка 4.3).</w:t>
            </w:r>
          </w:p>
        </w:tc>
      </w:tr>
    </w:tbl>
    <w:p w14:paraId="7F8019A2" w14:textId="5AD9578A" w:rsidR="008E2555" w:rsidRPr="008E2555" w:rsidRDefault="008E2555" w:rsidP="008E2555">
      <w:pPr>
        <w:rPr>
          <w:rFonts w:cs="Arial"/>
          <w:sz w:val="24"/>
          <w:szCs w:val="24"/>
        </w:rPr>
      </w:pPr>
    </w:p>
    <w:p w14:paraId="5835F793"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Епидемиологичните данни относно риска от тератогенност след експозиция на АСЕ инхибитори по време на първия триместър от бременността не са убедителни, но леко повишаване на риска не може да бъде изключено. При пациентките планиращи бременност, терапията с АСЕ инхибитори 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 инхибитори трябва да бъде спряно незабавно и, ако е уместно, трябва да бъде започната алтернативна терапия.</w:t>
      </w:r>
    </w:p>
    <w:p w14:paraId="6DBE839F" w14:textId="77777777" w:rsidR="008E2555" w:rsidRPr="008E2555" w:rsidRDefault="008E2555" w:rsidP="008E2555">
      <w:pPr>
        <w:spacing w:line="240" w:lineRule="auto"/>
        <w:rPr>
          <w:rFonts w:eastAsia="Times New Roman" w:cs="Arial"/>
          <w:color w:val="000000"/>
          <w:lang w:eastAsia="bg-BG"/>
        </w:rPr>
      </w:pPr>
    </w:p>
    <w:p w14:paraId="2967A2D6" w14:textId="343198C5"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 xml:space="preserve">Известно е, че терапията с АСЕ инхибитор/ангиотензин II рецепторен антагонист </w:t>
      </w:r>
      <w:r w:rsidRPr="008E2555">
        <w:rPr>
          <w:rFonts w:eastAsia="Times New Roman" w:cs="Arial"/>
          <w:color w:val="000000"/>
          <w:lang w:val="en-US"/>
        </w:rPr>
        <w:t xml:space="preserve">(AIIRA) </w:t>
      </w:r>
      <w:r w:rsidRPr="008E2555">
        <w:rPr>
          <w:rFonts w:eastAsia="Times New Roman" w:cs="Arial"/>
          <w:color w:val="000000"/>
          <w:lang w:eastAsia="bg-BG"/>
        </w:rPr>
        <w:t>по време на втория и третия триместьр причинява фетотоксичност при хора (понижена бъбречна функция, олигохидрамниоза, забавена осификация на черепа) и неонатална токсичност (бъбречна недостатъчност, хипотония, хиперкалиемия) (вж. също 5.3 „Предклинични данни за безопасност”). В случай на експозиция на АСЕ инхибитор от втория триместьр на бременността се препоръчва проверка на бъбречната функция и черепа чрез ултразвук. Новородени, чиито майки са приемали АСЕ инхибитори, трябва да бъдат стриктно наблюдавани за хипотония, олигурия и хиперкалиемия (вж. също точки 4.3 и 4.4).</w:t>
      </w:r>
    </w:p>
    <w:p w14:paraId="7C3C028B" w14:textId="77777777" w:rsidR="008E2555" w:rsidRPr="008E2555" w:rsidRDefault="008E2555" w:rsidP="008E2555">
      <w:pPr>
        <w:spacing w:line="240" w:lineRule="auto"/>
        <w:rPr>
          <w:rFonts w:eastAsia="Times New Roman" w:cs="Arial"/>
          <w:color w:val="000000"/>
          <w:u w:val="single"/>
          <w:lang w:eastAsia="bg-BG"/>
        </w:rPr>
      </w:pPr>
    </w:p>
    <w:p w14:paraId="07DEBCD1" w14:textId="40CC6498" w:rsidR="008E2555" w:rsidRPr="008E2555" w:rsidRDefault="008E2555" w:rsidP="008E2555">
      <w:pPr>
        <w:pStyle w:val="Heading3"/>
        <w:rPr>
          <w:rFonts w:eastAsia="Times New Roman"/>
          <w:sz w:val="28"/>
          <w:szCs w:val="28"/>
          <w:u w:val="single"/>
          <w:lang w:eastAsia="bg-BG"/>
        </w:rPr>
      </w:pPr>
      <w:r w:rsidRPr="008E2555">
        <w:rPr>
          <w:rFonts w:eastAsia="Times New Roman"/>
          <w:u w:val="single"/>
          <w:lang w:eastAsia="bg-BG"/>
        </w:rPr>
        <w:t>Кърмене</w:t>
      </w:r>
    </w:p>
    <w:p w14:paraId="06FE65F0"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Поради недостатъчна информация относно употребата на рамиприл по време на кърмене (вж. точка 5.2),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кърмаче.</w:t>
      </w:r>
    </w:p>
    <w:p w14:paraId="5F003CAC" w14:textId="77777777" w:rsidR="008E2555" w:rsidRPr="008E2555" w:rsidRDefault="008E2555" w:rsidP="008E2555"/>
    <w:p w14:paraId="6201597D" w14:textId="4BFF289E" w:rsidR="00EE6C97" w:rsidRDefault="002C50EE" w:rsidP="00A93499">
      <w:pPr>
        <w:pStyle w:val="Heading2"/>
      </w:pPr>
      <w:r>
        <w:t>4.7. Ефекти върху способността за шофиране и работа с машини</w:t>
      </w:r>
    </w:p>
    <w:p w14:paraId="16C61D54" w14:textId="495FD085" w:rsidR="008E2555" w:rsidRDefault="008E2555" w:rsidP="008E2555"/>
    <w:p w14:paraId="74A6D0F8" w14:textId="77777777" w:rsidR="008E2555" w:rsidRPr="008E2555" w:rsidRDefault="008E2555" w:rsidP="008E2555">
      <w:pPr>
        <w:rPr>
          <w:sz w:val="24"/>
          <w:szCs w:val="24"/>
          <w:lang w:eastAsia="bg-BG"/>
        </w:rPr>
      </w:pPr>
      <w:r w:rsidRPr="008E2555">
        <w:rPr>
          <w:lang w:eastAsia="bg-BG"/>
        </w:rPr>
        <w:t>Някои нежелани лекарствени реакции (напр, симптоми на понижаване на артериалното налягане като замайване) могат да нарушат способността на пациента за концентрация и реагиране, ето защо представляват риск в ситуации, при които тези способности са от особено значение (напр. шофиране и работа с машини).</w:t>
      </w:r>
    </w:p>
    <w:p w14:paraId="7BCF5036" w14:textId="30E6E07F" w:rsidR="008E2555" w:rsidRPr="008E2555" w:rsidRDefault="008E2555" w:rsidP="008E2555">
      <w:pPr>
        <w:rPr>
          <w:sz w:val="24"/>
          <w:szCs w:val="24"/>
          <w:lang w:eastAsia="bg-BG"/>
        </w:rPr>
      </w:pPr>
      <w:r w:rsidRPr="008E2555">
        <w:rPr>
          <w:lang w:eastAsia="bg-BG"/>
        </w:rPr>
        <w:t>Това може да се случи особено в началото на лечението или при преминаване от лечение с други продукти към терапия с рамиприл. След първата доза или при последващо повишаване</w:t>
      </w:r>
      <w:r>
        <w:rPr>
          <w:sz w:val="24"/>
          <w:szCs w:val="24"/>
          <w:lang w:val="en-US" w:eastAsia="bg-BG"/>
        </w:rPr>
        <w:t xml:space="preserve"> </w:t>
      </w:r>
      <w:r w:rsidRPr="008E2555">
        <w:rPr>
          <w:lang w:eastAsia="bg-BG"/>
        </w:rPr>
        <w:t>на дозата не е препоръчително шофиране или работа с машини за няколко часа.</w:t>
      </w:r>
    </w:p>
    <w:p w14:paraId="339E9894" w14:textId="77777777" w:rsidR="008E2555" w:rsidRPr="008E2555" w:rsidRDefault="008E2555" w:rsidP="008E2555"/>
    <w:p w14:paraId="389A90F4" w14:textId="257F6582" w:rsidR="00BA5B74" w:rsidRDefault="002C50EE" w:rsidP="00A93499">
      <w:pPr>
        <w:pStyle w:val="Heading2"/>
      </w:pPr>
      <w:r>
        <w:t>4.8. Нежелани лекарствени реакции</w:t>
      </w:r>
    </w:p>
    <w:p w14:paraId="23660265" w14:textId="495764D9" w:rsidR="008E2555" w:rsidRDefault="008E2555" w:rsidP="008E2555"/>
    <w:p w14:paraId="36F79098" w14:textId="77777777" w:rsidR="008E2555" w:rsidRPr="008E2555" w:rsidRDefault="008E2555" w:rsidP="008E2555">
      <w:pPr>
        <w:spacing w:line="240" w:lineRule="auto"/>
        <w:rPr>
          <w:rFonts w:ascii="Times New Roman" w:eastAsia="Times New Roman" w:hAnsi="Times New Roman" w:cs="Times New Roman"/>
          <w:sz w:val="24"/>
          <w:szCs w:val="24"/>
          <w:lang w:eastAsia="bg-BG"/>
        </w:rPr>
      </w:pPr>
      <w:r w:rsidRPr="008E2555">
        <w:rPr>
          <w:rFonts w:ascii="Times New Roman" w:eastAsia="Times New Roman" w:hAnsi="Times New Roman" w:cs="Times New Roman"/>
          <w:i/>
          <w:iCs/>
          <w:color w:val="000000"/>
          <w:sz w:val="20"/>
          <w:szCs w:val="20"/>
          <w:lang w:eastAsia="bg-BG"/>
        </w:rPr>
        <w:t>Обобщен профил на безопасност</w:t>
      </w:r>
    </w:p>
    <w:p w14:paraId="5F958E84" w14:textId="77777777" w:rsidR="008E2555" w:rsidRDefault="008E2555" w:rsidP="008E2555">
      <w:pPr>
        <w:spacing w:line="240" w:lineRule="auto"/>
        <w:rPr>
          <w:rFonts w:ascii="Times New Roman" w:eastAsia="Times New Roman" w:hAnsi="Times New Roman" w:cs="Times New Roman"/>
          <w:color w:val="000000"/>
          <w:sz w:val="20"/>
          <w:szCs w:val="20"/>
          <w:lang w:eastAsia="bg-BG"/>
        </w:rPr>
      </w:pPr>
    </w:p>
    <w:p w14:paraId="5272EB70" w14:textId="618FAABA" w:rsidR="008E2555" w:rsidRPr="008E2555" w:rsidRDefault="008E2555" w:rsidP="008E2555">
      <w:pPr>
        <w:spacing w:line="240" w:lineRule="auto"/>
        <w:rPr>
          <w:rFonts w:ascii="Times New Roman" w:eastAsia="Times New Roman" w:hAnsi="Times New Roman" w:cs="Times New Roman"/>
          <w:sz w:val="24"/>
          <w:szCs w:val="24"/>
          <w:lang w:eastAsia="bg-BG"/>
        </w:rPr>
      </w:pPr>
      <w:r w:rsidRPr="008E2555">
        <w:rPr>
          <w:rFonts w:ascii="Times New Roman" w:eastAsia="Times New Roman" w:hAnsi="Times New Roman" w:cs="Times New Roman"/>
          <w:color w:val="000000"/>
          <w:sz w:val="20"/>
          <w:szCs w:val="20"/>
          <w:lang w:eastAsia="bg-BG"/>
        </w:rPr>
        <w:t>Профилът на безопасност на рамиприл включва персистираща суха кашлица и реакции свързани с хипотония. Сериозните нежелани лекарствени реакции, включват ангиоедем, хиперкалиемия, бъбречно или чернодробно увреждане, панкреатит, тежки кожни реакции и неутропения/агранулоцитоза.</w:t>
      </w:r>
    </w:p>
    <w:p w14:paraId="36C9716F" w14:textId="77777777" w:rsidR="008E2555" w:rsidRDefault="008E2555" w:rsidP="008E2555">
      <w:pPr>
        <w:spacing w:line="240" w:lineRule="auto"/>
        <w:rPr>
          <w:rFonts w:ascii="Times New Roman" w:eastAsia="Times New Roman" w:hAnsi="Times New Roman" w:cs="Times New Roman"/>
          <w:i/>
          <w:iCs/>
          <w:color w:val="000000"/>
          <w:sz w:val="20"/>
          <w:szCs w:val="20"/>
          <w:lang w:eastAsia="bg-BG"/>
        </w:rPr>
      </w:pPr>
    </w:p>
    <w:p w14:paraId="1DBF07D3" w14:textId="07893BD8" w:rsidR="008E2555" w:rsidRPr="008E2555" w:rsidRDefault="008E2555" w:rsidP="008E2555">
      <w:pPr>
        <w:spacing w:line="240" w:lineRule="auto"/>
        <w:rPr>
          <w:rFonts w:ascii="Times New Roman" w:eastAsia="Times New Roman" w:hAnsi="Times New Roman" w:cs="Times New Roman"/>
          <w:sz w:val="24"/>
          <w:szCs w:val="24"/>
          <w:lang w:eastAsia="bg-BG"/>
        </w:rPr>
      </w:pPr>
      <w:r w:rsidRPr="008E2555">
        <w:rPr>
          <w:rFonts w:ascii="Times New Roman" w:eastAsia="Times New Roman" w:hAnsi="Times New Roman" w:cs="Times New Roman"/>
          <w:i/>
          <w:iCs/>
          <w:color w:val="000000"/>
          <w:sz w:val="20"/>
          <w:szCs w:val="20"/>
          <w:lang w:eastAsia="bg-BG"/>
        </w:rPr>
        <w:lastRenderedPageBreak/>
        <w:t>Табличен списък на нежеланите реакции</w:t>
      </w:r>
    </w:p>
    <w:p w14:paraId="449BDEDA" w14:textId="77777777" w:rsidR="008E2555" w:rsidRPr="008E2555" w:rsidRDefault="008E2555" w:rsidP="008E2555">
      <w:pPr>
        <w:spacing w:line="240" w:lineRule="auto"/>
        <w:rPr>
          <w:rFonts w:ascii="Times New Roman" w:eastAsia="Times New Roman" w:hAnsi="Times New Roman" w:cs="Times New Roman"/>
          <w:sz w:val="24"/>
          <w:szCs w:val="24"/>
          <w:lang w:eastAsia="bg-BG"/>
        </w:rPr>
      </w:pPr>
      <w:r w:rsidRPr="008E2555">
        <w:rPr>
          <w:rFonts w:ascii="Times New Roman" w:eastAsia="Times New Roman" w:hAnsi="Times New Roman" w:cs="Times New Roman"/>
          <w:color w:val="000000"/>
          <w:sz w:val="20"/>
          <w:szCs w:val="20"/>
          <w:lang w:eastAsia="bg-BG"/>
        </w:rPr>
        <w:t xml:space="preserve">Честотата на нежеланите реакции се определя, чрез използване на следната класификация: много чести (≥1/10), честа (≥1/100 </w:t>
      </w:r>
      <w:r w:rsidRPr="008E2555">
        <w:rPr>
          <w:rFonts w:ascii="Times New Roman" w:eastAsia="Times New Roman" w:hAnsi="Times New Roman" w:cs="Times New Roman"/>
          <w:i/>
          <w:iCs/>
          <w:color w:val="000000"/>
          <w:sz w:val="20"/>
          <w:szCs w:val="20"/>
          <w:lang w:eastAsia="bg-BG"/>
        </w:rPr>
        <w:t>до&lt;</w:t>
      </w:r>
      <w:r w:rsidRPr="008E2555">
        <w:rPr>
          <w:rFonts w:ascii="Times New Roman" w:eastAsia="Times New Roman" w:hAnsi="Times New Roman" w:cs="Times New Roman"/>
          <w:color w:val="000000"/>
          <w:sz w:val="20"/>
          <w:szCs w:val="20"/>
          <w:lang w:eastAsia="bg-BG"/>
        </w:rPr>
        <w:t xml:space="preserve"> 1/10), нечести (≥1/1 000 до &lt; 1/100), редки (≥1/10 000 до &lt; 1/1 000), много редки (&lt;1/10 000), с неизвестна честота (от наличните данни не може да бъде направена оценка).</w:t>
      </w:r>
    </w:p>
    <w:p w14:paraId="2AC129B0" w14:textId="77777777" w:rsidR="008E2555" w:rsidRPr="008E2555" w:rsidRDefault="008E2555" w:rsidP="008E2555">
      <w:pPr>
        <w:spacing w:line="240" w:lineRule="auto"/>
        <w:rPr>
          <w:rFonts w:ascii="Times New Roman" w:eastAsia="Times New Roman" w:hAnsi="Times New Roman" w:cs="Times New Roman"/>
          <w:sz w:val="24"/>
          <w:szCs w:val="24"/>
          <w:lang w:eastAsia="bg-BG"/>
        </w:rPr>
      </w:pPr>
      <w:r w:rsidRPr="008E2555">
        <w:rPr>
          <w:rFonts w:ascii="Times New Roman" w:eastAsia="Times New Roman" w:hAnsi="Times New Roman" w:cs="Times New Roman"/>
          <w:color w:val="000000"/>
          <w:sz w:val="20"/>
          <w:szCs w:val="2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38C4B6F1" w14:textId="77777777" w:rsidR="008E2555" w:rsidRDefault="008E2555" w:rsidP="008E2555"/>
    <w:tbl>
      <w:tblPr>
        <w:tblStyle w:val="TableGrid"/>
        <w:tblW w:w="0" w:type="auto"/>
        <w:tblLook w:val="04A0" w:firstRow="1" w:lastRow="0" w:firstColumn="1" w:lastColumn="0" w:noHBand="0" w:noVBand="1"/>
      </w:tblPr>
      <w:tblGrid>
        <w:gridCol w:w="2086"/>
        <w:gridCol w:w="1293"/>
        <w:gridCol w:w="1536"/>
        <w:gridCol w:w="1409"/>
        <w:gridCol w:w="1460"/>
        <w:gridCol w:w="1566"/>
      </w:tblGrid>
      <w:tr w:rsidR="008E2555" w14:paraId="2ECCD617" w14:textId="77777777" w:rsidTr="008E2555">
        <w:tc>
          <w:tcPr>
            <w:tcW w:w="2138" w:type="dxa"/>
          </w:tcPr>
          <w:p w14:paraId="5A50645F" w14:textId="77777777" w:rsidR="008E2555" w:rsidRPr="008E2555" w:rsidRDefault="008E2555" w:rsidP="008E2555"/>
        </w:tc>
        <w:tc>
          <w:tcPr>
            <w:tcW w:w="1323" w:type="dxa"/>
          </w:tcPr>
          <w:p w14:paraId="59277B5C" w14:textId="650E5965" w:rsidR="008E2555" w:rsidRPr="008E2555" w:rsidRDefault="008E2555" w:rsidP="008E2555">
            <w:r w:rsidRPr="008E2555">
              <w:rPr>
                <w:i/>
                <w:iCs/>
              </w:rPr>
              <w:t>Чести</w:t>
            </w:r>
          </w:p>
        </w:tc>
        <w:tc>
          <w:tcPr>
            <w:tcW w:w="1573" w:type="dxa"/>
          </w:tcPr>
          <w:p w14:paraId="5AB45302" w14:textId="72885AF8" w:rsidR="008E2555" w:rsidRPr="008E2555" w:rsidRDefault="008E2555" w:rsidP="008E2555">
            <w:r w:rsidRPr="008E2555">
              <w:rPr>
                <w:i/>
                <w:iCs/>
              </w:rPr>
              <w:t>Нечести</w:t>
            </w:r>
          </w:p>
        </w:tc>
        <w:tc>
          <w:tcPr>
            <w:tcW w:w="1443" w:type="dxa"/>
          </w:tcPr>
          <w:p w14:paraId="52E164B8" w14:textId="7416CFC8" w:rsidR="008E2555" w:rsidRPr="008E2555" w:rsidRDefault="008E2555" w:rsidP="008E2555">
            <w:r w:rsidRPr="008E2555">
              <w:rPr>
                <w:i/>
                <w:iCs/>
              </w:rPr>
              <w:t>Редки</w:t>
            </w:r>
          </w:p>
        </w:tc>
        <w:tc>
          <w:tcPr>
            <w:tcW w:w="1495" w:type="dxa"/>
          </w:tcPr>
          <w:p w14:paraId="2BE1BD63" w14:textId="2A2E16E1" w:rsidR="008E2555" w:rsidRPr="008E2555" w:rsidRDefault="008E2555" w:rsidP="008E2555">
            <w:r w:rsidRPr="008E2555">
              <w:rPr>
                <w:i/>
                <w:iCs/>
              </w:rPr>
              <w:t>Много редки</w:t>
            </w:r>
          </w:p>
        </w:tc>
        <w:tc>
          <w:tcPr>
            <w:tcW w:w="1604" w:type="dxa"/>
          </w:tcPr>
          <w:p w14:paraId="0E2B50F1" w14:textId="45308CE1" w:rsidR="008E2555" w:rsidRPr="008E2555" w:rsidRDefault="008E2555" w:rsidP="008E2555">
            <w:r w:rsidRPr="008E2555">
              <w:rPr>
                <w:i/>
                <w:iCs/>
              </w:rPr>
              <w:t>С неизвестна честота</w:t>
            </w:r>
          </w:p>
        </w:tc>
      </w:tr>
      <w:tr w:rsidR="008E2555" w14:paraId="358FABA9" w14:textId="77777777" w:rsidTr="008E2555">
        <w:tc>
          <w:tcPr>
            <w:tcW w:w="2138" w:type="dxa"/>
          </w:tcPr>
          <w:p w14:paraId="033DEE1A" w14:textId="72997717" w:rsidR="008E2555" w:rsidRPr="008E2555" w:rsidRDefault="008E2555" w:rsidP="008E2555">
            <w:r w:rsidRPr="008E2555">
              <w:rPr>
                <w:i/>
                <w:iCs/>
              </w:rPr>
              <w:t>Нарушения на кръвта и лимфната система</w:t>
            </w:r>
          </w:p>
        </w:tc>
        <w:tc>
          <w:tcPr>
            <w:tcW w:w="1323" w:type="dxa"/>
          </w:tcPr>
          <w:p w14:paraId="79E40254" w14:textId="77777777" w:rsidR="008E2555" w:rsidRPr="008E2555" w:rsidRDefault="008E2555" w:rsidP="008E2555"/>
        </w:tc>
        <w:tc>
          <w:tcPr>
            <w:tcW w:w="1573" w:type="dxa"/>
          </w:tcPr>
          <w:p w14:paraId="3B3A5B23" w14:textId="047AA804" w:rsidR="008E2555" w:rsidRPr="008E2555" w:rsidRDefault="008E2555" w:rsidP="008E2555">
            <w:r w:rsidRPr="008E2555">
              <w:t>Еозинофилия</w:t>
            </w:r>
          </w:p>
        </w:tc>
        <w:tc>
          <w:tcPr>
            <w:tcW w:w="1443" w:type="dxa"/>
          </w:tcPr>
          <w:p w14:paraId="48C7199E" w14:textId="708C6243" w:rsidR="008E2555" w:rsidRPr="008E2555" w:rsidRDefault="008E2555" w:rsidP="008E2555">
            <w:r w:rsidRPr="008E2555">
              <w:t>Понижен брой на белите кръвни клетки (включително неутропения или агранулоци- тоза), понижен брой червени кръвни клетки, намален хемоглобин, намален брой тромбоцити</w:t>
            </w:r>
          </w:p>
        </w:tc>
        <w:tc>
          <w:tcPr>
            <w:tcW w:w="1495" w:type="dxa"/>
          </w:tcPr>
          <w:p w14:paraId="192E9C51" w14:textId="77777777" w:rsidR="008E2555" w:rsidRPr="008E2555" w:rsidRDefault="008E2555" w:rsidP="008E2555"/>
        </w:tc>
        <w:tc>
          <w:tcPr>
            <w:tcW w:w="1604" w:type="dxa"/>
          </w:tcPr>
          <w:p w14:paraId="2C2F81B4" w14:textId="54A2A91D" w:rsidR="008E2555" w:rsidRPr="008E2555" w:rsidRDefault="008E2555" w:rsidP="008E2555">
            <w:r w:rsidRPr="008E2555">
              <w:t>Костномозъчна супресия, панцитопения, хемолитична анемия</w:t>
            </w:r>
          </w:p>
        </w:tc>
      </w:tr>
      <w:tr w:rsidR="008E2555" w14:paraId="43DFA2F0" w14:textId="77777777" w:rsidTr="008E2555">
        <w:tc>
          <w:tcPr>
            <w:tcW w:w="2138" w:type="dxa"/>
          </w:tcPr>
          <w:p w14:paraId="63B940FE" w14:textId="7F3E9247" w:rsidR="008E2555" w:rsidRPr="008E2555" w:rsidRDefault="008E2555" w:rsidP="008E2555">
            <w:r w:rsidRPr="008E2555">
              <w:rPr>
                <w:i/>
                <w:iCs/>
              </w:rPr>
              <w:t>Нарушения на имунната система</w:t>
            </w:r>
          </w:p>
        </w:tc>
        <w:tc>
          <w:tcPr>
            <w:tcW w:w="1323" w:type="dxa"/>
          </w:tcPr>
          <w:p w14:paraId="54FF3EDE" w14:textId="77777777" w:rsidR="008E2555" w:rsidRPr="008E2555" w:rsidRDefault="008E2555" w:rsidP="008E2555"/>
        </w:tc>
        <w:tc>
          <w:tcPr>
            <w:tcW w:w="1573" w:type="dxa"/>
          </w:tcPr>
          <w:p w14:paraId="5F1BA862" w14:textId="77777777" w:rsidR="008E2555" w:rsidRPr="008E2555" w:rsidRDefault="008E2555" w:rsidP="008E2555"/>
        </w:tc>
        <w:tc>
          <w:tcPr>
            <w:tcW w:w="1443" w:type="dxa"/>
          </w:tcPr>
          <w:p w14:paraId="43179A5B" w14:textId="77777777" w:rsidR="008E2555" w:rsidRPr="008E2555" w:rsidRDefault="008E2555" w:rsidP="008E2555"/>
        </w:tc>
        <w:tc>
          <w:tcPr>
            <w:tcW w:w="1495" w:type="dxa"/>
          </w:tcPr>
          <w:p w14:paraId="7B897E54" w14:textId="77777777" w:rsidR="008E2555" w:rsidRPr="008E2555" w:rsidRDefault="008E2555" w:rsidP="008E2555"/>
        </w:tc>
        <w:tc>
          <w:tcPr>
            <w:tcW w:w="1604" w:type="dxa"/>
          </w:tcPr>
          <w:p w14:paraId="64C06495" w14:textId="1E7E9858" w:rsidR="008E2555" w:rsidRPr="008E2555" w:rsidRDefault="008E2555" w:rsidP="008E2555">
            <w:r w:rsidRPr="008E2555">
              <w:t>Анафилактични или анафилактоидни реакции, повишени антинуклеарни антитела</w:t>
            </w:r>
          </w:p>
        </w:tc>
      </w:tr>
      <w:tr w:rsidR="008E2555" w14:paraId="253FBC7D" w14:textId="77777777" w:rsidTr="008E2555">
        <w:tc>
          <w:tcPr>
            <w:tcW w:w="2138" w:type="dxa"/>
          </w:tcPr>
          <w:p w14:paraId="757A9FDC" w14:textId="79A726D5" w:rsidR="008E2555" w:rsidRPr="008E2555" w:rsidRDefault="008E2555" w:rsidP="008E2555">
            <w:r w:rsidRPr="008E2555">
              <w:rPr>
                <w:i/>
                <w:iCs/>
              </w:rPr>
              <w:t>Нарушения на ендокринната система</w:t>
            </w:r>
          </w:p>
        </w:tc>
        <w:tc>
          <w:tcPr>
            <w:tcW w:w="1323" w:type="dxa"/>
          </w:tcPr>
          <w:p w14:paraId="7C53B07B" w14:textId="77777777" w:rsidR="008E2555" w:rsidRPr="008E2555" w:rsidRDefault="008E2555" w:rsidP="008E2555"/>
        </w:tc>
        <w:tc>
          <w:tcPr>
            <w:tcW w:w="1573" w:type="dxa"/>
          </w:tcPr>
          <w:p w14:paraId="31A65EBD" w14:textId="77777777" w:rsidR="008E2555" w:rsidRPr="008E2555" w:rsidRDefault="008E2555" w:rsidP="008E2555"/>
        </w:tc>
        <w:tc>
          <w:tcPr>
            <w:tcW w:w="1443" w:type="dxa"/>
          </w:tcPr>
          <w:p w14:paraId="568D3C78" w14:textId="77777777" w:rsidR="008E2555" w:rsidRPr="008E2555" w:rsidRDefault="008E2555" w:rsidP="008E2555"/>
        </w:tc>
        <w:tc>
          <w:tcPr>
            <w:tcW w:w="1495" w:type="dxa"/>
          </w:tcPr>
          <w:p w14:paraId="0355B033" w14:textId="77777777" w:rsidR="008E2555" w:rsidRPr="008E2555" w:rsidRDefault="008E2555" w:rsidP="008E2555"/>
        </w:tc>
        <w:tc>
          <w:tcPr>
            <w:tcW w:w="1604" w:type="dxa"/>
          </w:tcPr>
          <w:p w14:paraId="09553786" w14:textId="1C89A26E" w:rsidR="008E2555" w:rsidRPr="008E2555" w:rsidRDefault="008E2555" w:rsidP="008E2555">
            <w:r w:rsidRPr="008E2555">
              <w:t>Синдром на неадекватна секреция на антидиуре- тичен хормон (СНСАХ)</w:t>
            </w:r>
          </w:p>
        </w:tc>
      </w:tr>
      <w:tr w:rsidR="008E2555" w14:paraId="557E3D50" w14:textId="77777777" w:rsidTr="008E2555">
        <w:tc>
          <w:tcPr>
            <w:tcW w:w="2138" w:type="dxa"/>
          </w:tcPr>
          <w:p w14:paraId="192ED2B7" w14:textId="672922E9" w:rsidR="008E2555" w:rsidRPr="008E2555" w:rsidRDefault="008E2555" w:rsidP="008E2555">
            <w:r w:rsidRPr="008E2555">
              <w:rPr>
                <w:i/>
                <w:iCs/>
              </w:rPr>
              <w:lastRenderedPageBreak/>
              <w:t>Нарушения на метаболизма и храненето</w:t>
            </w:r>
          </w:p>
        </w:tc>
        <w:tc>
          <w:tcPr>
            <w:tcW w:w="1323" w:type="dxa"/>
          </w:tcPr>
          <w:p w14:paraId="34567F03" w14:textId="302D3364" w:rsidR="008E2555" w:rsidRPr="008E2555" w:rsidRDefault="008E2555" w:rsidP="008E2555">
            <w:r w:rsidRPr="008E2555">
              <w:t>Повишено ниво на калий в кръвта</w:t>
            </w:r>
          </w:p>
        </w:tc>
        <w:tc>
          <w:tcPr>
            <w:tcW w:w="1573" w:type="dxa"/>
          </w:tcPr>
          <w:p w14:paraId="75536955" w14:textId="511948A3" w:rsidR="008E2555" w:rsidRPr="008E2555" w:rsidRDefault="008E2555" w:rsidP="008E2555">
            <w:r w:rsidRPr="008E2555">
              <w:t>Анорексия, понижен апетит</w:t>
            </w:r>
          </w:p>
        </w:tc>
        <w:tc>
          <w:tcPr>
            <w:tcW w:w="1443" w:type="dxa"/>
          </w:tcPr>
          <w:p w14:paraId="1BFCDA84" w14:textId="77777777" w:rsidR="008E2555" w:rsidRPr="008E2555" w:rsidRDefault="008E2555" w:rsidP="008E2555"/>
        </w:tc>
        <w:tc>
          <w:tcPr>
            <w:tcW w:w="1495" w:type="dxa"/>
          </w:tcPr>
          <w:p w14:paraId="4E57BE83" w14:textId="77777777" w:rsidR="008E2555" w:rsidRPr="008E2555" w:rsidRDefault="008E2555" w:rsidP="008E2555"/>
        </w:tc>
        <w:tc>
          <w:tcPr>
            <w:tcW w:w="1604" w:type="dxa"/>
          </w:tcPr>
          <w:p w14:paraId="17348926" w14:textId="52046FBA" w:rsidR="008E2555" w:rsidRPr="008E2555" w:rsidRDefault="008E2555" w:rsidP="008E2555">
            <w:r w:rsidRPr="008E2555">
              <w:t>Понижено ниво на натрий в кръвта</w:t>
            </w:r>
          </w:p>
        </w:tc>
      </w:tr>
      <w:tr w:rsidR="008E2555" w14:paraId="7881CFED" w14:textId="77777777" w:rsidTr="008E2555">
        <w:tc>
          <w:tcPr>
            <w:tcW w:w="2138" w:type="dxa"/>
          </w:tcPr>
          <w:p w14:paraId="6702FCFA" w14:textId="0F3F1C99" w:rsidR="008E2555" w:rsidRPr="008E2555" w:rsidRDefault="008E2555" w:rsidP="008E2555">
            <w:r w:rsidRPr="008E2555">
              <w:rPr>
                <w:i/>
                <w:iCs/>
              </w:rPr>
              <w:t>Психични нарушения</w:t>
            </w:r>
          </w:p>
        </w:tc>
        <w:tc>
          <w:tcPr>
            <w:tcW w:w="1323" w:type="dxa"/>
          </w:tcPr>
          <w:p w14:paraId="78AFF7A1" w14:textId="77777777" w:rsidR="008E2555" w:rsidRPr="008E2555" w:rsidRDefault="008E2555" w:rsidP="008E2555"/>
        </w:tc>
        <w:tc>
          <w:tcPr>
            <w:tcW w:w="1573" w:type="dxa"/>
          </w:tcPr>
          <w:p w14:paraId="11BBE283" w14:textId="0338CDE3" w:rsidR="008E2555" w:rsidRPr="008E2555" w:rsidRDefault="008E2555" w:rsidP="008E2555">
            <w:r w:rsidRPr="008E2555">
              <w:t>Депресивно настроение, тревожност, нервност, безпокойство, нарушение на съня, вкл. сънливост</w:t>
            </w:r>
          </w:p>
        </w:tc>
        <w:tc>
          <w:tcPr>
            <w:tcW w:w="1443" w:type="dxa"/>
          </w:tcPr>
          <w:p w14:paraId="6FED7B5A" w14:textId="353F28B3" w:rsidR="008E2555" w:rsidRPr="008E2555" w:rsidRDefault="008E2555" w:rsidP="008E2555">
            <w:r w:rsidRPr="008E2555">
              <w:t>Състояние на обърканост</w:t>
            </w:r>
          </w:p>
        </w:tc>
        <w:tc>
          <w:tcPr>
            <w:tcW w:w="1495" w:type="dxa"/>
          </w:tcPr>
          <w:p w14:paraId="04A21BA4" w14:textId="77777777" w:rsidR="008E2555" w:rsidRPr="008E2555" w:rsidRDefault="008E2555" w:rsidP="008E2555"/>
        </w:tc>
        <w:tc>
          <w:tcPr>
            <w:tcW w:w="1604" w:type="dxa"/>
          </w:tcPr>
          <w:p w14:paraId="53092D73" w14:textId="77777777" w:rsidR="008E2555" w:rsidRPr="008E2555" w:rsidRDefault="008E2555" w:rsidP="008E2555">
            <w:r w:rsidRPr="008E2555">
              <w:t>Нарушено</w:t>
            </w:r>
          </w:p>
          <w:p w14:paraId="5A0B2470" w14:textId="22217E21" w:rsidR="008E2555" w:rsidRPr="008E2555" w:rsidRDefault="008E2555" w:rsidP="008E2555">
            <w:r w:rsidRPr="008E2555">
              <w:t>внимание</w:t>
            </w:r>
          </w:p>
        </w:tc>
      </w:tr>
      <w:tr w:rsidR="008E2555" w14:paraId="54900F51" w14:textId="77777777" w:rsidTr="008E2555">
        <w:tc>
          <w:tcPr>
            <w:tcW w:w="2138" w:type="dxa"/>
          </w:tcPr>
          <w:p w14:paraId="27129EE0" w14:textId="09B49835" w:rsidR="008E2555" w:rsidRPr="008E2555" w:rsidRDefault="008E2555" w:rsidP="008E2555">
            <w:r w:rsidRPr="008E2555">
              <w:rPr>
                <w:i/>
                <w:iCs/>
              </w:rPr>
              <w:t>Нарушения на нервната система</w:t>
            </w:r>
          </w:p>
        </w:tc>
        <w:tc>
          <w:tcPr>
            <w:tcW w:w="1323" w:type="dxa"/>
          </w:tcPr>
          <w:p w14:paraId="1065C0E2" w14:textId="703FD78F" w:rsidR="008E2555" w:rsidRPr="008E2555" w:rsidRDefault="008E2555" w:rsidP="008E2555">
            <w:r w:rsidRPr="008E2555">
              <w:t>Главоболие, замайване</w:t>
            </w:r>
          </w:p>
        </w:tc>
        <w:tc>
          <w:tcPr>
            <w:tcW w:w="1573" w:type="dxa"/>
          </w:tcPr>
          <w:p w14:paraId="2AA558D9" w14:textId="5C3D6C87" w:rsidR="008E2555" w:rsidRPr="008E2555" w:rsidRDefault="008E2555" w:rsidP="008E2555">
            <w:r w:rsidRPr="008E2555">
              <w:t>Световъртеж, парестезия, агеузия, дисгеузия</w:t>
            </w:r>
          </w:p>
        </w:tc>
        <w:tc>
          <w:tcPr>
            <w:tcW w:w="1443" w:type="dxa"/>
          </w:tcPr>
          <w:p w14:paraId="244E3FE5" w14:textId="3B796051" w:rsidR="008E2555" w:rsidRPr="008E2555" w:rsidRDefault="008E2555" w:rsidP="008E2555">
            <w:r w:rsidRPr="008E2555">
              <w:t>Тремор, нарушено равновесие</w:t>
            </w:r>
          </w:p>
        </w:tc>
        <w:tc>
          <w:tcPr>
            <w:tcW w:w="1495" w:type="dxa"/>
          </w:tcPr>
          <w:p w14:paraId="68F5FD78" w14:textId="77777777" w:rsidR="008E2555" w:rsidRPr="008E2555" w:rsidRDefault="008E2555" w:rsidP="008E2555"/>
        </w:tc>
        <w:tc>
          <w:tcPr>
            <w:tcW w:w="1604" w:type="dxa"/>
            <w:vAlign w:val="bottom"/>
          </w:tcPr>
          <w:p w14:paraId="4009D729" w14:textId="3A70E522" w:rsidR="008E2555" w:rsidRPr="008E2555" w:rsidRDefault="008E2555" w:rsidP="008E2555">
            <w:r w:rsidRPr="008E2555">
              <w:t>Мозъчна исхемия, включително исхемичен инсулти транзиторна исхемична атака, психомоторни нарушения, усещане за парене, паросмия</w:t>
            </w:r>
          </w:p>
        </w:tc>
      </w:tr>
      <w:tr w:rsidR="008E2555" w14:paraId="7A306983" w14:textId="77777777" w:rsidTr="008E2555">
        <w:tc>
          <w:tcPr>
            <w:tcW w:w="2138" w:type="dxa"/>
          </w:tcPr>
          <w:p w14:paraId="35A884F2" w14:textId="18131DCC" w:rsidR="008E2555" w:rsidRPr="008E2555" w:rsidRDefault="008E2555" w:rsidP="008E2555">
            <w:r w:rsidRPr="008E2555">
              <w:rPr>
                <w:i/>
                <w:iCs/>
              </w:rPr>
              <w:t>. Нарушения на очите</w:t>
            </w:r>
          </w:p>
        </w:tc>
        <w:tc>
          <w:tcPr>
            <w:tcW w:w="1323" w:type="dxa"/>
          </w:tcPr>
          <w:p w14:paraId="1D010EAF" w14:textId="77777777" w:rsidR="008E2555" w:rsidRPr="008E2555" w:rsidRDefault="008E2555" w:rsidP="008E2555"/>
        </w:tc>
        <w:tc>
          <w:tcPr>
            <w:tcW w:w="1573" w:type="dxa"/>
            <w:vAlign w:val="bottom"/>
          </w:tcPr>
          <w:p w14:paraId="4C9D1016" w14:textId="306AE9C9" w:rsidR="008E2555" w:rsidRPr="008E2555" w:rsidRDefault="008E2555" w:rsidP="008E2555">
            <w:r w:rsidRPr="008E2555">
              <w:t>Зрителни смущения, вкл. замъглено зрение</w:t>
            </w:r>
          </w:p>
        </w:tc>
        <w:tc>
          <w:tcPr>
            <w:tcW w:w="1443" w:type="dxa"/>
          </w:tcPr>
          <w:p w14:paraId="407F04E4" w14:textId="10979339" w:rsidR="008E2555" w:rsidRPr="008E2555" w:rsidRDefault="008E2555" w:rsidP="008E2555">
            <w:r w:rsidRPr="008E2555">
              <w:t>Конюнктивит</w:t>
            </w:r>
          </w:p>
        </w:tc>
        <w:tc>
          <w:tcPr>
            <w:tcW w:w="1495" w:type="dxa"/>
          </w:tcPr>
          <w:p w14:paraId="63EB840E" w14:textId="77777777" w:rsidR="008E2555" w:rsidRPr="008E2555" w:rsidRDefault="008E2555" w:rsidP="008E2555"/>
        </w:tc>
        <w:tc>
          <w:tcPr>
            <w:tcW w:w="1604" w:type="dxa"/>
          </w:tcPr>
          <w:p w14:paraId="5D35F622" w14:textId="77777777" w:rsidR="008E2555" w:rsidRPr="008E2555" w:rsidRDefault="008E2555" w:rsidP="008E2555"/>
        </w:tc>
      </w:tr>
      <w:tr w:rsidR="008E2555" w14:paraId="54D8306F" w14:textId="77777777" w:rsidTr="008E2555">
        <w:tc>
          <w:tcPr>
            <w:tcW w:w="2138" w:type="dxa"/>
            <w:vAlign w:val="bottom"/>
          </w:tcPr>
          <w:p w14:paraId="2E4CCDC3" w14:textId="21F7A4F6" w:rsidR="008E2555" w:rsidRPr="008E2555" w:rsidRDefault="008E2555" w:rsidP="008E2555">
            <w:r w:rsidRPr="008E2555">
              <w:rPr>
                <w:i/>
                <w:iCs/>
              </w:rPr>
              <w:t>Нарушения на ухото и лабиринта</w:t>
            </w:r>
          </w:p>
        </w:tc>
        <w:tc>
          <w:tcPr>
            <w:tcW w:w="1323" w:type="dxa"/>
          </w:tcPr>
          <w:p w14:paraId="537E7F64" w14:textId="77777777" w:rsidR="008E2555" w:rsidRPr="008E2555" w:rsidRDefault="008E2555" w:rsidP="008E2555"/>
        </w:tc>
        <w:tc>
          <w:tcPr>
            <w:tcW w:w="1573" w:type="dxa"/>
          </w:tcPr>
          <w:p w14:paraId="36E9F918" w14:textId="77777777" w:rsidR="008E2555" w:rsidRPr="008E2555" w:rsidRDefault="008E2555" w:rsidP="008E2555"/>
        </w:tc>
        <w:tc>
          <w:tcPr>
            <w:tcW w:w="1443" w:type="dxa"/>
            <w:vAlign w:val="bottom"/>
          </w:tcPr>
          <w:p w14:paraId="4905D86C" w14:textId="34802E23" w:rsidR="008E2555" w:rsidRPr="008E2555" w:rsidRDefault="008E2555" w:rsidP="008E2555">
            <w:r w:rsidRPr="008E2555">
              <w:t>Увреждане на слуха, тинитус</w:t>
            </w:r>
          </w:p>
        </w:tc>
        <w:tc>
          <w:tcPr>
            <w:tcW w:w="1495" w:type="dxa"/>
          </w:tcPr>
          <w:p w14:paraId="004C84C0" w14:textId="77777777" w:rsidR="008E2555" w:rsidRPr="008E2555" w:rsidRDefault="008E2555" w:rsidP="008E2555"/>
        </w:tc>
        <w:tc>
          <w:tcPr>
            <w:tcW w:w="1604" w:type="dxa"/>
          </w:tcPr>
          <w:p w14:paraId="128D613E" w14:textId="77777777" w:rsidR="008E2555" w:rsidRPr="008E2555" w:rsidRDefault="008E2555" w:rsidP="008E2555"/>
        </w:tc>
      </w:tr>
      <w:tr w:rsidR="008E2555" w14:paraId="35244498" w14:textId="77777777" w:rsidTr="008E2555">
        <w:tc>
          <w:tcPr>
            <w:tcW w:w="2138" w:type="dxa"/>
          </w:tcPr>
          <w:p w14:paraId="04C70147" w14:textId="3476B41B" w:rsidR="008E2555" w:rsidRPr="008E2555" w:rsidRDefault="008E2555" w:rsidP="008E2555">
            <w:r w:rsidRPr="008E2555">
              <w:rPr>
                <w:i/>
                <w:iCs/>
              </w:rPr>
              <w:t>Сърдечни нарушения</w:t>
            </w:r>
          </w:p>
        </w:tc>
        <w:tc>
          <w:tcPr>
            <w:tcW w:w="1323" w:type="dxa"/>
          </w:tcPr>
          <w:p w14:paraId="6188BC82" w14:textId="77777777" w:rsidR="008E2555" w:rsidRPr="008E2555" w:rsidRDefault="008E2555" w:rsidP="008E2555"/>
        </w:tc>
        <w:tc>
          <w:tcPr>
            <w:tcW w:w="1573" w:type="dxa"/>
            <w:vAlign w:val="bottom"/>
          </w:tcPr>
          <w:p w14:paraId="55B4BE83" w14:textId="48E83CE9" w:rsidR="008E2555" w:rsidRPr="008E2555" w:rsidRDefault="008E2555" w:rsidP="008E2555">
            <w:r w:rsidRPr="008E2555">
              <w:t>Миокардна исхемия, вкл, ангина пекторис или миокарден инфаркт, тахикардия, аритмия, палпитации, периферен едем</w:t>
            </w:r>
          </w:p>
        </w:tc>
        <w:tc>
          <w:tcPr>
            <w:tcW w:w="1443" w:type="dxa"/>
          </w:tcPr>
          <w:p w14:paraId="11FD8807" w14:textId="77777777" w:rsidR="008E2555" w:rsidRPr="008E2555" w:rsidRDefault="008E2555" w:rsidP="008E2555"/>
        </w:tc>
        <w:tc>
          <w:tcPr>
            <w:tcW w:w="1495" w:type="dxa"/>
          </w:tcPr>
          <w:p w14:paraId="46581F41" w14:textId="77777777" w:rsidR="008E2555" w:rsidRPr="008E2555" w:rsidRDefault="008E2555" w:rsidP="008E2555"/>
        </w:tc>
        <w:tc>
          <w:tcPr>
            <w:tcW w:w="1604" w:type="dxa"/>
          </w:tcPr>
          <w:p w14:paraId="3DB3C89F" w14:textId="77777777" w:rsidR="008E2555" w:rsidRPr="008E2555" w:rsidRDefault="008E2555" w:rsidP="008E2555"/>
        </w:tc>
      </w:tr>
      <w:tr w:rsidR="008E2555" w14:paraId="57BBB3B2" w14:textId="77777777" w:rsidTr="008E2555">
        <w:tc>
          <w:tcPr>
            <w:tcW w:w="2138" w:type="dxa"/>
          </w:tcPr>
          <w:p w14:paraId="4B6843F9" w14:textId="10758CF7" w:rsidR="008E2555" w:rsidRPr="008E2555" w:rsidRDefault="008E2555" w:rsidP="008E2555">
            <w:r w:rsidRPr="008E2555">
              <w:rPr>
                <w:i/>
                <w:iCs/>
              </w:rPr>
              <w:lastRenderedPageBreak/>
              <w:t>Съдови нарушения</w:t>
            </w:r>
          </w:p>
        </w:tc>
        <w:tc>
          <w:tcPr>
            <w:tcW w:w="1323" w:type="dxa"/>
            <w:vAlign w:val="bottom"/>
          </w:tcPr>
          <w:p w14:paraId="7A048F9B" w14:textId="08AD9CCD" w:rsidR="008E2555" w:rsidRPr="008E2555" w:rsidRDefault="008E2555" w:rsidP="008E2555">
            <w:r w:rsidRPr="008E2555">
              <w:t>Хипотония, ортостатична хипотония, синкоп</w:t>
            </w:r>
          </w:p>
        </w:tc>
        <w:tc>
          <w:tcPr>
            <w:tcW w:w="1573" w:type="dxa"/>
          </w:tcPr>
          <w:p w14:paraId="1C061995" w14:textId="07651960" w:rsidR="008E2555" w:rsidRPr="008E2555" w:rsidRDefault="008E2555" w:rsidP="008E2555">
            <w:r w:rsidRPr="008E2555">
              <w:t>Зачервяване</w:t>
            </w:r>
          </w:p>
        </w:tc>
        <w:tc>
          <w:tcPr>
            <w:tcW w:w="1443" w:type="dxa"/>
            <w:vAlign w:val="bottom"/>
          </w:tcPr>
          <w:p w14:paraId="31102EBD" w14:textId="4C8B347E" w:rsidR="008E2555" w:rsidRPr="008E2555" w:rsidRDefault="008E2555" w:rsidP="008E2555">
            <w:r w:rsidRPr="008E2555">
              <w:t>Съдово стесняване, хипоперфузия, васкулит</w:t>
            </w:r>
          </w:p>
        </w:tc>
        <w:tc>
          <w:tcPr>
            <w:tcW w:w="1495" w:type="dxa"/>
          </w:tcPr>
          <w:p w14:paraId="54DDD8AF" w14:textId="77777777" w:rsidR="008E2555" w:rsidRPr="008E2555" w:rsidRDefault="008E2555" w:rsidP="008E2555"/>
        </w:tc>
        <w:tc>
          <w:tcPr>
            <w:tcW w:w="1604" w:type="dxa"/>
          </w:tcPr>
          <w:p w14:paraId="5DCE8B1D" w14:textId="13699D98" w:rsidR="008E2555" w:rsidRPr="008E2555" w:rsidRDefault="008E2555" w:rsidP="008E2555">
            <w:r w:rsidRPr="008E2555">
              <w:t>Феномен на РеЙно</w:t>
            </w:r>
          </w:p>
        </w:tc>
      </w:tr>
      <w:tr w:rsidR="008E2555" w14:paraId="1EFB2AC5" w14:textId="77777777" w:rsidTr="008E2555">
        <w:tc>
          <w:tcPr>
            <w:tcW w:w="2138" w:type="dxa"/>
          </w:tcPr>
          <w:p w14:paraId="56E99D89" w14:textId="55CF7F33" w:rsidR="008E2555" w:rsidRPr="008E2555" w:rsidRDefault="008E2555" w:rsidP="008E2555">
            <w:r w:rsidRPr="008E2555">
              <w:rPr>
                <w:i/>
                <w:iCs/>
              </w:rPr>
              <w:t>Респираторни, гръдни и медиасти- нални нарушения</w:t>
            </w:r>
          </w:p>
        </w:tc>
        <w:tc>
          <w:tcPr>
            <w:tcW w:w="1323" w:type="dxa"/>
            <w:vAlign w:val="bottom"/>
          </w:tcPr>
          <w:p w14:paraId="5B4D83DC" w14:textId="144F9D19" w:rsidR="008E2555" w:rsidRPr="008E2555" w:rsidRDefault="008E2555" w:rsidP="008E2555">
            <w:r w:rsidRPr="008E2555">
              <w:t>Непродук</w:t>
            </w:r>
            <w:r w:rsidRPr="008E2555">
              <w:softHyphen/>
              <w:t>тивна дразнеща кашлица, бронхит, синузит, диспнея</w:t>
            </w:r>
          </w:p>
        </w:tc>
        <w:tc>
          <w:tcPr>
            <w:tcW w:w="1573" w:type="dxa"/>
          </w:tcPr>
          <w:p w14:paraId="47C868C3" w14:textId="4D4A8C31" w:rsidR="008E2555" w:rsidRPr="008E2555" w:rsidRDefault="008E2555" w:rsidP="008E2555">
            <w:r w:rsidRPr="008E2555">
              <w:t>Бронхоспазъм, вкл. обострена астма, запушен нос</w:t>
            </w:r>
          </w:p>
        </w:tc>
        <w:tc>
          <w:tcPr>
            <w:tcW w:w="1443" w:type="dxa"/>
          </w:tcPr>
          <w:p w14:paraId="6E67D282" w14:textId="77777777" w:rsidR="008E2555" w:rsidRPr="008E2555" w:rsidRDefault="008E2555" w:rsidP="008E2555"/>
        </w:tc>
        <w:tc>
          <w:tcPr>
            <w:tcW w:w="1495" w:type="dxa"/>
          </w:tcPr>
          <w:p w14:paraId="2003C4FB" w14:textId="77777777" w:rsidR="008E2555" w:rsidRPr="008E2555" w:rsidRDefault="008E2555" w:rsidP="008E2555"/>
        </w:tc>
        <w:tc>
          <w:tcPr>
            <w:tcW w:w="1604" w:type="dxa"/>
          </w:tcPr>
          <w:p w14:paraId="4BA89F7C" w14:textId="77777777" w:rsidR="008E2555" w:rsidRPr="008E2555" w:rsidRDefault="008E2555" w:rsidP="008E2555"/>
        </w:tc>
      </w:tr>
      <w:tr w:rsidR="008E2555" w14:paraId="5AA20634" w14:textId="77777777" w:rsidTr="008E2555">
        <w:tc>
          <w:tcPr>
            <w:tcW w:w="2138" w:type="dxa"/>
          </w:tcPr>
          <w:p w14:paraId="24A48F6D" w14:textId="3FF111E9" w:rsidR="008E2555" w:rsidRPr="008E2555" w:rsidRDefault="008E2555" w:rsidP="008E2555">
            <w:r w:rsidRPr="008E2555">
              <w:rPr>
                <w:i/>
                <w:iCs/>
              </w:rPr>
              <w:t>Стомашно-чревни нарушения</w:t>
            </w:r>
          </w:p>
        </w:tc>
        <w:tc>
          <w:tcPr>
            <w:tcW w:w="1323" w:type="dxa"/>
          </w:tcPr>
          <w:p w14:paraId="581F037D" w14:textId="1E48F6E1" w:rsidR="008E2555" w:rsidRPr="008E2555" w:rsidRDefault="008E2555" w:rsidP="008E2555">
            <w:r w:rsidRPr="008E2555">
              <w:t>Стомашно- чревно възпаление, храносмила</w:t>
            </w:r>
            <w:r w:rsidRPr="008E2555">
              <w:softHyphen/>
              <w:t>телни смущения, коремен дискомфорт, диспепсия, диария, гадене, повръщане</w:t>
            </w:r>
          </w:p>
        </w:tc>
        <w:tc>
          <w:tcPr>
            <w:tcW w:w="1573" w:type="dxa"/>
            <w:vAlign w:val="bottom"/>
          </w:tcPr>
          <w:p w14:paraId="38D5C9C6" w14:textId="7033EA68" w:rsidR="008E2555" w:rsidRPr="008E2555" w:rsidRDefault="008E2555" w:rsidP="008E2555">
            <w:r w:rsidRPr="008E2555">
              <w:t>Панкреатит (изключително рядко са съобщавани случаи с фатален изход при лечение с АСЕ инхибитори), повишаване на панкреасните ензими, ангиоедем на тънкото черво, болка в горната част на коремната област, вкл. гастрит, запек, сухота в устата</w:t>
            </w:r>
          </w:p>
        </w:tc>
        <w:tc>
          <w:tcPr>
            <w:tcW w:w="1443" w:type="dxa"/>
          </w:tcPr>
          <w:p w14:paraId="7CAA71F7" w14:textId="12B47B5D" w:rsidR="008E2555" w:rsidRPr="008E2555" w:rsidRDefault="008E2555" w:rsidP="008E2555">
            <w:r w:rsidRPr="008E2555">
              <w:t>Глосит</w:t>
            </w:r>
          </w:p>
        </w:tc>
        <w:tc>
          <w:tcPr>
            <w:tcW w:w="1495" w:type="dxa"/>
            <w:vAlign w:val="bottom"/>
          </w:tcPr>
          <w:p w14:paraId="31E3040C" w14:textId="77777777" w:rsidR="008E2555" w:rsidRPr="008E2555" w:rsidRDefault="008E2555" w:rsidP="008E2555"/>
        </w:tc>
        <w:tc>
          <w:tcPr>
            <w:tcW w:w="1604" w:type="dxa"/>
          </w:tcPr>
          <w:p w14:paraId="6D1F08D0" w14:textId="30ED61B3" w:rsidR="008E2555" w:rsidRPr="008E2555" w:rsidRDefault="008E2555" w:rsidP="008E2555">
            <w:r w:rsidRPr="008E2555">
              <w:t>Афтозен стоматит</w:t>
            </w:r>
          </w:p>
        </w:tc>
      </w:tr>
      <w:tr w:rsidR="008E2555" w14:paraId="776985B5" w14:textId="77777777" w:rsidTr="008E2555">
        <w:tc>
          <w:tcPr>
            <w:tcW w:w="2138" w:type="dxa"/>
            <w:vAlign w:val="bottom"/>
          </w:tcPr>
          <w:p w14:paraId="14D4CF70" w14:textId="1DC9CB5F" w:rsidR="008E2555" w:rsidRPr="008E2555" w:rsidRDefault="008E2555" w:rsidP="008E2555">
            <w:r w:rsidRPr="008E2555">
              <w:rPr>
                <w:i/>
                <w:iCs/>
              </w:rPr>
              <w:t>Хепатобилиарни нарушения</w:t>
            </w:r>
          </w:p>
        </w:tc>
        <w:tc>
          <w:tcPr>
            <w:tcW w:w="1323" w:type="dxa"/>
          </w:tcPr>
          <w:p w14:paraId="4326A74C" w14:textId="77777777" w:rsidR="008E2555" w:rsidRPr="008E2555" w:rsidRDefault="008E2555" w:rsidP="008E2555"/>
        </w:tc>
        <w:tc>
          <w:tcPr>
            <w:tcW w:w="1573" w:type="dxa"/>
            <w:vAlign w:val="bottom"/>
          </w:tcPr>
          <w:p w14:paraId="704EB940" w14:textId="77777777" w:rsidR="008E2555" w:rsidRPr="008E2555" w:rsidRDefault="008E2555" w:rsidP="008E2555">
            <w:pPr>
              <w:rPr>
                <w:sz w:val="24"/>
                <w:szCs w:val="24"/>
                <w:lang w:eastAsia="bg-BG"/>
              </w:rPr>
            </w:pPr>
            <w:r w:rsidRPr="008E2555">
              <w:t>Повишени стойности на</w:t>
            </w:r>
            <w:r>
              <w:rPr>
                <w:lang w:val="en-US"/>
              </w:rPr>
              <w:t xml:space="preserve"> </w:t>
            </w:r>
            <w:r w:rsidRPr="008E2555">
              <w:rPr>
                <w:lang w:eastAsia="bg-BG"/>
              </w:rPr>
              <w:t>чернодробните ензими и/или</w:t>
            </w:r>
          </w:p>
          <w:p w14:paraId="3CECDD82" w14:textId="726D29B8" w:rsidR="008E2555" w:rsidRPr="008E2555" w:rsidRDefault="008E2555" w:rsidP="008E2555">
            <w:pPr>
              <w:rPr>
                <w:sz w:val="24"/>
                <w:szCs w:val="24"/>
                <w:lang w:eastAsia="bg-BG"/>
              </w:rPr>
            </w:pPr>
            <w:r w:rsidRPr="008E2555">
              <w:rPr>
                <w:lang w:eastAsia="bg-BG"/>
              </w:rPr>
              <w:t>конюгирания билирубин</w:t>
            </w:r>
          </w:p>
        </w:tc>
        <w:tc>
          <w:tcPr>
            <w:tcW w:w="1443" w:type="dxa"/>
            <w:vAlign w:val="bottom"/>
          </w:tcPr>
          <w:p w14:paraId="65FAA854" w14:textId="0FE67442" w:rsidR="008E2555" w:rsidRPr="008E2555" w:rsidRDefault="008E2555" w:rsidP="008E2555">
            <w:pPr>
              <w:rPr>
                <w:rFonts w:ascii="Times New Roman" w:eastAsia="Times New Roman" w:hAnsi="Times New Roman" w:cs="Times New Roman"/>
                <w:sz w:val="24"/>
                <w:szCs w:val="24"/>
                <w:lang w:eastAsia="bg-BG"/>
              </w:rPr>
            </w:pPr>
            <w:r w:rsidRPr="008E2555">
              <w:t>Жълтеница, холестатична,</w:t>
            </w:r>
            <w:r>
              <w:rPr>
                <w:lang w:val="en-US"/>
              </w:rPr>
              <w:t xml:space="preserve"> </w:t>
            </w:r>
            <w:r w:rsidRPr="008E2555">
              <w:rPr>
                <w:lang w:eastAsia="bg-BG"/>
              </w:rPr>
              <w:t>хепатоцелу- ларно увреждане</w:t>
            </w:r>
          </w:p>
        </w:tc>
        <w:tc>
          <w:tcPr>
            <w:tcW w:w="1495" w:type="dxa"/>
            <w:vAlign w:val="bottom"/>
          </w:tcPr>
          <w:p w14:paraId="5C189221" w14:textId="77777777" w:rsidR="008E2555" w:rsidRPr="008E2555" w:rsidRDefault="008E2555" w:rsidP="008E2555"/>
        </w:tc>
        <w:tc>
          <w:tcPr>
            <w:tcW w:w="1604" w:type="dxa"/>
            <w:vAlign w:val="bottom"/>
          </w:tcPr>
          <w:p w14:paraId="157ABA6A" w14:textId="77777777" w:rsidR="008E2555" w:rsidRPr="008E2555" w:rsidRDefault="008E2555" w:rsidP="008E2555">
            <w:r w:rsidRPr="008E2555">
              <w:t>Остра</w:t>
            </w:r>
          </w:p>
          <w:p w14:paraId="35AAE03E" w14:textId="1ED8DEE5" w:rsidR="008E2555" w:rsidRPr="008E2555" w:rsidRDefault="008E2555" w:rsidP="008E2555">
            <w:pPr>
              <w:rPr>
                <w:rFonts w:ascii="Times New Roman" w:eastAsia="Times New Roman" w:hAnsi="Times New Roman" w:cs="Times New Roman"/>
                <w:sz w:val="24"/>
                <w:szCs w:val="24"/>
                <w:lang w:eastAsia="bg-BG"/>
              </w:rPr>
            </w:pPr>
            <w:r w:rsidRPr="008E2555">
              <w:t>Чернодробна</w:t>
            </w:r>
            <w:r>
              <w:rPr>
                <w:lang w:val="en-US"/>
              </w:rPr>
              <w:t xml:space="preserve"> </w:t>
            </w:r>
            <w:r w:rsidRPr="008E2555">
              <w:rPr>
                <w:lang w:eastAsia="bg-BG"/>
              </w:rPr>
              <w:t>недостатъч</w:t>
            </w:r>
            <w:r w:rsidRPr="008E2555">
              <w:rPr>
                <w:lang w:eastAsia="bg-BG"/>
              </w:rPr>
              <w:softHyphen/>
              <w:t xml:space="preserve">ност, холестатичен или цитолитичен </w:t>
            </w:r>
            <w:r w:rsidRPr="008E2555">
              <w:rPr>
                <w:lang w:eastAsia="bg-BG"/>
              </w:rPr>
              <w:lastRenderedPageBreak/>
              <w:t>хепатит (изключително рядко с фатален изход)</w:t>
            </w:r>
          </w:p>
        </w:tc>
      </w:tr>
      <w:tr w:rsidR="008E2555" w14:paraId="100AE4A7" w14:textId="77777777" w:rsidTr="008E2555">
        <w:tc>
          <w:tcPr>
            <w:tcW w:w="2138" w:type="dxa"/>
          </w:tcPr>
          <w:p w14:paraId="263B7322" w14:textId="324E2C42" w:rsidR="008E2555" w:rsidRPr="008E2555" w:rsidRDefault="008E2555" w:rsidP="008E2555">
            <w:r w:rsidRPr="008E2555">
              <w:rPr>
                <w:i/>
                <w:iCs/>
              </w:rPr>
              <w:lastRenderedPageBreak/>
              <w:t>Нарушения на кожата и подкожната тъкан</w:t>
            </w:r>
          </w:p>
        </w:tc>
        <w:tc>
          <w:tcPr>
            <w:tcW w:w="1323" w:type="dxa"/>
          </w:tcPr>
          <w:p w14:paraId="51BC94ED" w14:textId="7C04A9A1" w:rsidR="008E2555" w:rsidRPr="008E2555" w:rsidRDefault="008E2555" w:rsidP="008E2555">
            <w:r w:rsidRPr="008E2555">
              <w:t>Обрив обикновено макулопапу- лозен</w:t>
            </w:r>
          </w:p>
        </w:tc>
        <w:tc>
          <w:tcPr>
            <w:tcW w:w="1573" w:type="dxa"/>
          </w:tcPr>
          <w:p w14:paraId="4AAA1D11" w14:textId="59EC7488" w:rsidR="008E2555" w:rsidRPr="008E2555" w:rsidRDefault="008E2555" w:rsidP="008E2555">
            <w:r w:rsidRPr="008E2555">
              <w:t>Ангиоедем, изключително рядко обструкция на дихателните пътища в резултат от ангиоедем с фатален изход, сърбеж, хиперхидро-за</w:t>
            </w:r>
          </w:p>
        </w:tc>
        <w:tc>
          <w:tcPr>
            <w:tcW w:w="1443" w:type="dxa"/>
          </w:tcPr>
          <w:p w14:paraId="7B29EE43" w14:textId="5F3F66BD" w:rsidR="008E2555" w:rsidRPr="008E2555" w:rsidRDefault="008E2555" w:rsidP="008E2555">
            <w:r w:rsidRPr="008E2555">
              <w:t>Ексфолиати- вен дерматит, уртикария, онихолиза</w:t>
            </w:r>
          </w:p>
        </w:tc>
        <w:tc>
          <w:tcPr>
            <w:tcW w:w="1495" w:type="dxa"/>
          </w:tcPr>
          <w:p w14:paraId="12A67F6C" w14:textId="1E5538A1" w:rsidR="008E2555" w:rsidRPr="008E2555" w:rsidRDefault="008E2555" w:rsidP="008E2555">
            <w:r w:rsidRPr="008E2555">
              <w:t>Реакция на фото- чувствителност</w:t>
            </w:r>
          </w:p>
        </w:tc>
        <w:tc>
          <w:tcPr>
            <w:tcW w:w="1604" w:type="dxa"/>
            <w:vAlign w:val="bottom"/>
          </w:tcPr>
          <w:p w14:paraId="1873081C" w14:textId="466A3568" w:rsidR="008E2555" w:rsidRPr="008E2555" w:rsidRDefault="008E2555" w:rsidP="008E2555">
            <w:r w:rsidRPr="008E2555">
              <w:t xml:space="preserve">Токсична епидермална некролиза, синдром на </w:t>
            </w:r>
            <w:r w:rsidRPr="008E2555">
              <w:rPr>
                <w:lang w:val="en-US"/>
              </w:rPr>
              <w:t xml:space="preserve">Stevens-Johnson, </w:t>
            </w:r>
            <w:r w:rsidRPr="008E2555">
              <w:t>еритема мултиформе, пемфигус, обострен псориазис, псориатичен дерматит, пемфигоиден или лихеноиден екзантем или енантем, алопеция</w:t>
            </w:r>
          </w:p>
        </w:tc>
      </w:tr>
      <w:tr w:rsidR="008E2555" w14:paraId="6D15A56A" w14:textId="77777777" w:rsidTr="008E2555">
        <w:tc>
          <w:tcPr>
            <w:tcW w:w="2138" w:type="dxa"/>
          </w:tcPr>
          <w:p w14:paraId="0CF2A347" w14:textId="738FA41B" w:rsidR="008E2555" w:rsidRPr="008E2555" w:rsidRDefault="008E2555" w:rsidP="008E2555">
            <w:r w:rsidRPr="008E2555">
              <w:rPr>
                <w:i/>
                <w:iCs/>
              </w:rPr>
              <w:t>Нарушения на мускулно-скелетната система и съединителната тъкан</w:t>
            </w:r>
          </w:p>
        </w:tc>
        <w:tc>
          <w:tcPr>
            <w:tcW w:w="1323" w:type="dxa"/>
          </w:tcPr>
          <w:p w14:paraId="536E8EA4" w14:textId="68978B07" w:rsidR="008E2555" w:rsidRPr="008E2555" w:rsidRDefault="008E2555" w:rsidP="008E2555">
            <w:r w:rsidRPr="008E2555">
              <w:t>Мускулни спазми, миалгия</w:t>
            </w:r>
          </w:p>
        </w:tc>
        <w:tc>
          <w:tcPr>
            <w:tcW w:w="1573" w:type="dxa"/>
          </w:tcPr>
          <w:p w14:paraId="53631E17" w14:textId="18BD890D" w:rsidR="008E2555" w:rsidRPr="008E2555" w:rsidRDefault="008E2555" w:rsidP="008E2555">
            <w:r w:rsidRPr="008E2555">
              <w:t>Артралгия</w:t>
            </w:r>
          </w:p>
        </w:tc>
        <w:tc>
          <w:tcPr>
            <w:tcW w:w="1443" w:type="dxa"/>
          </w:tcPr>
          <w:p w14:paraId="1C864381" w14:textId="77777777" w:rsidR="008E2555" w:rsidRPr="008E2555" w:rsidRDefault="008E2555" w:rsidP="008E2555"/>
        </w:tc>
        <w:tc>
          <w:tcPr>
            <w:tcW w:w="1495" w:type="dxa"/>
          </w:tcPr>
          <w:p w14:paraId="65D87BF6" w14:textId="77777777" w:rsidR="008E2555" w:rsidRPr="008E2555" w:rsidRDefault="008E2555" w:rsidP="008E2555"/>
        </w:tc>
        <w:tc>
          <w:tcPr>
            <w:tcW w:w="1604" w:type="dxa"/>
          </w:tcPr>
          <w:p w14:paraId="3D186CE0" w14:textId="77777777" w:rsidR="008E2555" w:rsidRPr="008E2555" w:rsidRDefault="008E2555" w:rsidP="008E2555"/>
        </w:tc>
      </w:tr>
      <w:tr w:rsidR="008E2555" w14:paraId="6558BF09" w14:textId="77777777" w:rsidTr="008E2555">
        <w:tc>
          <w:tcPr>
            <w:tcW w:w="2138" w:type="dxa"/>
          </w:tcPr>
          <w:p w14:paraId="7277BDC1" w14:textId="3A3F74B7" w:rsidR="008E2555" w:rsidRPr="008E2555" w:rsidRDefault="008E2555" w:rsidP="008E2555">
            <w:r w:rsidRPr="008E2555">
              <w:rPr>
                <w:i/>
                <w:iCs/>
              </w:rPr>
              <w:t>Нарушения на бъбреците и пикочните пътища</w:t>
            </w:r>
          </w:p>
        </w:tc>
        <w:tc>
          <w:tcPr>
            <w:tcW w:w="1323" w:type="dxa"/>
          </w:tcPr>
          <w:p w14:paraId="76B784D4" w14:textId="77777777" w:rsidR="008E2555" w:rsidRPr="008E2555" w:rsidRDefault="008E2555" w:rsidP="008E2555"/>
        </w:tc>
        <w:tc>
          <w:tcPr>
            <w:tcW w:w="1573" w:type="dxa"/>
            <w:vAlign w:val="bottom"/>
          </w:tcPr>
          <w:p w14:paraId="796FB29F" w14:textId="2F6D64C7" w:rsidR="008E2555" w:rsidRPr="008E2555" w:rsidRDefault="008E2555" w:rsidP="008E2555">
            <w:r w:rsidRPr="008E2555">
              <w:t xml:space="preserve">Бъбречно увреждане, вкл. остра бъбречна недостатъчност, полиурия, влошаване на съществуваща протеинурия, повишени стойности на уреята и </w:t>
            </w:r>
            <w:r w:rsidRPr="008E2555">
              <w:lastRenderedPageBreak/>
              <w:t>креатинина в кръвта</w:t>
            </w:r>
          </w:p>
        </w:tc>
        <w:tc>
          <w:tcPr>
            <w:tcW w:w="1443" w:type="dxa"/>
          </w:tcPr>
          <w:p w14:paraId="4D247679" w14:textId="77777777" w:rsidR="008E2555" w:rsidRPr="008E2555" w:rsidRDefault="008E2555" w:rsidP="008E2555"/>
        </w:tc>
        <w:tc>
          <w:tcPr>
            <w:tcW w:w="1495" w:type="dxa"/>
          </w:tcPr>
          <w:p w14:paraId="0AE1CB6A" w14:textId="77777777" w:rsidR="008E2555" w:rsidRPr="008E2555" w:rsidRDefault="008E2555" w:rsidP="008E2555"/>
        </w:tc>
        <w:tc>
          <w:tcPr>
            <w:tcW w:w="1604" w:type="dxa"/>
          </w:tcPr>
          <w:p w14:paraId="1345519D" w14:textId="77777777" w:rsidR="008E2555" w:rsidRPr="008E2555" w:rsidRDefault="008E2555" w:rsidP="008E2555"/>
        </w:tc>
      </w:tr>
      <w:tr w:rsidR="008E2555" w14:paraId="53A17201" w14:textId="77777777" w:rsidTr="008E2555">
        <w:tc>
          <w:tcPr>
            <w:tcW w:w="2138" w:type="dxa"/>
          </w:tcPr>
          <w:p w14:paraId="18A5B5A8" w14:textId="12BFE709" w:rsidR="008E2555" w:rsidRPr="008E2555" w:rsidRDefault="008E2555" w:rsidP="008E2555">
            <w:r w:rsidRPr="008E2555">
              <w:rPr>
                <w:i/>
                <w:iCs/>
              </w:rPr>
              <w:t>Нарушения на възпроизводителната система и гърдата</w:t>
            </w:r>
          </w:p>
        </w:tc>
        <w:tc>
          <w:tcPr>
            <w:tcW w:w="1323" w:type="dxa"/>
          </w:tcPr>
          <w:p w14:paraId="2836AB66" w14:textId="77777777" w:rsidR="008E2555" w:rsidRPr="008E2555" w:rsidRDefault="008E2555" w:rsidP="008E2555"/>
        </w:tc>
        <w:tc>
          <w:tcPr>
            <w:tcW w:w="1573" w:type="dxa"/>
            <w:vAlign w:val="bottom"/>
          </w:tcPr>
          <w:p w14:paraId="545A38D4" w14:textId="670EF558" w:rsidR="008E2555" w:rsidRPr="008E2555" w:rsidRDefault="008E2555" w:rsidP="008E2555">
            <w:r w:rsidRPr="008E2555">
              <w:t>Преходна еректилна импотенция, понижено либидо</w:t>
            </w:r>
          </w:p>
        </w:tc>
        <w:tc>
          <w:tcPr>
            <w:tcW w:w="1443" w:type="dxa"/>
          </w:tcPr>
          <w:p w14:paraId="2442EF84" w14:textId="77777777" w:rsidR="008E2555" w:rsidRPr="008E2555" w:rsidRDefault="008E2555" w:rsidP="008E2555"/>
        </w:tc>
        <w:tc>
          <w:tcPr>
            <w:tcW w:w="1495" w:type="dxa"/>
          </w:tcPr>
          <w:p w14:paraId="36EB4DE8" w14:textId="77777777" w:rsidR="008E2555" w:rsidRPr="008E2555" w:rsidRDefault="008E2555" w:rsidP="008E2555"/>
        </w:tc>
        <w:tc>
          <w:tcPr>
            <w:tcW w:w="1604" w:type="dxa"/>
          </w:tcPr>
          <w:p w14:paraId="7C188489" w14:textId="43E73032" w:rsidR="008E2555" w:rsidRPr="008E2555" w:rsidRDefault="008E2555" w:rsidP="008E2555">
            <w:r w:rsidRPr="008E2555">
              <w:t>Гинекомастия</w:t>
            </w:r>
          </w:p>
        </w:tc>
      </w:tr>
      <w:tr w:rsidR="008E2555" w14:paraId="6D37881A" w14:textId="77777777" w:rsidTr="008E2555">
        <w:tc>
          <w:tcPr>
            <w:tcW w:w="2138" w:type="dxa"/>
          </w:tcPr>
          <w:p w14:paraId="739F827A" w14:textId="1730D857" w:rsidR="008E2555" w:rsidRPr="008E2555" w:rsidRDefault="008E2555" w:rsidP="008E2555">
            <w:r w:rsidRPr="008E2555">
              <w:rPr>
                <w:i/>
                <w:iCs/>
              </w:rPr>
              <w:t>Общи нарушения и ефекти на мястото на приложение</w:t>
            </w:r>
          </w:p>
        </w:tc>
        <w:tc>
          <w:tcPr>
            <w:tcW w:w="1323" w:type="dxa"/>
          </w:tcPr>
          <w:p w14:paraId="495D74A9" w14:textId="47E843D8" w:rsidR="008E2555" w:rsidRPr="008E2555" w:rsidRDefault="008E2555" w:rsidP="008E2555">
            <w:r w:rsidRPr="008E2555">
              <w:t>Гръдна болка, умора</w:t>
            </w:r>
          </w:p>
        </w:tc>
        <w:tc>
          <w:tcPr>
            <w:tcW w:w="1573" w:type="dxa"/>
          </w:tcPr>
          <w:p w14:paraId="2151586E" w14:textId="347F7ED3" w:rsidR="008E2555" w:rsidRPr="008E2555" w:rsidRDefault="008E2555" w:rsidP="008E2555">
            <w:r w:rsidRPr="008E2555">
              <w:t>Пирексия</w:t>
            </w:r>
          </w:p>
        </w:tc>
        <w:tc>
          <w:tcPr>
            <w:tcW w:w="1443" w:type="dxa"/>
          </w:tcPr>
          <w:p w14:paraId="48BA300E" w14:textId="1A3137D3" w:rsidR="008E2555" w:rsidRPr="008E2555" w:rsidRDefault="008E2555" w:rsidP="008E2555">
            <w:r w:rsidRPr="008E2555">
              <w:t>Астения</w:t>
            </w:r>
          </w:p>
        </w:tc>
        <w:tc>
          <w:tcPr>
            <w:tcW w:w="1495" w:type="dxa"/>
          </w:tcPr>
          <w:p w14:paraId="29D2567D" w14:textId="77777777" w:rsidR="008E2555" w:rsidRPr="008E2555" w:rsidRDefault="008E2555" w:rsidP="008E2555"/>
        </w:tc>
        <w:tc>
          <w:tcPr>
            <w:tcW w:w="1604" w:type="dxa"/>
          </w:tcPr>
          <w:p w14:paraId="054CC53E" w14:textId="77777777" w:rsidR="008E2555" w:rsidRPr="008E2555" w:rsidRDefault="008E2555" w:rsidP="008E2555"/>
        </w:tc>
      </w:tr>
    </w:tbl>
    <w:p w14:paraId="783636E6" w14:textId="77777777" w:rsidR="008E2555" w:rsidRDefault="008E2555" w:rsidP="008E2555">
      <w:pPr>
        <w:spacing w:line="240" w:lineRule="auto"/>
        <w:rPr>
          <w:rFonts w:ascii="Times New Roman" w:eastAsia="Times New Roman" w:hAnsi="Times New Roman" w:cs="Times New Roman"/>
          <w:b/>
          <w:bCs/>
          <w:i/>
          <w:iCs/>
          <w:color w:val="000000"/>
          <w:sz w:val="20"/>
          <w:szCs w:val="20"/>
          <w:lang w:eastAsia="bg-BG"/>
        </w:rPr>
      </w:pPr>
    </w:p>
    <w:p w14:paraId="1CFCBB60" w14:textId="0192CFB0" w:rsidR="008E2555" w:rsidRPr="008E2555" w:rsidRDefault="008E2555" w:rsidP="008E2555">
      <w:pPr>
        <w:spacing w:line="240" w:lineRule="auto"/>
        <w:rPr>
          <w:rFonts w:eastAsia="Times New Roman" w:cs="Arial"/>
          <w:lang w:eastAsia="bg-BG"/>
        </w:rPr>
      </w:pPr>
      <w:r w:rsidRPr="008E2555">
        <w:rPr>
          <w:rFonts w:eastAsia="Times New Roman" w:cs="Arial"/>
          <w:b/>
          <w:bCs/>
          <w:i/>
          <w:iCs/>
          <w:color w:val="000000"/>
          <w:lang w:eastAsia="bg-BG"/>
        </w:rPr>
        <w:t>Педиатрична популация</w:t>
      </w:r>
    </w:p>
    <w:p w14:paraId="26AD10BE" w14:textId="77777777" w:rsidR="008E2555" w:rsidRPr="008E2555" w:rsidRDefault="008E2555" w:rsidP="008E2555">
      <w:pPr>
        <w:spacing w:line="240" w:lineRule="auto"/>
        <w:rPr>
          <w:rFonts w:eastAsia="Times New Roman" w:cs="Arial"/>
          <w:lang w:eastAsia="bg-BG"/>
        </w:rPr>
      </w:pPr>
      <w:r w:rsidRPr="008E2555">
        <w:rPr>
          <w:rFonts w:eastAsia="Times New Roman" w:cs="Arial"/>
          <w:color w:val="000000"/>
          <w:lang w:eastAsia="bg-BG"/>
        </w:rPr>
        <w:t>По време на 2 клинични проучвания при 325 деца и юноши на възраст 2-16 години е наблюдавана безопасността от приложението на рамиприл. Като цяло естеството и тежестта на нежеланите лекарствени реакции са сходни с тези при възрастните. При деца честотата на следните нежелани лекарствени е по-висока:</w:t>
      </w:r>
    </w:p>
    <w:p w14:paraId="1C4A3E48" w14:textId="77777777" w:rsidR="008E2555" w:rsidRPr="008E2555" w:rsidRDefault="008E2555" w:rsidP="008E2555">
      <w:pPr>
        <w:pStyle w:val="ListParagraph"/>
        <w:numPr>
          <w:ilvl w:val="0"/>
          <w:numId w:val="46"/>
        </w:numPr>
        <w:spacing w:line="240" w:lineRule="auto"/>
        <w:rPr>
          <w:rFonts w:eastAsia="Times New Roman" w:cs="Arial"/>
          <w:color w:val="000000"/>
          <w:lang w:eastAsia="bg-BG"/>
        </w:rPr>
      </w:pPr>
      <w:r w:rsidRPr="008E2555">
        <w:rPr>
          <w:rFonts w:eastAsia="Times New Roman" w:cs="Arial"/>
          <w:color w:val="000000"/>
          <w:lang w:eastAsia="bg-BG"/>
        </w:rPr>
        <w:t>Тахикардията, запушеният нос и ринитът се отнасят към „честите“ (т.е. ≥1/100 до 1/10) нежелани лекарствени реакции при педиатричната популация и към „нечестите" (т.е.</w:t>
      </w:r>
      <w:r w:rsidRPr="008E2555">
        <w:rPr>
          <w:rFonts w:eastAsia="Times New Roman" w:cs="Arial"/>
          <w:color w:val="000000"/>
          <w:lang w:val="en-US" w:eastAsia="bg-BG"/>
        </w:rPr>
        <w:t xml:space="preserve"> </w:t>
      </w:r>
      <w:r w:rsidRPr="008E2555">
        <w:rPr>
          <w:rFonts w:eastAsia="Times New Roman" w:cs="Arial"/>
          <w:color w:val="000000"/>
          <w:lang w:eastAsia="bg-BG"/>
        </w:rPr>
        <w:t>≥1/1 000 до &lt;1/100) при популацията на възрастните пациенти.</w:t>
      </w:r>
    </w:p>
    <w:p w14:paraId="4277685B" w14:textId="77777777" w:rsidR="008E2555" w:rsidRPr="008E2555" w:rsidRDefault="008E2555" w:rsidP="008E2555">
      <w:pPr>
        <w:pStyle w:val="ListParagraph"/>
        <w:numPr>
          <w:ilvl w:val="0"/>
          <w:numId w:val="46"/>
        </w:numPr>
        <w:spacing w:line="240" w:lineRule="auto"/>
        <w:rPr>
          <w:rFonts w:eastAsia="Times New Roman" w:cs="Arial"/>
          <w:color w:val="000000"/>
          <w:lang w:eastAsia="bg-BG"/>
        </w:rPr>
      </w:pPr>
      <w:r w:rsidRPr="008E2555">
        <w:rPr>
          <w:rFonts w:eastAsia="Times New Roman" w:cs="Arial"/>
          <w:color w:val="000000"/>
          <w:lang w:eastAsia="bg-BG"/>
        </w:rPr>
        <w:t>Конюнктивит - отнася се към „честите“ (т.е., ≥ 1/100 до &lt;1/10) нежелани лекарствени</w:t>
      </w:r>
      <w:r w:rsidRPr="008E2555">
        <w:rPr>
          <w:rFonts w:eastAsia="Times New Roman" w:cs="Arial"/>
          <w:color w:val="000000"/>
          <w:lang w:val="en-US" w:eastAsia="bg-BG"/>
        </w:rPr>
        <w:t xml:space="preserve"> </w:t>
      </w:r>
      <w:r w:rsidRPr="008E2555">
        <w:rPr>
          <w:rFonts w:eastAsia="Times New Roman" w:cs="Arial"/>
          <w:color w:val="000000"/>
          <w:lang w:eastAsia="bg-BG"/>
        </w:rPr>
        <w:t>реакции при педиатричната популация, докато при възрастните се причислява към „редките“ (т.е. ≥ 1/10 000 до &lt;1/1 000).</w:t>
      </w:r>
    </w:p>
    <w:p w14:paraId="39826A8B" w14:textId="17CB8BFB" w:rsidR="008E2555" w:rsidRPr="008E2555" w:rsidRDefault="008E2555" w:rsidP="008E2555">
      <w:pPr>
        <w:pStyle w:val="ListParagraph"/>
        <w:numPr>
          <w:ilvl w:val="0"/>
          <w:numId w:val="46"/>
        </w:numPr>
        <w:spacing w:line="240" w:lineRule="auto"/>
        <w:rPr>
          <w:rFonts w:eastAsia="Times New Roman" w:cs="Arial"/>
          <w:color w:val="000000"/>
          <w:lang w:eastAsia="bg-BG"/>
        </w:rPr>
      </w:pPr>
      <w:r w:rsidRPr="008E2555">
        <w:rPr>
          <w:rFonts w:eastAsia="Times New Roman" w:cs="Arial"/>
          <w:color w:val="000000"/>
          <w:lang w:eastAsia="bg-BG"/>
        </w:rPr>
        <w:t>Треморът и уртикарията се отнасят към „нечестите“ (т.е. ≥1/1 000 до &lt;1/100) нежелани</w:t>
      </w:r>
      <w:r w:rsidRPr="008E2555">
        <w:rPr>
          <w:rFonts w:eastAsia="Times New Roman" w:cs="Arial"/>
          <w:color w:val="000000"/>
          <w:lang w:val="en-US" w:eastAsia="bg-BG"/>
        </w:rPr>
        <w:t xml:space="preserve"> </w:t>
      </w:r>
      <w:r w:rsidRPr="008E2555">
        <w:rPr>
          <w:rFonts w:eastAsia="Times New Roman" w:cs="Arial"/>
          <w:color w:val="000000"/>
          <w:lang w:eastAsia="bg-BG"/>
        </w:rPr>
        <w:t>лекарствени реакции при педиатричната популация, докато при възрастни са „редки“ (т.е.</w:t>
      </w:r>
      <w:r w:rsidRPr="008E2555">
        <w:rPr>
          <w:rFonts w:eastAsia="Times New Roman" w:cs="Arial"/>
          <w:color w:val="000000"/>
          <w:lang w:val="en-US" w:eastAsia="bg-BG"/>
        </w:rPr>
        <w:t xml:space="preserve"> </w:t>
      </w:r>
      <w:r w:rsidRPr="008E2555">
        <w:rPr>
          <w:rFonts w:eastAsia="Times New Roman" w:cs="Arial"/>
          <w:color w:val="000000"/>
          <w:lang w:eastAsia="bg-BG"/>
        </w:rPr>
        <w:t>≥ 1/10 000 до &lt;1/1 000).</w:t>
      </w:r>
    </w:p>
    <w:p w14:paraId="4550E216" w14:textId="77777777" w:rsidR="008E2555" w:rsidRPr="008E2555" w:rsidRDefault="008E2555" w:rsidP="008E2555">
      <w:pPr>
        <w:spacing w:line="240" w:lineRule="auto"/>
        <w:rPr>
          <w:rFonts w:eastAsia="Times New Roman" w:cs="Arial"/>
          <w:color w:val="000000"/>
          <w:lang w:eastAsia="bg-BG"/>
        </w:rPr>
      </w:pPr>
    </w:p>
    <w:p w14:paraId="5B3E3069" w14:textId="44171A18" w:rsidR="008E2555" w:rsidRPr="008E2555" w:rsidRDefault="008E2555" w:rsidP="008E2555">
      <w:pPr>
        <w:spacing w:line="240" w:lineRule="auto"/>
        <w:rPr>
          <w:rFonts w:eastAsia="Times New Roman" w:cs="Arial"/>
          <w:lang w:eastAsia="bg-BG"/>
        </w:rPr>
      </w:pPr>
      <w:r w:rsidRPr="008E2555">
        <w:rPr>
          <w:rFonts w:eastAsia="Times New Roman" w:cs="Arial"/>
          <w:color w:val="000000"/>
          <w:lang w:eastAsia="bg-BG"/>
        </w:rPr>
        <w:t>Общият профил на безопасност на рамиприл при педиатрични пациенти не се различава значително от профила на безопасност при възрастни.</w:t>
      </w:r>
    </w:p>
    <w:p w14:paraId="1CDC2228" w14:textId="77777777" w:rsidR="008E2555" w:rsidRPr="008E2555" w:rsidRDefault="008E2555" w:rsidP="008E2555">
      <w:pPr>
        <w:spacing w:line="240" w:lineRule="auto"/>
        <w:rPr>
          <w:rFonts w:eastAsia="Times New Roman" w:cs="Arial"/>
          <w:color w:val="000000"/>
          <w:u w:val="single"/>
          <w:lang w:eastAsia="bg-BG"/>
        </w:rPr>
      </w:pPr>
    </w:p>
    <w:p w14:paraId="7BD404C8" w14:textId="76C5C9D0" w:rsidR="008E2555" w:rsidRPr="008E2555" w:rsidRDefault="008E2555" w:rsidP="008E2555">
      <w:pPr>
        <w:spacing w:line="240" w:lineRule="auto"/>
        <w:rPr>
          <w:rFonts w:eastAsia="Times New Roman" w:cs="Arial"/>
          <w:lang w:eastAsia="bg-BG"/>
        </w:rPr>
      </w:pPr>
      <w:r w:rsidRPr="008E2555">
        <w:rPr>
          <w:rFonts w:eastAsia="Times New Roman" w:cs="Arial"/>
          <w:color w:val="000000"/>
          <w:u w:val="single"/>
          <w:lang w:eastAsia="bg-BG"/>
        </w:rPr>
        <w:t>Съобщаване на подозирани нежелани реакции</w:t>
      </w:r>
    </w:p>
    <w:p w14:paraId="2993A857" w14:textId="487BED68" w:rsidR="008E2555" w:rsidRPr="008E2555" w:rsidRDefault="008E2555" w:rsidP="008E2555">
      <w:pPr>
        <w:rPr>
          <w:rFonts w:eastAsia="Times New Roman" w:cs="Arial"/>
          <w:color w:val="000000"/>
          <w:lang w:val="en-US"/>
        </w:rPr>
      </w:pPr>
      <w:r w:rsidRPr="008E255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w:t>
      </w:r>
      <w:r w:rsidRPr="008E2555">
        <w:rPr>
          <w:rFonts w:eastAsia="Times New Roman" w:cs="Arial"/>
          <w:i/>
          <w:iCs/>
          <w:color w:val="000000"/>
          <w:lang w:eastAsia="bg-BG"/>
        </w:rPr>
        <w:t>02 8903417,</w:t>
      </w:r>
      <w:r w:rsidRPr="008E2555">
        <w:rPr>
          <w:rFonts w:eastAsia="Times New Roman" w:cs="Arial"/>
          <w:color w:val="000000"/>
          <w:lang w:eastAsia="bg-BG"/>
        </w:rPr>
        <w:t xml:space="preserve"> уебсайт: </w:t>
      </w:r>
      <w:hyperlink r:id="rId5" w:history="1">
        <w:r w:rsidRPr="008E2555">
          <w:rPr>
            <w:rFonts w:eastAsia="Times New Roman" w:cs="Arial"/>
            <w:color w:val="000000"/>
            <w:lang w:val="en-US"/>
          </w:rPr>
          <w:t>www.bda.bg</w:t>
        </w:r>
      </w:hyperlink>
      <w:r w:rsidRPr="008E2555">
        <w:rPr>
          <w:rFonts w:eastAsia="Times New Roman" w:cs="Arial"/>
          <w:color w:val="000000"/>
          <w:lang w:val="en-US"/>
        </w:rPr>
        <w:t>.</w:t>
      </w:r>
    </w:p>
    <w:p w14:paraId="554F8C25" w14:textId="77777777" w:rsidR="008E2555" w:rsidRPr="008E2555" w:rsidRDefault="008E2555" w:rsidP="008E2555"/>
    <w:p w14:paraId="4A5904B1" w14:textId="6D95368C" w:rsidR="00EE6C97" w:rsidRDefault="002C50EE" w:rsidP="00A93499">
      <w:pPr>
        <w:pStyle w:val="Heading2"/>
      </w:pPr>
      <w:r>
        <w:t>4.9. Предозиране</w:t>
      </w:r>
    </w:p>
    <w:p w14:paraId="105A9CD8" w14:textId="7F3FC7FB" w:rsidR="008E2555" w:rsidRDefault="008E2555" w:rsidP="008E2555"/>
    <w:p w14:paraId="6FA534B1" w14:textId="77777777" w:rsidR="008E2555" w:rsidRPr="008E2555" w:rsidRDefault="008E2555" w:rsidP="008E2555">
      <w:pPr>
        <w:pStyle w:val="Heading3"/>
        <w:rPr>
          <w:rFonts w:eastAsia="Times New Roman"/>
          <w:sz w:val="28"/>
          <w:szCs w:val="28"/>
          <w:u w:val="single"/>
          <w:lang w:eastAsia="bg-BG"/>
        </w:rPr>
      </w:pPr>
      <w:r w:rsidRPr="008E2555">
        <w:rPr>
          <w:rFonts w:eastAsia="Times New Roman"/>
          <w:u w:val="single"/>
          <w:lang w:eastAsia="bg-BG"/>
        </w:rPr>
        <w:t>Симптоми</w:t>
      </w:r>
    </w:p>
    <w:p w14:paraId="2FE36D34"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Симптомите, свързани с предозиране на АСЕ инхибитори могат да включват прекомерна периферна вазодилатация (с подчертана хипотония, шок), брадикардия, електролитни нарушения и бъбречна недостатъчност.</w:t>
      </w:r>
    </w:p>
    <w:p w14:paraId="419DDEA6" w14:textId="77777777" w:rsidR="008E2555" w:rsidRPr="008E2555" w:rsidRDefault="008E2555" w:rsidP="008E2555">
      <w:pPr>
        <w:spacing w:line="240" w:lineRule="auto"/>
        <w:rPr>
          <w:rFonts w:eastAsia="Times New Roman" w:cs="Arial"/>
          <w:color w:val="000000"/>
          <w:u w:val="single"/>
          <w:lang w:eastAsia="bg-BG"/>
        </w:rPr>
      </w:pPr>
    </w:p>
    <w:p w14:paraId="42E123F4" w14:textId="5E9CD4D5" w:rsidR="008E2555" w:rsidRPr="008E2555" w:rsidRDefault="008E2555" w:rsidP="008E2555">
      <w:pPr>
        <w:pStyle w:val="Heading3"/>
        <w:rPr>
          <w:rFonts w:eastAsia="Times New Roman"/>
          <w:sz w:val="28"/>
          <w:szCs w:val="28"/>
          <w:u w:val="single"/>
          <w:lang w:eastAsia="bg-BG"/>
        </w:rPr>
      </w:pPr>
      <w:r w:rsidRPr="008E2555">
        <w:rPr>
          <w:rFonts w:eastAsia="Times New Roman"/>
          <w:u w:val="single"/>
          <w:lang w:eastAsia="bg-BG"/>
        </w:rPr>
        <w:t>Мерки при предозиране</w:t>
      </w:r>
    </w:p>
    <w:p w14:paraId="4CE7ED41" w14:textId="522D2D18" w:rsidR="008E2555" w:rsidRPr="008E2555" w:rsidRDefault="008E2555" w:rsidP="008E2555">
      <w:pPr>
        <w:rPr>
          <w:rFonts w:cs="Arial"/>
          <w:sz w:val="24"/>
          <w:szCs w:val="24"/>
        </w:rPr>
      </w:pPr>
      <w:r w:rsidRPr="008E2555">
        <w:rPr>
          <w:rFonts w:eastAsia="Times New Roman" w:cs="Arial"/>
          <w:color w:val="000000"/>
          <w:lang w:eastAsia="bg-BG"/>
        </w:rPr>
        <w:t xml:space="preserve">Пациентът трябва да бъде стриктно наблюдаван, лечението трябва да бъде симптоматично и поддържащо. Предлаганите мерки, включват първоначална </w:t>
      </w:r>
      <w:r w:rsidRPr="008E2555">
        <w:rPr>
          <w:rFonts w:eastAsia="Times New Roman" w:cs="Arial"/>
          <w:color w:val="000000"/>
          <w:lang w:eastAsia="bg-BG"/>
        </w:rPr>
        <w:lastRenderedPageBreak/>
        <w:t>детоксикация (стомашна промивка, прилагане на адсорбенти) и мерки за възстановяване на хемодинамичната стабилност, включително прилагане на алфа 1-адренергични агонисти или ангиотензин II (ангиотензинамид). Рамиприлат, активният метаболит на рамиприл, се отстранява незадоволително чрез хемодиализа от общото кръвообращение.</w:t>
      </w:r>
    </w:p>
    <w:p w14:paraId="02081B24" w14:textId="36FE76F4" w:rsidR="00395555" w:rsidRPr="00395555" w:rsidRDefault="002C50EE" w:rsidP="008A6AF2">
      <w:pPr>
        <w:pStyle w:val="Heading1"/>
      </w:pPr>
      <w:r>
        <w:t>5. ФАРМАКОЛОГИЧНИ СВОЙСТВА</w:t>
      </w:r>
    </w:p>
    <w:p w14:paraId="3B9FA2B5" w14:textId="48827529" w:rsidR="00EE6C97" w:rsidRDefault="002C50EE" w:rsidP="00A93499">
      <w:pPr>
        <w:pStyle w:val="Heading2"/>
      </w:pPr>
      <w:r>
        <w:t>5.1. Фармакодинамични свойства</w:t>
      </w:r>
    </w:p>
    <w:p w14:paraId="4FD57757" w14:textId="4B502F74" w:rsidR="008E2555" w:rsidRDefault="008E2555" w:rsidP="008E2555"/>
    <w:p w14:paraId="3EFC677D"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Фармакотерапевтична група: АСЕ инхибитори, самостоятелно, АТС код: С09АА05.</w:t>
      </w:r>
    </w:p>
    <w:p w14:paraId="1A2C5AA9" w14:textId="77777777" w:rsidR="008E2555" w:rsidRPr="008E2555" w:rsidRDefault="008E2555" w:rsidP="008E2555">
      <w:pPr>
        <w:spacing w:line="240" w:lineRule="auto"/>
        <w:rPr>
          <w:rFonts w:eastAsia="Times New Roman" w:cs="Arial"/>
          <w:color w:val="000000"/>
          <w:u w:val="single"/>
          <w:lang w:eastAsia="bg-BG"/>
        </w:rPr>
      </w:pPr>
    </w:p>
    <w:p w14:paraId="741AF382" w14:textId="089368E9"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u w:val="single"/>
          <w:lang w:eastAsia="bg-BG"/>
        </w:rPr>
        <w:t>Механизъм на действие</w:t>
      </w:r>
    </w:p>
    <w:p w14:paraId="0E2154F2" w14:textId="77777777" w:rsidR="008E2555" w:rsidRPr="008E2555" w:rsidRDefault="008E2555" w:rsidP="008E2555">
      <w:pPr>
        <w:spacing w:line="240" w:lineRule="auto"/>
        <w:rPr>
          <w:rFonts w:eastAsia="Times New Roman" w:cs="Arial"/>
          <w:color w:val="000000"/>
          <w:lang w:eastAsia="bg-BG"/>
        </w:rPr>
      </w:pPr>
    </w:p>
    <w:p w14:paraId="48FCBEE8" w14:textId="329EB8B9"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 xml:space="preserve">Рамиприлат, активният метаболит на предлекарството рамиприл, инхибира ензима дипептидилкарбоксипептидаза I (синоними: ангиотензин-конвертиращ ензим; кининаза II). В плазмата и тъканите този ензим катализира конвертирането на ангиотензин I до активния вазоконстриктор ангиотензин </w:t>
      </w:r>
      <w:r w:rsidRPr="008E2555">
        <w:rPr>
          <w:rFonts w:eastAsia="Times New Roman" w:cs="Arial"/>
          <w:color w:val="000000"/>
          <w:lang w:val="en-US"/>
        </w:rPr>
        <w:t>II</w:t>
      </w:r>
      <w:r w:rsidRPr="008E2555">
        <w:rPr>
          <w:rFonts w:eastAsia="Times New Roman" w:cs="Arial"/>
          <w:color w:val="000000"/>
          <w:lang w:eastAsia="bg-BG"/>
        </w:rPr>
        <w:t>, както и инхибира разграждането на активния вазодилататор брадикинин. Пониженото образуване на ангиотензин II и инхибиране на разграждането на брадикинин, водят до вазодилатация.</w:t>
      </w:r>
    </w:p>
    <w:p w14:paraId="5E394FBA" w14:textId="2FC4832F" w:rsidR="008E2555" w:rsidRPr="008E2555" w:rsidRDefault="008E2555" w:rsidP="008E2555">
      <w:pPr>
        <w:rPr>
          <w:rFonts w:eastAsia="Times New Roman" w:cs="Arial"/>
          <w:color w:val="000000"/>
          <w:lang w:eastAsia="bg-BG"/>
        </w:rPr>
      </w:pPr>
      <w:r w:rsidRPr="008E2555">
        <w:rPr>
          <w:rFonts w:eastAsia="Times New Roman" w:cs="Arial"/>
          <w:color w:val="000000"/>
          <w:lang w:eastAsia="bg-BG"/>
        </w:rPr>
        <w:t>Тъй като ангиотензин II стимулира освобождаването на алдостерон, рамиприлат води до намаляване на алдостероновата секреция. Средностатистически повлияването от монотерапия с АСЕ инхибитор е по-слабо при чернокожи (афро-карибска раса) хипертонични пациенти обикновено популация с хипертония с нисък ренин) отколкото при нечернокожи пациенти.</w:t>
      </w:r>
    </w:p>
    <w:p w14:paraId="20E96F8D" w14:textId="36694705" w:rsidR="008E2555" w:rsidRPr="008E2555" w:rsidRDefault="008E2555" w:rsidP="008E2555">
      <w:pPr>
        <w:rPr>
          <w:rFonts w:eastAsia="Times New Roman" w:cs="Arial"/>
          <w:color w:val="000000"/>
          <w:lang w:eastAsia="bg-BG"/>
        </w:rPr>
      </w:pPr>
    </w:p>
    <w:p w14:paraId="3E9DF438"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u w:val="single"/>
          <w:lang w:eastAsia="bg-BG"/>
        </w:rPr>
        <w:t>Фармакодинамични ефекти</w:t>
      </w:r>
    </w:p>
    <w:p w14:paraId="4537E501" w14:textId="77777777" w:rsidR="008E2555" w:rsidRPr="008E2555" w:rsidRDefault="008E2555" w:rsidP="008E2555">
      <w:pPr>
        <w:spacing w:line="240" w:lineRule="auto"/>
        <w:rPr>
          <w:rFonts w:eastAsia="Times New Roman" w:cs="Arial"/>
          <w:i/>
          <w:iCs/>
          <w:color w:val="000000"/>
          <w:lang w:eastAsia="bg-BG"/>
        </w:rPr>
      </w:pPr>
    </w:p>
    <w:p w14:paraId="4CAED692" w14:textId="23030086" w:rsidR="008E2555" w:rsidRPr="008E2555" w:rsidRDefault="008E2555" w:rsidP="008E2555">
      <w:pPr>
        <w:spacing w:line="240" w:lineRule="auto"/>
        <w:rPr>
          <w:rFonts w:eastAsia="Times New Roman" w:cs="Arial"/>
          <w:sz w:val="28"/>
          <w:szCs w:val="28"/>
          <w:lang w:eastAsia="bg-BG"/>
        </w:rPr>
      </w:pPr>
      <w:r w:rsidRPr="008E2555">
        <w:rPr>
          <w:rFonts w:eastAsia="Times New Roman" w:cs="Arial"/>
          <w:i/>
          <w:iCs/>
          <w:color w:val="000000"/>
          <w:lang w:eastAsia="bg-BG"/>
        </w:rPr>
        <w:t>Антихипертензивни свойства:</w:t>
      </w:r>
    </w:p>
    <w:p w14:paraId="6A6A6ACA"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Прилагането на рамиприл води до значително понижаване на периферната артериална резистентност. В повечето случаи няма значими промени в бъбречния кръвоток и скоростта на гломерулната филтрация. Прилагането на рамиприл при пациенти с хипертония води до понижаване на кръвното налягане в изправено и легнало положение, без компенсаторно повишаване на сърдечната честота.</w:t>
      </w:r>
    </w:p>
    <w:p w14:paraId="0F8FB9BA"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При повечето пациенти началото на антихипертензивния ефект на еднократната доза се проявява 1 до 2 часа след перорално приложение. Пиковият ефект на еднократната доза, обикновено се достига 3 до 6 часа след перорално приложение. Антихипертензивният ефект на еднократна доза обикновено продължава 24 часа.</w:t>
      </w:r>
    </w:p>
    <w:p w14:paraId="17D4CF18"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 xml:space="preserve">Максималният антихипертензивен ефект </w:t>
      </w:r>
      <w:r w:rsidRPr="008E2555">
        <w:rPr>
          <w:rFonts w:eastAsia="Times New Roman" w:cs="Arial"/>
          <w:i/>
          <w:iCs/>
          <w:color w:val="000000"/>
          <w:lang w:eastAsia="bg-BG"/>
        </w:rPr>
        <w:t>на</w:t>
      </w:r>
      <w:r w:rsidRPr="008E2555">
        <w:rPr>
          <w:rFonts w:eastAsia="Times New Roman" w:cs="Arial"/>
          <w:color w:val="000000"/>
          <w:lang w:eastAsia="bg-BG"/>
        </w:rPr>
        <w:t xml:space="preserve"> продължително лечение с рамиприл обикновено настъпва след 3 до 4 седмици. Доказано е, че антихипертензивният ефект е постоянен при дълготрайна терапия продължаваща 2 години.</w:t>
      </w:r>
    </w:p>
    <w:p w14:paraId="5A1979E0"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Рязкото прекъсване приема на рамиприл не води до бърз и прекомерен ребаунд ефект на повишаване на артериалното налягане.</w:t>
      </w:r>
    </w:p>
    <w:p w14:paraId="53237C2F" w14:textId="77777777" w:rsidR="008E2555" w:rsidRPr="008E2555" w:rsidRDefault="008E2555" w:rsidP="008E2555">
      <w:pPr>
        <w:spacing w:line="240" w:lineRule="auto"/>
        <w:rPr>
          <w:rFonts w:eastAsia="Times New Roman" w:cs="Arial"/>
          <w:i/>
          <w:iCs/>
          <w:color w:val="000000"/>
          <w:lang w:eastAsia="bg-BG"/>
        </w:rPr>
      </w:pPr>
    </w:p>
    <w:p w14:paraId="1E655C05" w14:textId="0C59266B" w:rsidR="008E2555" w:rsidRPr="008E2555" w:rsidRDefault="008E2555" w:rsidP="008E2555">
      <w:pPr>
        <w:spacing w:line="240" w:lineRule="auto"/>
        <w:rPr>
          <w:rFonts w:eastAsia="Times New Roman" w:cs="Arial"/>
          <w:sz w:val="28"/>
          <w:szCs w:val="28"/>
          <w:lang w:eastAsia="bg-BG"/>
        </w:rPr>
      </w:pPr>
      <w:r w:rsidRPr="008E2555">
        <w:rPr>
          <w:rFonts w:eastAsia="Times New Roman" w:cs="Arial"/>
          <w:i/>
          <w:iCs/>
          <w:color w:val="000000"/>
          <w:lang w:eastAsia="bg-BG"/>
        </w:rPr>
        <w:t>Сърдечна недостатъчност:</w:t>
      </w:r>
    </w:p>
    <w:p w14:paraId="3187F6E5"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 xml:space="preserve">Като добавка към конвенционалната терапия с диуретици и изборно със сърдечни гликозиди, рамиприл показва ефективност при пациенти с функционален клас </w:t>
      </w:r>
      <w:r w:rsidRPr="008E2555">
        <w:rPr>
          <w:rFonts w:eastAsia="Times New Roman" w:cs="Arial"/>
          <w:color w:val="000000"/>
          <w:lang w:val="en-US"/>
        </w:rPr>
        <w:t xml:space="preserve">II-IV </w:t>
      </w:r>
      <w:r w:rsidRPr="008E2555">
        <w:rPr>
          <w:rFonts w:eastAsia="Times New Roman" w:cs="Arial"/>
          <w:color w:val="000000"/>
          <w:lang w:eastAsia="bg-BG"/>
        </w:rPr>
        <w:t xml:space="preserve">по </w:t>
      </w:r>
      <w:r w:rsidRPr="008E2555">
        <w:rPr>
          <w:rFonts w:eastAsia="Times New Roman" w:cs="Arial"/>
          <w:color w:val="000000"/>
          <w:lang w:val="en-US"/>
        </w:rPr>
        <w:t xml:space="preserve">New-York Heart Association. </w:t>
      </w:r>
      <w:r w:rsidRPr="008E2555">
        <w:rPr>
          <w:rFonts w:eastAsia="Times New Roman" w:cs="Arial"/>
          <w:color w:val="000000"/>
          <w:lang w:eastAsia="bg-BG"/>
        </w:rPr>
        <w:t xml:space="preserve">Лекарството има ползотворни ефекти върху сърдечната хемодинамика (намаляване на налягането при пълнене на лява и дясна камера, намаляване на общата периферна съдова резистентност, повишаване на изходящия </w:t>
      </w:r>
      <w:r w:rsidRPr="008E2555">
        <w:rPr>
          <w:rFonts w:eastAsia="Times New Roman" w:cs="Arial"/>
          <w:color w:val="000000"/>
          <w:lang w:eastAsia="bg-BG"/>
        </w:rPr>
        <w:lastRenderedPageBreak/>
        <w:t>сърдечен кръвоток и подобрен сърдечен индекс). Понижава също невроендокринната активация.</w:t>
      </w:r>
    </w:p>
    <w:p w14:paraId="654AB46A" w14:textId="77777777" w:rsidR="008E2555" w:rsidRPr="008E2555" w:rsidRDefault="008E2555" w:rsidP="008E2555">
      <w:pPr>
        <w:spacing w:line="240" w:lineRule="auto"/>
        <w:rPr>
          <w:rFonts w:eastAsia="Times New Roman" w:cs="Arial"/>
          <w:color w:val="000000"/>
          <w:u w:val="single"/>
          <w:lang w:eastAsia="bg-BG"/>
        </w:rPr>
      </w:pPr>
    </w:p>
    <w:p w14:paraId="4817892E" w14:textId="13600273"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u w:val="single"/>
          <w:lang w:eastAsia="bg-BG"/>
        </w:rPr>
        <w:t>Клинична ефикасност и безопасност</w:t>
      </w:r>
    </w:p>
    <w:p w14:paraId="37E30F9E" w14:textId="77777777" w:rsidR="008E2555" w:rsidRPr="008E2555" w:rsidRDefault="008E2555" w:rsidP="008E2555">
      <w:pPr>
        <w:spacing w:line="240" w:lineRule="auto"/>
        <w:rPr>
          <w:rFonts w:eastAsia="Times New Roman" w:cs="Arial"/>
          <w:i/>
          <w:iCs/>
          <w:color w:val="000000"/>
          <w:lang w:eastAsia="bg-BG"/>
        </w:rPr>
      </w:pPr>
    </w:p>
    <w:p w14:paraId="49F68952" w14:textId="7DF84103" w:rsidR="008E2555" w:rsidRPr="008E2555" w:rsidRDefault="008E2555" w:rsidP="008E2555">
      <w:pPr>
        <w:spacing w:line="240" w:lineRule="auto"/>
        <w:rPr>
          <w:rFonts w:eastAsia="Times New Roman" w:cs="Arial"/>
          <w:sz w:val="28"/>
          <w:szCs w:val="28"/>
          <w:lang w:eastAsia="bg-BG"/>
        </w:rPr>
      </w:pPr>
      <w:r w:rsidRPr="008E2555">
        <w:rPr>
          <w:rFonts w:eastAsia="Times New Roman" w:cs="Arial"/>
          <w:i/>
          <w:iCs/>
          <w:color w:val="000000"/>
          <w:lang w:eastAsia="bg-BG"/>
        </w:rPr>
        <w:t>Сърдечно-съдова протекция/нефропротекция:</w:t>
      </w:r>
    </w:p>
    <w:p w14:paraId="11FEDFF1"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Проведено е превантивно, плацебо-контролирано проучване (НОРЕ - проучване), където рамиприл е добавян към стандартната терапия на повече от 9 200 пациента.</w:t>
      </w:r>
    </w:p>
    <w:p w14:paraId="79E1C929"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В проучването са включени пациенти с повишен риск от сърдечно-съдови заболявания след атеротромботични сърдечно-съдови заболявания (анамнеза за коронарна болест на сърцето, инсулт или периферна съдова болест) или захарен диабет с поне един допълнителен рисков фактор (доказана микроалбуминурия, хипертония, повишени стойности на общия холестерол, ниски стойности на липопротеините с висока плътност или тютюнопушене).</w:t>
      </w:r>
    </w:p>
    <w:p w14:paraId="65EF14F7" w14:textId="77777777" w:rsidR="008E2555" w:rsidRPr="008E2555" w:rsidRDefault="008E2555" w:rsidP="008E2555">
      <w:pPr>
        <w:spacing w:line="240" w:lineRule="auto"/>
        <w:rPr>
          <w:rFonts w:eastAsia="Times New Roman" w:cs="Arial"/>
          <w:sz w:val="28"/>
          <w:szCs w:val="28"/>
          <w:lang w:eastAsia="bg-BG"/>
        </w:rPr>
      </w:pPr>
      <w:r w:rsidRPr="008E2555">
        <w:rPr>
          <w:rFonts w:eastAsia="Times New Roman" w:cs="Arial"/>
          <w:color w:val="000000"/>
          <w:lang w:eastAsia="bg-BG"/>
        </w:rPr>
        <w:t>Проучването показва, че рамиприл статистически значимо понижава случаите на инфаркт на миокарда, на сърдечно-съдова смърт и инсулт, самостоятелно или в комбинация (първично комбинирани инциденти).</w:t>
      </w:r>
    </w:p>
    <w:p w14:paraId="18A4BD7D" w14:textId="77777777" w:rsidR="008E2555" w:rsidRPr="008E2555" w:rsidRDefault="008E2555" w:rsidP="008E2555">
      <w:pPr>
        <w:spacing w:line="240" w:lineRule="auto"/>
        <w:rPr>
          <w:rFonts w:eastAsia="Times New Roman" w:cs="Arial"/>
          <w:b/>
          <w:bCs/>
          <w:color w:val="000000"/>
          <w:lang w:eastAsia="bg-BG"/>
        </w:rPr>
      </w:pPr>
      <w:bookmarkStart w:id="1" w:name="bookmark0"/>
    </w:p>
    <w:p w14:paraId="2004374D" w14:textId="1CDB003C" w:rsidR="008E2555" w:rsidRPr="008E2555" w:rsidRDefault="008E2555" w:rsidP="008E2555">
      <w:pPr>
        <w:spacing w:line="240" w:lineRule="auto"/>
        <w:jc w:val="center"/>
        <w:rPr>
          <w:rFonts w:eastAsia="Times New Roman" w:cs="Arial"/>
          <w:sz w:val="28"/>
          <w:szCs w:val="28"/>
          <w:lang w:eastAsia="bg-BG"/>
        </w:rPr>
      </w:pPr>
      <w:r w:rsidRPr="008E2555">
        <w:rPr>
          <w:rFonts w:eastAsia="Times New Roman" w:cs="Arial"/>
          <w:b/>
          <w:bCs/>
          <w:color w:val="000000"/>
          <w:lang w:eastAsia="bg-BG"/>
        </w:rPr>
        <w:t>Основни резултати от НОРЕ - проучването</w:t>
      </w:r>
      <w:bookmarkEnd w:id="1"/>
    </w:p>
    <w:tbl>
      <w:tblPr>
        <w:tblStyle w:val="TableGrid"/>
        <w:tblW w:w="0" w:type="auto"/>
        <w:tblLook w:val="04A0" w:firstRow="1" w:lastRow="0" w:firstColumn="1" w:lastColumn="0" w:noHBand="0" w:noVBand="1"/>
      </w:tblPr>
      <w:tblGrid>
        <w:gridCol w:w="3140"/>
        <w:gridCol w:w="1274"/>
        <w:gridCol w:w="1221"/>
        <w:gridCol w:w="1874"/>
        <w:gridCol w:w="1841"/>
      </w:tblGrid>
      <w:tr w:rsidR="008E2555" w14:paraId="05970126" w14:textId="77777777" w:rsidTr="008E2555">
        <w:tc>
          <w:tcPr>
            <w:tcW w:w="3227" w:type="dxa"/>
          </w:tcPr>
          <w:p w14:paraId="3F672367" w14:textId="77777777" w:rsidR="008E2555" w:rsidRPr="008E2555" w:rsidRDefault="008E2555" w:rsidP="008E2555">
            <w:pPr>
              <w:rPr>
                <w:rFonts w:cs="Arial"/>
              </w:rPr>
            </w:pPr>
          </w:p>
        </w:tc>
        <w:tc>
          <w:tcPr>
            <w:tcW w:w="1276" w:type="dxa"/>
          </w:tcPr>
          <w:p w14:paraId="72C5E9A0" w14:textId="3AFBAB06" w:rsidR="008E2555" w:rsidRPr="008E2555" w:rsidRDefault="008E2555" w:rsidP="008E2555">
            <w:pPr>
              <w:rPr>
                <w:rFonts w:cs="Arial"/>
              </w:rPr>
            </w:pPr>
            <w:r w:rsidRPr="008E2555">
              <w:rPr>
                <w:rFonts w:cs="Arial"/>
              </w:rPr>
              <w:t>Рамиприл</w:t>
            </w:r>
          </w:p>
        </w:tc>
        <w:tc>
          <w:tcPr>
            <w:tcW w:w="1229" w:type="dxa"/>
          </w:tcPr>
          <w:p w14:paraId="2DA09CB5" w14:textId="63DCE8FB" w:rsidR="008E2555" w:rsidRPr="008E2555" w:rsidRDefault="008E2555" w:rsidP="008E2555">
            <w:pPr>
              <w:rPr>
                <w:rFonts w:cs="Arial"/>
              </w:rPr>
            </w:pPr>
            <w:r w:rsidRPr="008E2555">
              <w:rPr>
                <w:rFonts w:cs="Arial"/>
              </w:rPr>
              <w:t>Плацебо</w:t>
            </w:r>
          </w:p>
        </w:tc>
        <w:tc>
          <w:tcPr>
            <w:tcW w:w="1900" w:type="dxa"/>
            <w:vMerge w:val="restart"/>
          </w:tcPr>
          <w:p w14:paraId="05A88FB8" w14:textId="54632C0D" w:rsidR="008E2555" w:rsidRPr="008E2555" w:rsidRDefault="008E2555" w:rsidP="008E2555">
            <w:pPr>
              <w:rPr>
                <w:rFonts w:cs="Arial"/>
              </w:rPr>
            </w:pPr>
            <w:r w:rsidRPr="008E2555">
              <w:rPr>
                <w:rFonts w:cs="Arial"/>
              </w:rPr>
              <w:t>Относителен риск (95% доверителен интервал)</w:t>
            </w:r>
          </w:p>
        </w:tc>
        <w:tc>
          <w:tcPr>
            <w:tcW w:w="1900" w:type="dxa"/>
            <w:vMerge w:val="restart"/>
          </w:tcPr>
          <w:p w14:paraId="2E9E2FA8" w14:textId="7B9DD5F8" w:rsidR="008E2555" w:rsidRPr="008E2555" w:rsidRDefault="008E2555" w:rsidP="008E2555">
            <w:pPr>
              <w:rPr>
                <w:rFonts w:cs="Arial"/>
              </w:rPr>
            </w:pPr>
            <w:r w:rsidRPr="008E2555">
              <w:rPr>
                <w:rFonts w:cs="Arial"/>
              </w:rPr>
              <w:t>Р- стойност</w:t>
            </w:r>
          </w:p>
        </w:tc>
      </w:tr>
      <w:tr w:rsidR="008E2555" w14:paraId="78B50C0D" w14:textId="77777777" w:rsidTr="008E2555">
        <w:tc>
          <w:tcPr>
            <w:tcW w:w="3227" w:type="dxa"/>
          </w:tcPr>
          <w:p w14:paraId="0D13BC5D" w14:textId="77777777" w:rsidR="008E2555" w:rsidRPr="008E2555" w:rsidRDefault="008E2555" w:rsidP="008E2555">
            <w:pPr>
              <w:rPr>
                <w:rFonts w:cs="Arial"/>
              </w:rPr>
            </w:pPr>
          </w:p>
        </w:tc>
        <w:tc>
          <w:tcPr>
            <w:tcW w:w="1276" w:type="dxa"/>
          </w:tcPr>
          <w:p w14:paraId="492E000B" w14:textId="2CE2E34A" w:rsidR="008E2555" w:rsidRPr="008E2555" w:rsidRDefault="008E2555" w:rsidP="008E2555">
            <w:pPr>
              <w:rPr>
                <w:rFonts w:cs="Arial"/>
              </w:rPr>
            </w:pPr>
            <w:r w:rsidRPr="008E2555">
              <w:rPr>
                <w:rFonts w:cs="Arial"/>
                <w:b/>
                <w:bCs/>
              </w:rPr>
              <w:t>%</w:t>
            </w:r>
          </w:p>
        </w:tc>
        <w:tc>
          <w:tcPr>
            <w:tcW w:w="1229" w:type="dxa"/>
          </w:tcPr>
          <w:p w14:paraId="04C4920C" w14:textId="17365C43" w:rsidR="008E2555" w:rsidRPr="008E2555" w:rsidRDefault="008E2555" w:rsidP="008E2555">
            <w:pPr>
              <w:rPr>
                <w:rFonts w:cs="Arial"/>
              </w:rPr>
            </w:pPr>
            <w:r w:rsidRPr="008E2555">
              <w:rPr>
                <w:rFonts w:cs="Arial"/>
                <w:b/>
                <w:bCs/>
              </w:rPr>
              <w:t>%</w:t>
            </w:r>
          </w:p>
        </w:tc>
        <w:tc>
          <w:tcPr>
            <w:tcW w:w="1900" w:type="dxa"/>
            <w:vMerge/>
          </w:tcPr>
          <w:p w14:paraId="042386FE" w14:textId="77777777" w:rsidR="008E2555" w:rsidRPr="008E2555" w:rsidRDefault="008E2555" w:rsidP="008E2555">
            <w:pPr>
              <w:rPr>
                <w:rFonts w:cs="Arial"/>
              </w:rPr>
            </w:pPr>
          </w:p>
        </w:tc>
        <w:tc>
          <w:tcPr>
            <w:tcW w:w="1900" w:type="dxa"/>
            <w:vMerge/>
          </w:tcPr>
          <w:p w14:paraId="61FE6D54" w14:textId="77777777" w:rsidR="008E2555" w:rsidRPr="008E2555" w:rsidRDefault="008E2555" w:rsidP="008E2555">
            <w:pPr>
              <w:rPr>
                <w:rFonts w:cs="Arial"/>
              </w:rPr>
            </w:pPr>
          </w:p>
        </w:tc>
      </w:tr>
      <w:tr w:rsidR="008E2555" w14:paraId="498E966E" w14:textId="77777777" w:rsidTr="008E2555">
        <w:tc>
          <w:tcPr>
            <w:tcW w:w="3227" w:type="dxa"/>
          </w:tcPr>
          <w:p w14:paraId="549C3513" w14:textId="5C0E0E00" w:rsidR="008E2555" w:rsidRPr="008E2555" w:rsidRDefault="008E2555" w:rsidP="008E2555">
            <w:pPr>
              <w:rPr>
                <w:rFonts w:cs="Arial"/>
              </w:rPr>
            </w:pPr>
            <w:r w:rsidRPr="008E2555">
              <w:rPr>
                <w:rFonts w:cs="Arial"/>
                <w:b/>
                <w:bCs/>
              </w:rPr>
              <w:t>Всички пациенти</w:t>
            </w:r>
          </w:p>
        </w:tc>
        <w:tc>
          <w:tcPr>
            <w:tcW w:w="1276" w:type="dxa"/>
          </w:tcPr>
          <w:p w14:paraId="07ACF88A" w14:textId="223BF6F6" w:rsidR="008E2555" w:rsidRPr="008E2555" w:rsidRDefault="008E2555" w:rsidP="008E2555">
            <w:pPr>
              <w:rPr>
                <w:rFonts w:cs="Arial"/>
              </w:rPr>
            </w:pPr>
            <w:r w:rsidRPr="008E2555">
              <w:rPr>
                <w:rFonts w:cs="Arial"/>
                <w:b/>
                <w:bCs/>
                <w:lang w:val="en-US"/>
              </w:rPr>
              <w:t>n=</w:t>
            </w:r>
            <w:r w:rsidRPr="008E2555">
              <w:rPr>
                <w:rFonts w:cs="Arial"/>
                <w:b/>
                <w:bCs/>
              </w:rPr>
              <w:t>4 645</w:t>
            </w:r>
          </w:p>
        </w:tc>
        <w:tc>
          <w:tcPr>
            <w:tcW w:w="1229" w:type="dxa"/>
          </w:tcPr>
          <w:p w14:paraId="11C7896C" w14:textId="717DF07D" w:rsidR="008E2555" w:rsidRPr="008E2555" w:rsidRDefault="008E2555" w:rsidP="008E2555">
            <w:pPr>
              <w:rPr>
                <w:rFonts w:cs="Arial"/>
              </w:rPr>
            </w:pPr>
            <w:r w:rsidRPr="008E2555">
              <w:rPr>
                <w:rFonts w:cs="Arial"/>
                <w:b/>
                <w:bCs/>
                <w:lang w:val="en-US"/>
              </w:rPr>
              <w:t>N=4 652</w:t>
            </w:r>
          </w:p>
        </w:tc>
        <w:tc>
          <w:tcPr>
            <w:tcW w:w="1900" w:type="dxa"/>
          </w:tcPr>
          <w:p w14:paraId="2EEFAC0F" w14:textId="77777777" w:rsidR="008E2555" w:rsidRPr="008E2555" w:rsidRDefault="008E2555" w:rsidP="008E2555">
            <w:pPr>
              <w:rPr>
                <w:rFonts w:cs="Arial"/>
              </w:rPr>
            </w:pPr>
          </w:p>
        </w:tc>
        <w:tc>
          <w:tcPr>
            <w:tcW w:w="1900" w:type="dxa"/>
          </w:tcPr>
          <w:p w14:paraId="3BA87B4A" w14:textId="77777777" w:rsidR="008E2555" w:rsidRPr="008E2555" w:rsidRDefault="008E2555" w:rsidP="008E2555">
            <w:pPr>
              <w:rPr>
                <w:rFonts w:cs="Arial"/>
              </w:rPr>
            </w:pPr>
          </w:p>
        </w:tc>
      </w:tr>
      <w:tr w:rsidR="008E2555" w14:paraId="08E32E5E" w14:textId="77777777" w:rsidTr="008E2555">
        <w:tc>
          <w:tcPr>
            <w:tcW w:w="3227" w:type="dxa"/>
          </w:tcPr>
          <w:p w14:paraId="7E2DDDE9" w14:textId="077FE34D" w:rsidR="008E2555" w:rsidRPr="008E2555" w:rsidRDefault="008E2555" w:rsidP="008E2555">
            <w:pPr>
              <w:rPr>
                <w:rFonts w:cs="Arial"/>
              </w:rPr>
            </w:pPr>
            <w:r w:rsidRPr="008E2555">
              <w:rPr>
                <w:rFonts w:cs="Arial"/>
                <w:b/>
                <w:bCs/>
              </w:rPr>
              <w:t>Първично комбинирани събития</w:t>
            </w:r>
          </w:p>
        </w:tc>
        <w:tc>
          <w:tcPr>
            <w:tcW w:w="1276" w:type="dxa"/>
          </w:tcPr>
          <w:p w14:paraId="40A73FB0" w14:textId="503FA610" w:rsidR="008E2555" w:rsidRPr="008E2555" w:rsidRDefault="008E2555" w:rsidP="008E2555">
            <w:pPr>
              <w:rPr>
                <w:rFonts w:cs="Arial"/>
              </w:rPr>
            </w:pPr>
            <w:r w:rsidRPr="008E2555">
              <w:rPr>
                <w:rFonts w:cs="Arial"/>
                <w:b/>
                <w:bCs/>
              </w:rPr>
              <w:t>14,0</w:t>
            </w:r>
          </w:p>
        </w:tc>
        <w:tc>
          <w:tcPr>
            <w:tcW w:w="1229" w:type="dxa"/>
          </w:tcPr>
          <w:p w14:paraId="6B430925" w14:textId="34D28A48" w:rsidR="008E2555" w:rsidRPr="008E2555" w:rsidRDefault="008E2555" w:rsidP="008E2555">
            <w:pPr>
              <w:rPr>
                <w:rFonts w:cs="Arial"/>
              </w:rPr>
            </w:pPr>
            <w:r w:rsidRPr="008E2555">
              <w:rPr>
                <w:rFonts w:cs="Arial"/>
                <w:b/>
                <w:bCs/>
              </w:rPr>
              <w:t>17,8</w:t>
            </w:r>
          </w:p>
        </w:tc>
        <w:tc>
          <w:tcPr>
            <w:tcW w:w="1900" w:type="dxa"/>
          </w:tcPr>
          <w:p w14:paraId="05C2B1DA" w14:textId="0C0FB72A" w:rsidR="008E2555" w:rsidRPr="008E2555" w:rsidRDefault="008E2555" w:rsidP="008E2555">
            <w:pPr>
              <w:rPr>
                <w:rFonts w:cs="Arial"/>
              </w:rPr>
            </w:pPr>
            <w:r w:rsidRPr="008E2555">
              <w:rPr>
                <w:rFonts w:cs="Arial"/>
                <w:b/>
                <w:bCs/>
              </w:rPr>
              <w:t>0,78 (0,70-0,86)</w:t>
            </w:r>
          </w:p>
        </w:tc>
        <w:tc>
          <w:tcPr>
            <w:tcW w:w="1900" w:type="dxa"/>
          </w:tcPr>
          <w:p w14:paraId="192DB0C5" w14:textId="51F272EA" w:rsidR="008E2555" w:rsidRPr="008E2555" w:rsidRDefault="008E2555" w:rsidP="008E2555">
            <w:pPr>
              <w:rPr>
                <w:rFonts w:cs="Arial"/>
              </w:rPr>
            </w:pPr>
            <w:r w:rsidRPr="008E2555">
              <w:rPr>
                <w:rFonts w:cs="Arial"/>
                <w:b/>
                <w:bCs/>
              </w:rPr>
              <w:t>&lt;0,001</w:t>
            </w:r>
          </w:p>
        </w:tc>
      </w:tr>
      <w:tr w:rsidR="008E2555" w14:paraId="4319AF2D" w14:textId="77777777" w:rsidTr="008E2555">
        <w:tc>
          <w:tcPr>
            <w:tcW w:w="3227" w:type="dxa"/>
          </w:tcPr>
          <w:p w14:paraId="0E76737D" w14:textId="5D2F5EBC" w:rsidR="008E2555" w:rsidRPr="008E2555" w:rsidRDefault="008E2555" w:rsidP="008E2555">
            <w:pPr>
              <w:rPr>
                <w:rFonts w:cs="Arial"/>
              </w:rPr>
            </w:pPr>
            <w:r w:rsidRPr="008E2555">
              <w:rPr>
                <w:rFonts w:cs="Arial"/>
                <w:i/>
                <w:iCs/>
              </w:rPr>
              <w:t>Инфаркт на миокарда</w:t>
            </w:r>
          </w:p>
        </w:tc>
        <w:tc>
          <w:tcPr>
            <w:tcW w:w="1276" w:type="dxa"/>
          </w:tcPr>
          <w:p w14:paraId="713943BF" w14:textId="7D52496E" w:rsidR="008E2555" w:rsidRPr="008E2555" w:rsidRDefault="008E2555" w:rsidP="008E2555">
            <w:pPr>
              <w:rPr>
                <w:rFonts w:cs="Arial"/>
              </w:rPr>
            </w:pPr>
            <w:r w:rsidRPr="008E2555">
              <w:rPr>
                <w:rFonts w:cs="Arial"/>
                <w:i/>
                <w:iCs/>
              </w:rPr>
              <w:t>9,9</w:t>
            </w:r>
          </w:p>
        </w:tc>
        <w:tc>
          <w:tcPr>
            <w:tcW w:w="1229" w:type="dxa"/>
          </w:tcPr>
          <w:p w14:paraId="3CE8DF36" w14:textId="58D7F9D2" w:rsidR="008E2555" w:rsidRPr="008E2555" w:rsidRDefault="008E2555" w:rsidP="008E2555">
            <w:pPr>
              <w:rPr>
                <w:rFonts w:cs="Arial"/>
              </w:rPr>
            </w:pPr>
            <w:r w:rsidRPr="008E2555">
              <w:rPr>
                <w:rFonts w:cs="Arial"/>
                <w:i/>
                <w:iCs/>
              </w:rPr>
              <w:t>12,3</w:t>
            </w:r>
          </w:p>
        </w:tc>
        <w:tc>
          <w:tcPr>
            <w:tcW w:w="1900" w:type="dxa"/>
          </w:tcPr>
          <w:p w14:paraId="4CC7F8F4" w14:textId="7097C6AD" w:rsidR="008E2555" w:rsidRPr="008E2555" w:rsidRDefault="008E2555" w:rsidP="008E2555">
            <w:pPr>
              <w:rPr>
                <w:rFonts w:cs="Arial"/>
              </w:rPr>
            </w:pPr>
            <w:r w:rsidRPr="008E2555">
              <w:rPr>
                <w:rFonts w:cs="Arial"/>
                <w:i/>
                <w:iCs/>
              </w:rPr>
              <w:t>0,80(0,70-0,90)</w:t>
            </w:r>
          </w:p>
        </w:tc>
        <w:tc>
          <w:tcPr>
            <w:tcW w:w="1900" w:type="dxa"/>
          </w:tcPr>
          <w:p w14:paraId="2EA6766B" w14:textId="09ADCF71" w:rsidR="008E2555" w:rsidRPr="008E2555" w:rsidRDefault="008E2555" w:rsidP="008E2555">
            <w:pPr>
              <w:rPr>
                <w:rFonts w:cs="Arial"/>
              </w:rPr>
            </w:pPr>
            <w:r w:rsidRPr="008E2555">
              <w:rPr>
                <w:rFonts w:cs="Arial"/>
                <w:i/>
                <w:iCs/>
              </w:rPr>
              <w:t>&lt;0,001</w:t>
            </w:r>
          </w:p>
        </w:tc>
      </w:tr>
      <w:tr w:rsidR="008E2555" w14:paraId="4B8115E0" w14:textId="77777777" w:rsidTr="008E2555">
        <w:tc>
          <w:tcPr>
            <w:tcW w:w="3227" w:type="dxa"/>
          </w:tcPr>
          <w:p w14:paraId="4B62360D" w14:textId="6BFBC770" w:rsidR="008E2555" w:rsidRPr="008E2555" w:rsidRDefault="008E2555" w:rsidP="008E2555">
            <w:pPr>
              <w:rPr>
                <w:rFonts w:cs="Arial"/>
              </w:rPr>
            </w:pPr>
            <w:r w:rsidRPr="008E2555">
              <w:rPr>
                <w:rFonts w:cs="Arial"/>
                <w:i/>
                <w:iCs/>
              </w:rPr>
              <w:t>Сърдечно-съдова смърт</w:t>
            </w:r>
          </w:p>
        </w:tc>
        <w:tc>
          <w:tcPr>
            <w:tcW w:w="1276" w:type="dxa"/>
          </w:tcPr>
          <w:p w14:paraId="11C06F5C" w14:textId="351F0607" w:rsidR="008E2555" w:rsidRPr="008E2555" w:rsidRDefault="008E2555" w:rsidP="008E2555">
            <w:pPr>
              <w:rPr>
                <w:rFonts w:cs="Arial"/>
              </w:rPr>
            </w:pPr>
            <w:r w:rsidRPr="008E2555">
              <w:rPr>
                <w:rFonts w:cs="Arial"/>
                <w:i/>
                <w:iCs/>
              </w:rPr>
              <w:t>6,1</w:t>
            </w:r>
          </w:p>
        </w:tc>
        <w:tc>
          <w:tcPr>
            <w:tcW w:w="1229" w:type="dxa"/>
          </w:tcPr>
          <w:p w14:paraId="1E7CDFB6" w14:textId="02371B94" w:rsidR="008E2555" w:rsidRPr="008E2555" w:rsidRDefault="008E2555" w:rsidP="008E2555">
            <w:pPr>
              <w:rPr>
                <w:rFonts w:cs="Arial"/>
              </w:rPr>
            </w:pPr>
            <w:r w:rsidRPr="008E2555">
              <w:rPr>
                <w:rFonts w:cs="Arial"/>
                <w:i/>
                <w:iCs/>
              </w:rPr>
              <w:t>8,1</w:t>
            </w:r>
          </w:p>
        </w:tc>
        <w:tc>
          <w:tcPr>
            <w:tcW w:w="1900" w:type="dxa"/>
          </w:tcPr>
          <w:p w14:paraId="379F00F1" w14:textId="1729B8DC" w:rsidR="008E2555" w:rsidRPr="008E2555" w:rsidRDefault="008E2555" w:rsidP="008E2555">
            <w:pPr>
              <w:rPr>
                <w:rFonts w:cs="Arial"/>
              </w:rPr>
            </w:pPr>
            <w:r w:rsidRPr="008E2555">
              <w:rPr>
                <w:rFonts w:cs="Arial"/>
                <w:i/>
                <w:iCs/>
              </w:rPr>
              <w:t>0.74 (0,64-0,87)</w:t>
            </w:r>
          </w:p>
        </w:tc>
        <w:tc>
          <w:tcPr>
            <w:tcW w:w="1900" w:type="dxa"/>
          </w:tcPr>
          <w:p w14:paraId="69F3DD63" w14:textId="36A59D53" w:rsidR="008E2555" w:rsidRPr="008E2555" w:rsidRDefault="008E2555" w:rsidP="008E2555">
            <w:pPr>
              <w:rPr>
                <w:rFonts w:cs="Arial"/>
              </w:rPr>
            </w:pPr>
            <w:r w:rsidRPr="008E2555">
              <w:rPr>
                <w:rFonts w:cs="Arial"/>
                <w:i/>
                <w:iCs/>
              </w:rPr>
              <w:t>&lt;0,001</w:t>
            </w:r>
          </w:p>
        </w:tc>
      </w:tr>
      <w:tr w:rsidR="008E2555" w14:paraId="4C0BF04B" w14:textId="77777777" w:rsidTr="008E2555">
        <w:tc>
          <w:tcPr>
            <w:tcW w:w="3227" w:type="dxa"/>
          </w:tcPr>
          <w:p w14:paraId="32311655" w14:textId="0A915BFD" w:rsidR="008E2555" w:rsidRPr="008E2555" w:rsidRDefault="008E2555" w:rsidP="008E2555">
            <w:pPr>
              <w:rPr>
                <w:rFonts w:cs="Arial"/>
              </w:rPr>
            </w:pPr>
            <w:r w:rsidRPr="008E2555">
              <w:rPr>
                <w:rFonts w:cs="Arial"/>
                <w:i/>
                <w:iCs/>
              </w:rPr>
              <w:t>Инсулт</w:t>
            </w:r>
          </w:p>
        </w:tc>
        <w:tc>
          <w:tcPr>
            <w:tcW w:w="1276" w:type="dxa"/>
          </w:tcPr>
          <w:p w14:paraId="20327A32" w14:textId="05829C6E" w:rsidR="008E2555" w:rsidRPr="008E2555" w:rsidRDefault="008E2555" w:rsidP="008E2555">
            <w:pPr>
              <w:rPr>
                <w:rFonts w:cs="Arial"/>
              </w:rPr>
            </w:pPr>
            <w:r w:rsidRPr="008E2555">
              <w:rPr>
                <w:rFonts w:cs="Arial"/>
                <w:i/>
                <w:iCs/>
              </w:rPr>
              <w:t>3,4</w:t>
            </w:r>
          </w:p>
        </w:tc>
        <w:tc>
          <w:tcPr>
            <w:tcW w:w="1229" w:type="dxa"/>
          </w:tcPr>
          <w:p w14:paraId="4B86964C" w14:textId="7EB7DF2E" w:rsidR="008E2555" w:rsidRPr="008E2555" w:rsidRDefault="008E2555" w:rsidP="008E2555">
            <w:pPr>
              <w:rPr>
                <w:rFonts w:cs="Arial"/>
              </w:rPr>
            </w:pPr>
            <w:r w:rsidRPr="008E2555">
              <w:rPr>
                <w:rFonts w:cs="Arial"/>
                <w:i/>
                <w:iCs/>
              </w:rPr>
              <w:t>4,9</w:t>
            </w:r>
          </w:p>
        </w:tc>
        <w:tc>
          <w:tcPr>
            <w:tcW w:w="1900" w:type="dxa"/>
          </w:tcPr>
          <w:p w14:paraId="0540BC0D" w14:textId="6EF9E2E4" w:rsidR="008E2555" w:rsidRPr="008E2555" w:rsidRDefault="008E2555" w:rsidP="008E2555">
            <w:pPr>
              <w:rPr>
                <w:rFonts w:cs="Arial"/>
              </w:rPr>
            </w:pPr>
            <w:r w:rsidRPr="008E2555">
              <w:rPr>
                <w:rFonts w:cs="Arial"/>
                <w:i/>
                <w:iCs/>
              </w:rPr>
              <w:t>0,68 (0,56-0,84)</w:t>
            </w:r>
          </w:p>
        </w:tc>
        <w:tc>
          <w:tcPr>
            <w:tcW w:w="1900" w:type="dxa"/>
          </w:tcPr>
          <w:p w14:paraId="1F7AFB6B" w14:textId="03823659" w:rsidR="008E2555" w:rsidRPr="008E2555" w:rsidRDefault="008E2555" w:rsidP="008E2555">
            <w:pPr>
              <w:rPr>
                <w:rFonts w:cs="Arial"/>
              </w:rPr>
            </w:pPr>
            <w:r w:rsidRPr="008E2555">
              <w:rPr>
                <w:rFonts w:cs="Arial"/>
                <w:i/>
                <w:iCs/>
              </w:rPr>
              <w:t>&lt;0,001</w:t>
            </w:r>
          </w:p>
        </w:tc>
      </w:tr>
      <w:tr w:rsidR="008E2555" w14:paraId="54045C59" w14:textId="77777777" w:rsidTr="008E2555">
        <w:tc>
          <w:tcPr>
            <w:tcW w:w="9532" w:type="dxa"/>
            <w:gridSpan w:val="5"/>
          </w:tcPr>
          <w:p w14:paraId="40CEAE5F" w14:textId="68BB0346" w:rsidR="008E2555" w:rsidRPr="008E2555" w:rsidRDefault="008E2555" w:rsidP="008E2555">
            <w:pPr>
              <w:rPr>
                <w:rFonts w:cs="Arial"/>
              </w:rPr>
            </w:pPr>
            <w:r w:rsidRPr="008E2555">
              <w:rPr>
                <w:rFonts w:eastAsia="Times New Roman" w:cs="Arial"/>
                <w:b/>
                <w:bCs/>
                <w:color w:val="000000"/>
                <w:lang w:eastAsia="bg-BG"/>
              </w:rPr>
              <w:t>Вторични крайни точки</w:t>
            </w:r>
          </w:p>
        </w:tc>
      </w:tr>
      <w:tr w:rsidR="008E2555" w14:paraId="0B0AFF78" w14:textId="77777777" w:rsidTr="008E2555">
        <w:tc>
          <w:tcPr>
            <w:tcW w:w="3227" w:type="dxa"/>
          </w:tcPr>
          <w:p w14:paraId="46579ECB" w14:textId="727B8A6B" w:rsidR="008E2555" w:rsidRPr="008E2555" w:rsidRDefault="008E2555" w:rsidP="008E2555">
            <w:pPr>
              <w:rPr>
                <w:rFonts w:cs="Arial"/>
              </w:rPr>
            </w:pPr>
            <w:r w:rsidRPr="008E2555">
              <w:rPr>
                <w:rFonts w:cs="Arial"/>
                <w:i/>
                <w:iCs/>
              </w:rPr>
              <w:t>Смърт по всякакви причини</w:t>
            </w:r>
          </w:p>
        </w:tc>
        <w:tc>
          <w:tcPr>
            <w:tcW w:w="1276" w:type="dxa"/>
          </w:tcPr>
          <w:p w14:paraId="2A73B122" w14:textId="087A1905" w:rsidR="008E2555" w:rsidRPr="008E2555" w:rsidRDefault="008E2555" w:rsidP="008E2555">
            <w:pPr>
              <w:rPr>
                <w:rFonts w:cs="Arial"/>
              </w:rPr>
            </w:pPr>
            <w:r w:rsidRPr="008E2555">
              <w:rPr>
                <w:rFonts w:cs="Arial"/>
                <w:i/>
                <w:iCs/>
              </w:rPr>
              <w:t>10,4</w:t>
            </w:r>
          </w:p>
        </w:tc>
        <w:tc>
          <w:tcPr>
            <w:tcW w:w="1229" w:type="dxa"/>
          </w:tcPr>
          <w:p w14:paraId="335F2198" w14:textId="4F1E88E4" w:rsidR="008E2555" w:rsidRPr="008E2555" w:rsidRDefault="008E2555" w:rsidP="008E2555">
            <w:pPr>
              <w:rPr>
                <w:rFonts w:cs="Arial"/>
              </w:rPr>
            </w:pPr>
            <w:r w:rsidRPr="008E2555">
              <w:rPr>
                <w:rFonts w:cs="Arial"/>
                <w:i/>
                <w:iCs/>
              </w:rPr>
              <w:t>12,2</w:t>
            </w:r>
          </w:p>
        </w:tc>
        <w:tc>
          <w:tcPr>
            <w:tcW w:w="1900" w:type="dxa"/>
          </w:tcPr>
          <w:p w14:paraId="63989F8E" w14:textId="617675E2" w:rsidR="008E2555" w:rsidRPr="008E2555" w:rsidRDefault="008E2555" w:rsidP="008E2555">
            <w:pPr>
              <w:rPr>
                <w:rFonts w:cs="Arial"/>
              </w:rPr>
            </w:pPr>
            <w:r w:rsidRPr="008E2555">
              <w:rPr>
                <w:rFonts w:cs="Arial"/>
                <w:i/>
                <w:iCs/>
              </w:rPr>
              <w:t>0,84 (0,75-0,95)</w:t>
            </w:r>
          </w:p>
        </w:tc>
        <w:tc>
          <w:tcPr>
            <w:tcW w:w="1900" w:type="dxa"/>
          </w:tcPr>
          <w:p w14:paraId="712DF488" w14:textId="18953DE3" w:rsidR="008E2555" w:rsidRPr="008E2555" w:rsidRDefault="008E2555" w:rsidP="008E2555">
            <w:pPr>
              <w:rPr>
                <w:rFonts w:cs="Arial"/>
              </w:rPr>
            </w:pPr>
            <w:r w:rsidRPr="008E2555">
              <w:rPr>
                <w:rFonts w:cs="Arial"/>
                <w:lang w:val="en-US"/>
              </w:rPr>
              <w:t>0,005</w:t>
            </w:r>
          </w:p>
        </w:tc>
      </w:tr>
      <w:tr w:rsidR="008E2555" w14:paraId="4A47CA76" w14:textId="77777777" w:rsidTr="008E2555">
        <w:tc>
          <w:tcPr>
            <w:tcW w:w="3227" w:type="dxa"/>
          </w:tcPr>
          <w:p w14:paraId="3FF74E06" w14:textId="3073FEB0" w:rsidR="008E2555" w:rsidRPr="008E2555" w:rsidRDefault="008E2555" w:rsidP="008E2555">
            <w:pPr>
              <w:rPr>
                <w:rFonts w:cs="Arial"/>
              </w:rPr>
            </w:pPr>
            <w:r w:rsidRPr="008E2555">
              <w:rPr>
                <w:rFonts w:cs="Arial"/>
                <w:i/>
                <w:iCs/>
              </w:rPr>
              <w:t>Необходимост от реваскуларизация</w:t>
            </w:r>
          </w:p>
        </w:tc>
        <w:tc>
          <w:tcPr>
            <w:tcW w:w="1276" w:type="dxa"/>
          </w:tcPr>
          <w:p w14:paraId="0D791533" w14:textId="6CFE7BE1" w:rsidR="008E2555" w:rsidRPr="008E2555" w:rsidRDefault="008E2555" w:rsidP="008E2555">
            <w:pPr>
              <w:rPr>
                <w:rFonts w:cs="Arial"/>
              </w:rPr>
            </w:pPr>
            <w:r w:rsidRPr="008E2555">
              <w:rPr>
                <w:rFonts w:cs="Arial"/>
                <w:i/>
                <w:iCs/>
              </w:rPr>
              <w:t>16,0</w:t>
            </w:r>
          </w:p>
        </w:tc>
        <w:tc>
          <w:tcPr>
            <w:tcW w:w="1229" w:type="dxa"/>
          </w:tcPr>
          <w:p w14:paraId="792EF0E8" w14:textId="79E34DB0" w:rsidR="008E2555" w:rsidRPr="008E2555" w:rsidRDefault="008E2555" w:rsidP="008E2555">
            <w:pPr>
              <w:rPr>
                <w:rFonts w:cs="Arial"/>
              </w:rPr>
            </w:pPr>
            <w:r w:rsidRPr="008E2555">
              <w:rPr>
                <w:rFonts w:cs="Arial"/>
                <w:i/>
                <w:iCs/>
              </w:rPr>
              <w:t>18,3</w:t>
            </w:r>
          </w:p>
        </w:tc>
        <w:tc>
          <w:tcPr>
            <w:tcW w:w="1900" w:type="dxa"/>
          </w:tcPr>
          <w:p w14:paraId="18DCFB01" w14:textId="202848F5" w:rsidR="008E2555" w:rsidRPr="008E2555" w:rsidRDefault="008E2555" w:rsidP="008E2555">
            <w:pPr>
              <w:rPr>
                <w:rFonts w:cs="Arial"/>
              </w:rPr>
            </w:pPr>
            <w:r w:rsidRPr="008E2555">
              <w:rPr>
                <w:rFonts w:cs="Arial"/>
                <w:i/>
                <w:iCs/>
              </w:rPr>
              <w:t>0,85 (0,77-0,94)</w:t>
            </w:r>
          </w:p>
        </w:tc>
        <w:tc>
          <w:tcPr>
            <w:tcW w:w="1900" w:type="dxa"/>
          </w:tcPr>
          <w:p w14:paraId="70961F9D" w14:textId="4483A7C2" w:rsidR="008E2555" w:rsidRPr="008E2555" w:rsidRDefault="008E2555" w:rsidP="008E2555">
            <w:pPr>
              <w:rPr>
                <w:rFonts w:cs="Arial"/>
              </w:rPr>
            </w:pPr>
            <w:r w:rsidRPr="008E2555">
              <w:rPr>
                <w:rFonts w:cs="Arial"/>
                <w:b/>
                <w:bCs/>
                <w:lang w:val="en-US"/>
              </w:rPr>
              <w:t>0,002</w:t>
            </w:r>
          </w:p>
        </w:tc>
      </w:tr>
      <w:tr w:rsidR="008E2555" w14:paraId="70E31E7A" w14:textId="77777777" w:rsidTr="008E2555">
        <w:tc>
          <w:tcPr>
            <w:tcW w:w="3227" w:type="dxa"/>
          </w:tcPr>
          <w:p w14:paraId="3F2EF798" w14:textId="0BF359C1" w:rsidR="008E2555" w:rsidRPr="008E2555" w:rsidRDefault="008E2555" w:rsidP="008E2555">
            <w:pPr>
              <w:rPr>
                <w:rFonts w:cs="Arial"/>
              </w:rPr>
            </w:pPr>
            <w:r w:rsidRPr="008E2555">
              <w:rPr>
                <w:rFonts w:cs="Arial"/>
                <w:i/>
                <w:iCs/>
              </w:rPr>
              <w:t>Хоспитализация поради нестабилна ангина</w:t>
            </w:r>
          </w:p>
        </w:tc>
        <w:tc>
          <w:tcPr>
            <w:tcW w:w="1276" w:type="dxa"/>
          </w:tcPr>
          <w:p w14:paraId="07DD5D2F" w14:textId="11C700E1" w:rsidR="008E2555" w:rsidRPr="008E2555" w:rsidRDefault="008E2555" w:rsidP="008E2555">
            <w:pPr>
              <w:rPr>
                <w:rFonts w:cs="Arial"/>
              </w:rPr>
            </w:pPr>
            <w:r w:rsidRPr="008E2555">
              <w:rPr>
                <w:rFonts w:cs="Arial"/>
                <w:i/>
                <w:iCs/>
              </w:rPr>
              <w:t>12,1</w:t>
            </w:r>
          </w:p>
        </w:tc>
        <w:tc>
          <w:tcPr>
            <w:tcW w:w="1229" w:type="dxa"/>
          </w:tcPr>
          <w:p w14:paraId="524C9B2E" w14:textId="1A798152" w:rsidR="008E2555" w:rsidRPr="008E2555" w:rsidRDefault="008E2555" w:rsidP="008E2555">
            <w:pPr>
              <w:rPr>
                <w:rFonts w:cs="Arial"/>
              </w:rPr>
            </w:pPr>
            <w:r w:rsidRPr="008E2555">
              <w:rPr>
                <w:rFonts w:cs="Arial"/>
                <w:i/>
                <w:iCs/>
              </w:rPr>
              <w:t>12,3</w:t>
            </w:r>
          </w:p>
        </w:tc>
        <w:tc>
          <w:tcPr>
            <w:tcW w:w="1900" w:type="dxa"/>
          </w:tcPr>
          <w:p w14:paraId="5FEA1C02" w14:textId="4262E880" w:rsidR="008E2555" w:rsidRPr="008E2555" w:rsidRDefault="008E2555" w:rsidP="008E2555">
            <w:pPr>
              <w:rPr>
                <w:rFonts w:cs="Arial"/>
              </w:rPr>
            </w:pPr>
            <w:r w:rsidRPr="008E2555">
              <w:rPr>
                <w:rFonts w:cs="Arial"/>
                <w:i/>
                <w:iCs/>
              </w:rPr>
              <w:t>0,98 (0,87-1,10)</w:t>
            </w:r>
          </w:p>
        </w:tc>
        <w:tc>
          <w:tcPr>
            <w:tcW w:w="1900" w:type="dxa"/>
          </w:tcPr>
          <w:p w14:paraId="334172F0" w14:textId="677E5BCD" w:rsidR="008E2555" w:rsidRPr="008E2555" w:rsidRDefault="008E2555" w:rsidP="008E2555">
            <w:pPr>
              <w:rPr>
                <w:rFonts w:cs="Arial"/>
              </w:rPr>
            </w:pPr>
            <w:r w:rsidRPr="008E2555">
              <w:rPr>
                <w:rFonts w:cs="Arial"/>
                <w:i/>
                <w:iCs/>
                <w:lang w:val="en-US"/>
              </w:rPr>
              <w:t>NS</w:t>
            </w:r>
          </w:p>
        </w:tc>
      </w:tr>
      <w:tr w:rsidR="008E2555" w14:paraId="695B5873" w14:textId="77777777" w:rsidTr="008E2555">
        <w:tc>
          <w:tcPr>
            <w:tcW w:w="3227" w:type="dxa"/>
          </w:tcPr>
          <w:p w14:paraId="54151E7D" w14:textId="7594B77D" w:rsidR="008E2555" w:rsidRPr="008E2555" w:rsidRDefault="008E2555" w:rsidP="008E2555">
            <w:pPr>
              <w:rPr>
                <w:rFonts w:cs="Arial"/>
              </w:rPr>
            </w:pPr>
            <w:r w:rsidRPr="008E2555">
              <w:rPr>
                <w:rFonts w:cs="Arial"/>
                <w:i/>
                <w:iCs/>
              </w:rPr>
              <w:t>Хоспитализация поради сърдечна недостатъчност</w:t>
            </w:r>
          </w:p>
        </w:tc>
        <w:tc>
          <w:tcPr>
            <w:tcW w:w="1276" w:type="dxa"/>
          </w:tcPr>
          <w:p w14:paraId="493F781A" w14:textId="65502574" w:rsidR="008E2555" w:rsidRPr="008E2555" w:rsidRDefault="008E2555" w:rsidP="008E2555">
            <w:pPr>
              <w:rPr>
                <w:rFonts w:cs="Arial"/>
              </w:rPr>
            </w:pPr>
            <w:r w:rsidRPr="008E2555">
              <w:rPr>
                <w:rFonts w:cs="Arial"/>
                <w:i/>
                <w:iCs/>
              </w:rPr>
              <w:t>3,2</w:t>
            </w:r>
          </w:p>
        </w:tc>
        <w:tc>
          <w:tcPr>
            <w:tcW w:w="1229" w:type="dxa"/>
          </w:tcPr>
          <w:p w14:paraId="22EF5D5B" w14:textId="4EB9B479" w:rsidR="008E2555" w:rsidRPr="008E2555" w:rsidRDefault="008E2555" w:rsidP="008E2555">
            <w:pPr>
              <w:rPr>
                <w:rFonts w:cs="Arial"/>
              </w:rPr>
            </w:pPr>
            <w:r w:rsidRPr="008E2555">
              <w:rPr>
                <w:rFonts w:cs="Arial"/>
                <w:i/>
                <w:iCs/>
              </w:rPr>
              <w:t>3,5</w:t>
            </w:r>
          </w:p>
        </w:tc>
        <w:tc>
          <w:tcPr>
            <w:tcW w:w="1900" w:type="dxa"/>
          </w:tcPr>
          <w:p w14:paraId="53DD32B7" w14:textId="454D5DEC" w:rsidR="008E2555" w:rsidRPr="008E2555" w:rsidRDefault="008E2555" w:rsidP="008E2555">
            <w:pPr>
              <w:rPr>
                <w:rFonts w:cs="Arial"/>
              </w:rPr>
            </w:pPr>
            <w:r w:rsidRPr="008E2555">
              <w:rPr>
                <w:rFonts w:cs="Arial"/>
                <w:i/>
                <w:iCs/>
              </w:rPr>
              <w:t>0,88(0,70-1,10)</w:t>
            </w:r>
          </w:p>
        </w:tc>
        <w:tc>
          <w:tcPr>
            <w:tcW w:w="1900" w:type="dxa"/>
          </w:tcPr>
          <w:p w14:paraId="67EF7B55" w14:textId="44190A04" w:rsidR="008E2555" w:rsidRPr="008E2555" w:rsidRDefault="008E2555" w:rsidP="008E2555">
            <w:pPr>
              <w:rPr>
                <w:rFonts w:cs="Arial"/>
              </w:rPr>
            </w:pPr>
            <w:r w:rsidRPr="008E2555">
              <w:rPr>
                <w:rFonts w:cs="Arial"/>
                <w:i/>
                <w:iCs/>
              </w:rPr>
              <w:t>0,25</w:t>
            </w:r>
          </w:p>
        </w:tc>
      </w:tr>
      <w:tr w:rsidR="008E2555" w14:paraId="2C8A6509" w14:textId="77777777" w:rsidTr="008E2555">
        <w:tc>
          <w:tcPr>
            <w:tcW w:w="3227" w:type="dxa"/>
          </w:tcPr>
          <w:p w14:paraId="705D152E" w14:textId="0FA208C8" w:rsidR="008E2555" w:rsidRPr="008E2555" w:rsidRDefault="008E2555" w:rsidP="008E2555">
            <w:pPr>
              <w:rPr>
                <w:rFonts w:cs="Arial"/>
              </w:rPr>
            </w:pPr>
            <w:r w:rsidRPr="008E2555">
              <w:rPr>
                <w:rFonts w:cs="Arial"/>
                <w:i/>
                <w:iCs/>
              </w:rPr>
              <w:t>Усложнения, свързани с диабет</w:t>
            </w:r>
          </w:p>
        </w:tc>
        <w:tc>
          <w:tcPr>
            <w:tcW w:w="1276" w:type="dxa"/>
          </w:tcPr>
          <w:p w14:paraId="3E028B02" w14:textId="5637A584" w:rsidR="008E2555" w:rsidRPr="008E2555" w:rsidRDefault="008E2555" w:rsidP="008E2555">
            <w:pPr>
              <w:rPr>
                <w:rFonts w:cs="Arial"/>
              </w:rPr>
            </w:pPr>
            <w:r w:rsidRPr="008E2555">
              <w:rPr>
                <w:rFonts w:cs="Arial"/>
                <w:i/>
                <w:iCs/>
              </w:rPr>
              <w:t>6,4</w:t>
            </w:r>
          </w:p>
        </w:tc>
        <w:tc>
          <w:tcPr>
            <w:tcW w:w="1229" w:type="dxa"/>
          </w:tcPr>
          <w:p w14:paraId="029BAAF7" w14:textId="2FD59005" w:rsidR="008E2555" w:rsidRPr="008E2555" w:rsidRDefault="008E2555" w:rsidP="008E2555">
            <w:pPr>
              <w:rPr>
                <w:rFonts w:cs="Arial"/>
              </w:rPr>
            </w:pPr>
            <w:r w:rsidRPr="008E2555">
              <w:rPr>
                <w:rFonts w:cs="Arial"/>
                <w:i/>
                <w:iCs/>
              </w:rPr>
              <w:t>7,6</w:t>
            </w:r>
          </w:p>
        </w:tc>
        <w:tc>
          <w:tcPr>
            <w:tcW w:w="1900" w:type="dxa"/>
          </w:tcPr>
          <w:p w14:paraId="28FA740A" w14:textId="2F02EC34" w:rsidR="008E2555" w:rsidRPr="008E2555" w:rsidRDefault="008E2555" w:rsidP="008E2555">
            <w:pPr>
              <w:rPr>
                <w:rFonts w:cs="Arial"/>
              </w:rPr>
            </w:pPr>
            <w:r w:rsidRPr="008E2555">
              <w:rPr>
                <w:rFonts w:cs="Arial"/>
                <w:i/>
                <w:iCs/>
              </w:rPr>
              <w:t>0,84(0,72-0,98)</w:t>
            </w:r>
          </w:p>
        </w:tc>
        <w:tc>
          <w:tcPr>
            <w:tcW w:w="1900" w:type="dxa"/>
          </w:tcPr>
          <w:p w14:paraId="2B4260DA" w14:textId="1E2C5F4F" w:rsidR="008E2555" w:rsidRPr="008E2555" w:rsidRDefault="008E2555" w:rsidP="008E2555">
            <w:pPr>
              <w:rPr>
                <w:rFonts w:cs="Arial"/>
              </w:rPr>
            </w:pPr>
            <w:r w:rsidRPr="008E2555">
              <w:rPr>
                <w:rFonts w:cs="Arial"/>
                <w:i/>
                <w:iCs/>
              </w:rPr>
              <w:t>0,03</w:t>
            </w:r>
          </w:p>
        </w:tc>
      </w:tr>
    </w:tbl>
    <w:p w14:paraId="7FD659A3" w14:textId="1BC38B32" w:rsidR="008E2555" w:rsidRDefault="008E2555" w:rsidP="008E2555"/>
    <w:p w14:paraId="7D134165"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Изпитването </w:t>
      </w:r>
      <w:r w:rsidRPr="0062419E">
        <w:rPr>
          <w:rFonts w:eastAsia="Times New Roman" w:cs="Arial"/>
          <w:color w:val="000000"/>
          <w:lang w:val="en-US"/>
        </w:rPr>
        <w:t xml:space="preserve">MICRO-HOPE </w:t>
      </w:r>
      <w:r w:rsidRPr="0062419E">
        <w:rPr>
          <w:rFonts w:eastAsia="Times New Roman" w:cs="Arial"/>
          <w:color w:val="000000"/>
          <w:lang w:eastAsia="bg-BG"/>
        </w:rPr>
        <w:t xml:space="preserve">изследва ефекта от добавянето на рамиприл 10 </w:t>
      </w:r>
      <w:r w:rsidRPr="0062419E">
        <w:rPr>
          <w:rFonts w:eastAsia="Times New Roman" w:cs="Arial"/>
          <w:color w:val="000000"/>
          <w:lang w:val="en-US"/>
        </w:rPr>
        <w:t xml:space="preserve">mg </w:t>
      </w:r>
      <w:r w:rsidRPr="0062419E">
        <w:rPr>
          <w:rFonts w:eastAsia="Times New Roman" w:cs="Arial"/>
          <w:color w:val="000000"/>
          <w:lang w:eastAsia="bg-BG"/>
        </w:rPr>
        <w:t>към текущата схема на лечение спрямо плацебо при 3 577 пациенти на поне 55-годишна възраст и по- възрастни (без горна граница на възрастта), като мнозинството са с диабет тип 2 (и поне един сърдечно-съдов рисков фактор), с нормално артериално налягане или хипертоници.</w:t>
      </w:r>
    </w:p>
    <w:p w14:paraId="7BFEC339" w14:textId="77777777" w:rsidR="0062419E" w:rsidRPr="0062419E" w:rsidRDefault="0062419E" w:rsidP="0062419E">
      <w:pPr>
        <w:spacing w:line="240" w:lineRule="auto"/>
        <w:rPr>
          <w:rFonts w:eastAsia="Times New Roman" w:cs="Arial"/>
          <w:color w:val="000000"/>
          <w:lang w:eastAsia="bg-BG"/>
        </w:rPr>
      </w:pPr>
    </w:p>
    <w:p w14:paraId="66C0BA32" w14:textId="52C21DD1"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lastRenderedPageBreak/>
        <w:t xml:space="preserve">Първичният анализ показва, че 117 (6,5%) от участниците на рамиприл и 149 (8,4%) от тези на плацебо развиват доказана нефропатия, което съответства на </w:t>
      </w:r>
      <w:r w:rsidRPr="0062419E">
        <w:rPr>
          <w:rFonts w:eastAsia="Times New Roman" w:cs="Arial"/>
          <w:color w:val="000000"/>
          <w:lang w:val="en-US"/>
        </w:rPr>
        <w:t xml:space="preserve">RRR </w:t>
      </w:r>
      <w:r w:rsidRPr="0062419E">
        <w:rPr>
          <w:rFonts w:eastAsia="Times New Roman" w:cs="Arial"/>
          <w:color w:val="000000"/>
          <w:lang w:eastAsia="bg-BG"/>
        </w:rPr>
        <w:t>24%,</w:t>
      </w:r>
      <w:r w:rsidRPr="0062419E">
        <w:rPr>
          <w:rFonts w:eastAsia="Times New Roman" w:cs="Arial"/>
          <w:color w:val="000000"/>
          <w:lang w:val="en-US"/>
        </w:rPr>
        <w:t xml:space="preserve"> </w:t>
      </w:r>
      <w:r w:rsidRPr="0062419E">
        <w:rPr>
          <w:rFonts w:eastAsia="Times New Roman" w:cs="Arial"/>
          <w:color w:val="000000"/>
          <w:lang w:eastAsia="bg-BG"/>
        </w:rPr>
        <w:t xml:space="preserve">95% </w:t>
      </w:r>
      <w:r w:rsidRPr="0062419E">
        <w:rPr>
          <w:rFonts w:eastAsia="Times New Roman" w:cs="Arial"/>
          <w:color w:val="000000"/>
          <w:lang w:val="en-US"/>
        </w:rPr>
        <w:t xml:space="preserve">CI </w:t>
      </w:r>
      <w:r w:rsidRPr="0062419E">
        <w:rPr>
          <w:rFonts w:eastAsia="Times New Roman" w:cs="Arial"/>
          <w:color w:val="000000"/>
          <w:lang w:eastAsia="bg-BG"/>
        </w:rPr>
        <w:t>[3-40], р=0,027.</w:t>
      </w:r>
    </w:p>
    <w:p w14:paraId="119703BE" w14:textId="77777777" w:rsidR="0062419E" w:rsidRPr="0062419E" w:rsidRDefault="0062419E" w:rsidP="0062419E">
      <w:pPr>
        <w:spacing w:line="240" w:lineRule="auto"/>
        <w:rPr>
          <w:rFonts w:eastAsia="Times New Roman" w:cs="Arial"/>
          <w:color w:val="000000"/>
          <w:lang w:eastAsia="bg-BG"/>
        </w:rPr>
      </w:pPr>
    </w:p>
    <w:p w14:paraId="0AB40FC5" w14:textId="77945BE9"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Изпитването </w:t>
      </w:r>
      <w:r w:rsidRPr="0062419E">
        <w:rPr>
          <w:rFonts w:eastAsia="Times New Roman" w:cs="Arial"/>
          <w:color w:val="000000"/>
          <w:lang w:val="en-US"/>
        </w:rPr>
        <w:t xml:space="preserve">REIN </w:t>
      </w:r>
      <w:r w:rsidRPr="0062419E">
        <w:rPr>
          <w:rFonts w:eastAsia="Times New Roman" w:cs="Arial"/>
          <w:color w:val="000000"/>
          <w:lang w:eastAsia="bg-BG"/>
        </w:rPr>
        <w:t xml:space="preserve">е многоцентрово рандомизирано, двойно-сляпо, плацебо контролирано изпитване с паралелни групи, целящо оценяване на ефекта от лечението с рамиприл върху честотата на влошаване на степента на гломерулна филтрация </w:t>
      </w:r>
      <w:r w:rsidRPr="0062419E">
        <w:rPr>
          <w:rFonts w:eastAsia="Times New Roman" w:cs="Arial"/>
          <w:i/>
          <w:iCs/>
          <w:color w:val="000000"/>
          <w:lang w:eastAsia="bg-BG"/>
        </w:rPr>
        <w:t>(СГФ) при 352 пациенти</w:t>
      </w:r>
      <w:r w:rsidRPr="0062419E">
        <w:rPr>
          <w:rFonts w:eastAsia="Times New Roman" w:cs="Arial"/>
          <w:color w:val="000000"/>
          <w:lang w:eastAsia="bg-BG"/>
        </w:rPr>
        <w:t xml:space="preserve"> с нормално артериално налягане или хипертоници (18-70-годишна възраст), страдащи от лека (т.е. средна екскреция на протеин в урина &gt;1 и &lt;3 </w:t>
      </w:r>
      <w:r w:rsidRPr="0062419E">
        <w:rPr>
          <w:rFonts w:eastAsia="Times New Roman" w:cs="Arial"/>
          <w:color w:val="000000"/>
          <w:lang w:val="en-US"/>
        </w:rPr>
        <w:t xml:space="preserve">g/24 </w:t>
      </w:r>
      <w:r w:rsidRPr="0062419E">
        <w:rPr>
          <w:rFonts w:eastAsia="Times New Roman" w:cs="Arial"/>
          <w:color w:val="000000"/>
          <w:lang w:eastAsia="bg-BG"/>
        </w:rPr>
        <w:t xml:space="preserve">часа) или тежка протеинурия (≥3 </w:t>
      </w:r>
      <w:r w:rsidRPr="0062419E">
        <w:rPr>
          <w:rFonts w:eastAsia="Times New Roman" w:cs="Arial"/>
          <w:color w:val="000000"/>
          <w:lang w:val="en-US"/>
        </w:rPr>
        <w:t xml:space="preserve">g/24 </w:t>
      </w:r>
      <w:r w:rsidRPr="0062419E">
        <w:rPr>
          <w:rFonts w:eastAsia="Times New Roman" w:cs="Arial"/>
          <w:color w:val="000000"/>
          <w:lang w:eastAsia="bg-BG"/>
        </w:rPr>
        <w:t>часа) поради хронична недиабетна нефропатия. И двете субпопулации са били проспективно стратифицирани.</w:t>
      </w:r>
    </w:p>
    <w:p w14:paraId="1E0C66B1" w14:textId="77777777" w:rsidR="0062419E" w:rsidRPr="0062419E" w:rsidRDefault="0062419E" w:rsidP="0062419E">
      <w:pPr>
        <w:spacing w:line="240" w:lineRule="auto"/>
        <w:rPr>
          <w:rFonts w:eastAsia="Times New Roman" w:cs="Arial"/>
          <w:color w:val="000000"/>
          <w:lang w:eastAsia="bg-BG"/>
        </w:rPr>
      </w:pPr>
    </w:p>
    <w:p w14:paraId="38CDB8DB" w14:textId="69773A81"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Основният анализ на пациентите с най-тежка протеинурия (частта от пациенти преждевременно отстранена, поради предимствата при групата на рамиприл) показва, че средната честота на влошаване на СГФ за месец е била по-ниска при рамиприл, отколкото при плацебо; -0,54 (0,66) спрямо -0,88 (1,03) </w:t>
      </w:r>
      <w:r w:rsidRPr="0062419E">
        <w:rPr>
          <w:rFonts w:eastAsia="Times New Roman" w:cs="Arial"/>
          <w:color w:val="000000"/>
          <w:lang w:val="en-US"/>
        </w:rPr>
        <w:t xml:space="preserve">ml/min </w:t>
      </w:r>
      <w:r w:rsidRPr="0062419E">
        <w:rPr>
          <w:rFonts w:eastAsia="Times New Roman" w:cs="Arial"/>
          <w:color w:val="000000"/>
          <w:lang w:eastAsia="bg-BG"/>
        </w:rPr>
        <w:t xml:space="preserve">/месец, р - 0,038. Вътрегруповата разлика е била 0,34 [0,03-0,65] за месец, и около 4 </w:t>
      </w:r>
      <w:r w:rsidRPr="0062419E">
        <w:rPr>
          <w:rFonts w:eastAsia="Times New Roman" w:cs="Arial"/>
          <w:color w:val="000000"/>
          <w:lang w:val="en-US"/>
        </w:rPr>
        <w:t>ml/min</w:t>
      </w:r>
      <w:r w:rsidRPr="0062419E">
        <w:rPr>
          <w:rFonts w:eastAsia="Times New Roman" w:cs="Arial"/>
          <w:color w:val="000000"/>
          <w:lang w:eastAsia="bg-BG"/>
        </w:rPr>
        <w:t>/година; 23,1% от пациентите в групата на рамиприл достигат комбинираните вторични крайни точки на удвояване концентрацията на изходния серумен креатинин и/или терминална бъбречна недостатъчност (необходимост от диализа или бъбречна трансплантация) спрямо 45,5% в групата на плацебо (р = 0,02).</w:t>
      </w:r>
    </w:p>
    <w:p w14:paraId="28F7F4C5" w14:textId="77777777" w:rsidR="0062419E" w:rsidRPr="0062419E" w:rsidRDefault="0062419E" w:rsidP="0062419E">
      <w:pPr>
        <w:spacing w:line="240" w:lineRule="auto"/>
        <w:rPr>
          <w:rFonts w:eastAsia="Times New Roman" w:cs="Arial"/>
          <w:i/>
          <w:iCs/>
          <w:color w:val="000000"/>
          <w:lang w:eastAsia="bg-BG"/>
        </w:rPr>
      </w:pPr>
    </w:p>
    <w:p w14:paraId="47397D8E" w14:textId="5CCC697E" w:rsidR="0062419E" w:rsidRPr="0062419E" w:rsidRDefault="0062419E" w:rsidP="0062419E">
      <w:pPr>
        <w:spacing w:line="240" w:lineRule="auto"/>
        <w:rPr>
          <w:rFonts w:eastAsia="Times New Roman" w:cs="Arial"/>
          <w:lang w:eastAsia="bg-BG"/>
        </w:rPr>
      </w:pPr>
      <w:r w:rsidRPr="0062419E">
        <w:rPr>
          <w:rFonts w:eastAsia="Times New Roman" w:cs="Arial"/>
          <w:i/>
          <w:iCs/>
          <w:color w:val="000000"/>
          <w:lang w:eastAsia="bg-BG"/>
        </w:rPr>
        <w:t>Двойно блокиране на ренин -ангиотензин алдостероновата система (РААС)</w:t>
      </w:r>
    </w:p>
    <w:p w14:paraId="03927BD1"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Две големи рандомизирани контролирани проучвания - </w:t>
      </w:r>
      <w:r w:rsidRPr="0062419E">
        <w:rPr>
          <w:rFonts w:eastAsia="Times New Roman" w:cs="Arial"/>
          <w:color w:val="000000"/>
          <w:lang w:val="en-US"/>
        </w:rPr>
        <w:t>ONTARGET (</w:t>
      </w:r>
      <w:proofErr w:type="spellStart"/>
      <w:r w:rsidRPr="0062419E">
        <w:rPr>
          <w:rFonts w:eastAsia="Times New Roman" w:cs="Arial"/>
          <w:color w:val="000000"/>
          <w:lang w:val="en-US"/>
        </w:rPr>
        <w:t>ONgoing</w:t>
      </w:r>
      <w:proofErr w:type="spellEnd"/>
      <w:r w:rsidRPr="0062419E">
        <w:rPr>
          <w:rFonts w:eastAsia="Times New Roman" w:cs="Arial"/>
          <w:color w:val="000000"/>
          <w:lang w:val="en-US"/>
        </w:rPr>
        <w:t xml:space="preserve"> Telmisartan Alone and in combination with Ramipril Global Endpoint Trial - </w:t>
      </w:r>
      <w:r w:rsidRPr="0062419E">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62419E">
        <w:rPr>
          <w:rFonts w:eastAsia="Times New Roman" w:cs="Arial"/>
          <w:color w:val="000000"/>
          <w:lang w:val="en-US"/>
        </w:rPr>
        <w:t xml:space="preserve">VA NEPHRON-D </w:t>
      </w:r>
      <w:r w:rsidRPr="0062419E">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62419E">
        <w:rPr>
          <w:rFonts w:eastAsia="Times New Roman" w:cs="Arial"/>
          <w:color w:val="000000"/>
          <w:lang w:val="en-US"/>
        </w:rPr>
        <w:t>II</w:t>
      </w:r>
      <w:r w:rsidRPr="0062419E">
        <w:rPr>
          <w:rFonts w:eastAsia="Times New Roman" w:cs="Arial"/>
          <w:color w:val="000000"/>
          <w:lang w:eastAsia="bg-BG"/>
        </w:rPr>
        <w:t>-рецепторен блокер.</w:t>
      </w:r>
    </w:p>
    <w:p w14:paraId="25A4C27D"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val="en-US"/>
        </w:rPr>
        <w:t xml:space="preserve">ONTARGET </w:t>
      </w:r>
      <w:r w:rsidRPr="0062419E">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62419E">
        <w:rPr>
          <w:rFonts w:eastAsia="Times New Roman" w:cs="Arial"/>
          <w:color w:val="000000"/>
          <w:lang w:val="en-US"/>
        </w:rPr>
        <w:t xml:space="preserve">VA NEPHRON-D </w:t>
      </w:r>
      <w:r w:rsidRPr="0062419E">
        <w:rPr>
          <w:rFonts w:eastAsia="Times New Roman" w:cs="Arial"/>
          <w:color w:val="000000"/>
          <w:lang w:eastAsia="bg-BG"/>
        </w:rPr>
        <w:t>е проучване при пациенти със захарен диабет тип 2 и диабетна нефропатия.</w:t>
      </w:r>
    </w:p>
    <w:p w14:paraId="3CC60CC7"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Тези проучвания не показват значим благоприятен ефект върху бъбречните и/или сърдечно</w:t>
      </w:r>
      <w:r w:rsidRPr="0062419E">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задруги АСЕ инхибитори и ангиотензин </w:t>
      </w:r>
      <w:r w:rsidRPr="0062419E">
        <w:rPr>
          <w:rFonts w:eastAsia="Times New Roman" w:cs="Arial"/>
          <w:color w:val="000000"/>
          <w:lang w:val="en-US"/>
        </w:rPr>
        <w:t>II</w:t>
      </w:r>
      <w:r w:rsidRPr="0062419E">
        <w:rPr>
          <w:rFonts w:eastAsia="Times New Roman" w:cs="Arial"/>
          <w:color w:val="000000"/>
          <w:lang w:eastAsia="bg-BG"/>
        </w:rPr>
        <w:t>-рецепторни блокери.</w:t>
      </w:r>
    </w:p>
    <w:p w14:paraId="14E50031"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АСЕ инхибитори и ангиотензин </w:t>
      </w:r>
      <w:r w:rsidRPr="0062419E">
        <w:rPr>
          <w:rFonts w:eastAsia="Times New Roman" w:cs="Arial"/>
          <w:color w:val="000000"/>
          <w:lang w:val="en-US"/>
        </w:rPr>
        <w:t>II</w:t>
      </w:r>
      <w:r w:rsidRPr="0062419E">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30451FBC"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val="en-US"/>
        </w:rPr>
        <w:t xml:space="preserve">ALTITUDE </w:t>
      </w:r>
      <w:r w:rsidRPr="0062419E">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w:t>
      </w:r>
    </w:p>
    <w:p w14:paraId="4E0FDE2F" w14:textId="77777777" w:rsidR="0062419E" w:rsidRPr="0062419E" w:rsidRDefault="0062419E" w:rsidP="0062419E">
      <w:pPr>
        <w:rPr>
          <w:rFonts w:eastAsia="Times New Roman" w:cs="Arial"/>
          <w:lang w:eastAsia="bg-BG"/>
        </w:rPr>
      </w:pPr>
      <w:r w:rsidRPr="0062419E">
        <w:rPr>
          <w:rFonts w:eastAsia="Times New Roman" w:cs="Arial"/>
          <w:color w:val="000000"/>
          <w:lang w:eastAsia="bg-BG"/>
        </w:rPr>
        <w:t xml:space="preserve">терапия с АСЕ инхибиторили ангиотензин </w:t>
      </w:r>
      <w:r w:rsidRPr="0062419E">
        <w:rPr>
          <w:rFonts w:eastAsia="Times New Roman" w:cs="Arial"/>
          <w:color w:val="000000"/>
          <w:lang w:val="en-US"/>
        </w:rPr>
        <w:t>II</w:t>
      </w:r>
      <w:r w:rsidRPr="0062419E">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w:t>
      </w:r>
      <w:r w:rsidRPr="0062419E">
        <w:rPr>
          <w:rFonts w:eastAsia="Times New Roman" w:cs="Arial"/>
          <w:color w:val="000000"/>
          <w:lang w:val="en-US" w:eastAsia="bg-BG"/>
        </w:rPr>
        <w:t xml:space="preserve"> </w:t>
      </w:r>
      <w:r w:rsidRPr="0062419E">
        <w:rPr>
          <w:rFonts w:eastAsia="Times New Roman" w:cs="Arial"/>
          <w:color w:val="000000"/>
          <w:lang w:eastAsia="bg-BG"/>
        </w:rPr>
        <w:t xml:space="preserve">сериозни нежелани събития (хиперкалиемия, хипотония и бъбречна </w:t>
      </w:r>
      <w:r w:rsidRPr="0062419E">
        <w:rPr>
          <w:rFonts w:eastAsia="Times New Roman" w:cs="Arial"/>
          <w:color w:val="000000"/>
          <w:lang w:eastAsia="bg-BG"/>
        </w:rPr>
        <w:lastRenderedPageBreak/>
        <w:t xml:space="preserve">дисфункция) се съобщават по-често в групата на алискирен, отколкото в групата </w:t>
      </w:r>
      <w:r w:rsidRPr="0062419E">
        <w:rPr>
          <w:rFonts w:eastAsia="Times New Roman" w:cs="Arial"/>
          <w:i/>
          <w:iCs/>
          <w:color w:val="000000"/>
          <w:lang w:eastAsia="bg-BG"/>
        </w:rPr>
        <w:t>на</w:t>
      </w:r>
      <w:r w:rsidRPr="0062419E">
        <w:rPr>
          <w:rFonts w:eastAsia="Times New Roman" w:cs="Arial"/>
          <w:color w:val="000000"/>
          <w:lang w:eastAsia="bg-BG"/>
        </w:rPr>
        <w:t xml:space="preserve"> плацебо.</w:t>
      </w:r>
    </w:p>
    <w:p w14:paraId="4FA1D481" w14:textId="77777777" w:rsidR="0062419E" w:rsidRPr="0062419E" w:rsidRDefault="0062419E" w:rsidP="0062419E">
      <w:pPr>
        <w:spacing w:line="240" w:lineRule="auto"/>
        <w:rPr>
          <w:rFonts w:eastAsia="Times New Roman" w:cs="Arial"/>
          <w:i/>
          <w:iCs/>
          <w:color w:val="000000"/>
          <w:lang w:eastAsia="bg-BG"/>
        </w:rPr>
      </w:pPr>
    </w:p>
    <w:p w14:paraId="51CBA01E" w14:textId="78682D61" w:rsidR="0062419E" w:rsidRPr="0062419E" w:rsidRDefault="0062419E" w:rsidP="0062419E">
      <w:pPr>
        <w:spacing w:line="240" w:lineRule="auto"/>
        <w:rPr>
          <w:rFonts w:eastAsia="Times New Roman" w:cs="Arial"/>
          <w:lang w:eastAsia="bg-BG"/>
        </w:rPr>
      </w:pPr>
      <w:r w:rsidRPr="0062419E">
        <w:rPr>
          <w:rFonts w:eastAsia="Times New Roman" w:cs="Arial"/>
          <w:i/>
          <w:iCs/>
          <w:color w:val="000000"/>
          <w:lang w:eastAsia="bg-BG"/>
        </w:rPr>
        <w:t>Вторична превенция след остър миокарден инфаркт</w:t>
      </w:r>
    </w:p>
    <w:p w14:paraId="0BCA8015"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Изпитването </w:t>
      </w:r>
      <w:r w:rsidRPr="0062419E">
        <w:rPr>
          <w:rFonts w:eastAsia="Times New Roman" w:cs="Arial"/>
          <w:color w:val="000000"/>
          <w:lang w:val="en-US"/>
        </w:rPr>
        <w:t xml:space="preserve">AIRE </w:t>
      </w:r>
      <w:r w:rsidRPr="0062419E">
        <w:rPr>
          <w:rFonts w:eastAsia="Times New Roman" w:cs="Arial"/>
          <w:color w:val="000000"/>
          <w:lang w:eastAsia="bg-BG"/>
        </w:rPr>
        <w:t xml:space="preserve">включва повече от 2 000 пациенти с преходни/персистиращи клинични признаци на сърдечна недостатъчност след доказан миокарден инфаркт. Лечението с рамиприл е започнато 3 до 10 дни след острия миокарден инфаркт. Изпитването, показва че след средно време на проследяване от 15 месеца, смъртността при пациентите лекувани с рамиприл е била 16,9%, а при пациентите на плацебо -22,6%. Това означава несъмнено намаляване на смъртността с 5,7% и намаляване на относителния риск с 27% (95% </w:t>
      </w:r>
      <w:r w:rsidRPr="0062419E">
        <w:rPr>
          <w:rFonts w:eastAsia="Times New Roman" w:cs="Arial"/>
          <w:color w:val="000000"/>
          <w:lang w:val="en-US"/>
        </w:rPr>
        <w:t xml:space="preserve">CI </w:t>
      </w:r>
      <w:r w:rsidRPr="0062419E">
        <w:rPr>
          <w:rFonts w:eastAsia="Times New Roman" w:cs="Arial"/>
          <w:color w:val="000000"/>
          <w:lang w:eastAsia="bg-BG"/>
        </w:rPr>
        <w:t>[11-40%]).</w:t>
      </w:r>
    </w:p>
    <w:p w14:paraId="6845B4CD" w14:textId="77777777" w:rsidR="0062419E" w:rsidRPr="0062419E" w:rsidRDefault="0062419E" w:rsidP="0062419E">
      <w:pPr>
        <w:spacing w:line="240" w:lineRule="auto"/>
        <w:rPr>
          <w:rFonts w:eastAsia="Times New Roman" w:cs="Arial"/>
          <w:i/>
          <w:iCs/>
          <w:color w:val="000000"/>
          <w:lang w:eastAsia="bg-BG"/>
        </w:rPr>
      </w:pPr>
    </w:p>
    <w:p w14:paraId="72A06FA8" w14:textId="0E6232DB" w:rsidR="0062419E" w:rsidRPr="0062419E" w:rsidRDefault="0062419E" w:rsidP="0062419E">
      <w:pPr>
        <w:spacing w:line="240" w:lineRule="auto"/>
        <w:rPr>
          <w:rFonts w:eastAsia="Times New Roman" w:cs="Arial"/>
          <w:lang w:eastAsia="bg-BG"/>
        </w:rPr>
      </w:pPr>
      <w:r w:rsidRPr="0062419E">
        <w:rPr>
          <w:rFonts w:eastAsia="Times New Roman" w:cs="Arial"/>
          <w:i/>
          <w:iCs/>
          <w:color w:val="000000"/>
          <w:lang w:eastAsia="bg-BG"/>
        </w:rPr>
        <w:t>Педиатрична популация</w:t>
      </w:r>
    </w:p>
    <w:p w14:paraId="0FE86B8E" w14:textId="77777777"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В рандомизирано, двойно-сляпо клинично проучване, включващо 244 педиатрични пациенти с хипертония (73% с първична хипертония), на възраст 6-16 години, всеки от пациентите получава ниска, средна или висока доза рамиприл, изчислени на килограм телесно тегло, така, че да се достигнат плазмените концентрации на рамиприлат, които се получават при възрастни след прилагане на дози от 1,25 </w:t>
      </w:r>
      <w:r w:rsidRPr="0062419E">
        <w:rPr>
          <w:rFonts w:eastAsia="Times New Roman" w:cs="Arial"/>
          <w:color w:val="000000"/>
          <w:lang w:val="en-US"/>
        </w:rPr>
        <w:t xml:space="preserve">mg, </w:t>
      </w:r>
      <w:r w:rsidRPr="0062419E">
        <w:rPr>
          <w:rFonts w:eastAsia="Times New Roman" w:cs="Arial"/>
          <w:color w:val="000000"/>
          <w:lang w:eastAsia="bg-BG"/>
        </w:rPr>
        <w:t xml:space="preserve">5 </w:t>
      </w:r>
      <w:r w:rsidRPr="0062419E">
        <w:rPr>
          <w:rFonts w:eastAsia="Times New Roman" w:cs="Arial"/>
          <w:color w:val="000000"/>
          <w:lang w:val="en-US"/>
        </w:rPr>
        <w:t xml:space="preserve">mg </w:t>
      </w:r>
      <w:r w:rsidRPr="0062419E">
        <w:rPr>
          <w:rFonts w:eastAsia="Times New Roman" w:cs="Arial"/>
          <w:color w:val="000000"/>
          <w:lang w:eastAsia="bg-BG"/>
        </w:rPr>
        <w:t xml:space="preserve">и 20 </w:t>
      </w:r>
      <w:r w:rsidRPr="0062419E">
        <w:rPr>
          <w:rFonts w:eastAsia="Times New Roman" w:cs="Arial"/>
          <w:color w:val="000000"/>
          <w:lang w:val="en-US"/>
        </w:rPr>
        <w:t xml:space="preserve">mg. </w:t>
      </w:r>
      <w:r w:rsidRPr="0062419E">
        <w:rPr>
          <w:rFonts w:eastAsia="Times New Roman" w:cs="Arial"/>
          <w:color w:val="000000"/>
          <w:lang w:eastAsia="bg-BG"/>
        </w:rPr>
        <w:t>В края на 4-тата седмица резултатите показват, че по отношение на първичния критерий - понижаване на систоличното артериално налягане рамиприл е неефективен, но когато се прилага в най-високата доза понижава диастолното артериално налягане. При деца с доказана хипертония след прилагане на средна и висока доза рамиприл се, наблюдава статистически значимо понижаване на стойностите на систолното и диастолното артериално налягане.</w:t>
      </w:r>
    </w:p>
    <w:p w14:paraId="16A97986" w14:textId="77777777" w:rsidR="0062419E" w:rsidRPr="0062419E" w:rsidRDefault="0062419E" w:rsidP="0062419E">
      <w:pPr>
        <w:spacing w:line="240" w:lineRule="auto"/>
        <w:rPr>
          <w:rFonts w:eastAsia="Times New Roman" w:cs="Arial"/>
          <w:color w:val="000000"/>
          <w:lang w:eastAsia="bg-BG"/>
        </w:rPr>
      </w:pPr>
    </w:p>
    <w:p w14:paraId="6272F33C" w14:textId="553613FB" w:rsidR="0062419E" w:rsidRPr="0062419E" w:rsidRDefault="0062419E" w:rsidP="0062419E">
      <w:pPr>
        <w:spacing w:line="240" w:lineRule="auto"/>
        <w:rPr>
          <w:rFonts w:eastAsia="Times New Roman" w:cs="Arial"/>
          <w:lang w:eastAsia="bg-BG"/>
        </w:rPr>
      </w:pPr>
      <w:r w:rsidRPr="0062419E">
        <w:rPr>
          <w:rFonts w:eastAsia="Times New Roman" w:cs="Arial"/>
          <w:color w:val="000000"/>
          <w:lang w:eastAsia="bg-BG"/>
        </w:rPr>
        <w:t xml:space="preserve">В края на 4-тата седмица този ефект не се наблюдава при 218 педиатрични пациенти на възраст 6-16 години (75% с първична хипертония), включени в рандомизирано, двойно-сляпо проучване с повишаване на дозата. След прилагане на всичките три тествани дози рамиприл: ниска (0,625 </w:t>
      </w:r>
      <w:r w:rsidRPr="0062419E">
        <w:rPr>
          <w:rFonts w:eastAsia="Times New Roman" w:cs="Arial"/>
          <w:color w:val="000000"/>
          <w:lang w:val="en-US"/>
        </w:rPr>
        <w:t xml:space="preserve">mg-2,5 mg), </w:t>
      </w:r>
      <w:r w:rsidRPr="0062419E">
        <w:rPr>
          <w:rFonts w:eastAsia="Times New Roman" w:cs="Arial"/>
          <w:color w:val="000000"/>
          <w:lang w:eastAsia="bg-BG"/>
        </w:rPr>
        <w:t xml:space="preserve">средна (2,5 </w:t>
      </w:r>
      <w:r w:rsidRPr="0062419E">
        <w:rPr>
          <w:rFonts w:eastAsia="Times New Roman" w:cs="Arial"/>
          <w:color w:val="000000"/>
          <w:lang w:val="en-US"/>
        </w:rPr>
        <w:t xml:space="preserve">mg-10 mg) </w:t>
      </w:r>
      <w:r w:rsidRPr="0062419E">
        <w:rPr>
          <w:rFonts w:eastAsia="Times New Roman" w:cs="Arial"/>
          <w:color w:val="000000"/>
          <w:lang w:eastAsia="bg-BG"/>
        </w:rPr>
        <w:t xml:space="preserve">или висока (5 </w:t>
      </w:r>
      <w:r w:rsidRPr="0062419E">
        <w:rPr>
          <w:rFonts w:eastAsia="Times New Roman" w:cs="Arial"/>
          <w:color w:val="000000"/>
          <w:lang w:val="en-US"/>
        </w:rPr>
        <w:t xml:space="preserve">mg-20 mg) </w:t>
      </w:r>
      <w:r w:rsidRPr="0062419E">
        <w:rPr>
          <w:rFonts w:eastAsia="Times New Roman" w:cs="Arial"/>
          <w:color w:val="000000"/>
          <w:lang w:eastAsia="bg-BG"/>
        </w:rPr>
        <w:t>доза, изчислени на килограм телесно тегло, стойностите на диастолното и систолното артериално налягане показват незначителен ребаунд, но не и статистически значимо възвръщане към изходните стойности. В проучвания на рамиприл сред педиатричната популация не се наблюдава линеен дозов отговор.</w:t>
      </w:r>
    </w:p>
    <w:p w14:paraId="37BFC95E" w14:textId="6EEA3E07" w:rsidR="008E2555" w:rsidRPr="0062419E" w:rsidRDefault="008E2555" w:rsidP="0062419E">
      <w:pPr>
        <w:rPr>
          <w:lang w:val="en-US"/>
        </w:rPr>
      </w:pPr>
    </w:p>
    <w:p w14:paraId="173D7F1D" w14:textId="1608D8FF" w:rsidR="00EE6C97" w:rsidRDefault="002C50EE" w:rsidP="00A93499">
      <w:pPr>
        <w:pStyle w:val="Heading2"/>
      </w:pPr>
      <w:r>
        <w:t>5.2. Фармакокинетични свойства</w:t>
      </w:r>
    </w:p>
    <w:p w14:paraId="6C7972AB" w14:textId="0A3107A1" w:rsidR="0062419E" w:rsidRDefault="0062419E" w:rsidP="0062419E"/>
    <w:p w14:paraId="4502D040" w14:textId="77777777" w:rsidR="0062419E" w:rsidRPr="0062419E" w:rsidRDefault="0062419E" w:rsidP="0062419E">
      <w:pPr>
        <w:pStyle w:val="Heading3"/>
        <w:rPr>
          <w:rFonts w:eastAsia="Times New Roman"/>
          <w:sz w:val="28"/>
          <w:szCs w:val="28"/>
          <w:u w:val="single"/>
          <w:lang w:eastAsia="bg-BG"/>
        </w:rPr>
      </w:pPr>
      <w:r w:rsidRPr="0062419E">
        <w:rPr>
          <w:rFonts w:eastAsia="Times New Roman"/>
          <w:u w:val="single"/>
          <w:lang w:eastAsia="bg-BG"/>
        </w:rPr>
        <w:t>Абсорбция</w:t>
      </w:r>
    </w:p>
    <w:p w14:paraId="17FC0F54"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 xml:space="preserve">След перорално приложение рамиприл се абсорбира бързо в стомашно-чревния тракт: максимална плазмена концентрация на рамиприл се достига в рамките на един час. Въз основа на възстановяване в урината, степента на абсорбция е поне 56% и не се повлиява значимо от присъствието на храна в стомашно-чревния тракт. Бионаличностга на активния метаболит рамиприлат след перорално приложение на 2,5 </w:t>
      </w:r>
      <w:r w:rsidRPr="0062419E">
        <w:rPr>
          <w:rFonts w:eastAsia="Times New Roman" w:cs="Arial"/>
          <w:color w:val="000000"/>
          <w:lang w:val="en-US"/>
        </w:rPr>
        <w:t xml:space="preserve">mg </w:t>
      </w:r>
      <w:r w:rsidRPr="0062419E">
        <w:rPr>
          <w:rFonts w:eastAsia="Times New Roman" w:cs="Arial"/>
          <w:color w:val="000000"/>
          <w:lang w:eastAsia="bg-BG"/>
        </w:rPr>
        <w:t xml:space="preserve">и 5 </w:t>
      </w:r>
      <w:r w:rsidRPr="0062419E">
        <w:rPr>
          <w:rFonts w:eastAsia="Times New Roman" w:cs="Arial"/>
          <w:color w:val="000000"/>
          <w:lang w:val="en-US"/>
        </w:rPr>
        <w:t xml:space="preserve">mg </w:t>
      </w:r>
      <w:r w:rsidRPr="0062419E">
        <w:rPr>
          <w:rFonts w:eastAsia="Times New Roman" w:cs="Arial"/>
          <w:color w:val="000000"/>
          <w:lang w:eastAsia="bg-BG"/>
        </w:rPr>
        <w:t>рамиприл е 45%.</w:t>
      </w:r>
    </w:p>
    <w:p w14:paraId="3BE4C875"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Максимална плазмена концентрация на рамиприлат, единствения активен метаболит на рамиприл се достига 2-4 часа след приема на рамиприл. Стационарните плазмени концентрации на рамиприлат след прилагане веднъж дневно на обичайни дози рамиприл се достигат след около четири дни лечение.</w:t>
      </w:r>
    </w:p>
    <w:p w14:paraId="45CCA57C" w14:textId="77777777" w:rsidR="0062419E" w:rsidRPr="0062419E" w:rsidRDefault="0062419E" w:rsidP="0062419E">
      <w:pPr>
        <w:spacing w:line="240" w:lineRule="auto"/>
        <w:rPr>
          <w:rFonts w:eastAsia="Times New Roman" w:cs="Arial"/>
          <w:color w:val="000000"/>
          <w:u w:val="single"/>
          <w:lang w:eastAsia="bg-BG"/>
        </w:rPr>
      </w:pPr>
    </w:p>
    <w:p w14:paraId="52EAFA28" w14:textId="7D12657F" w:rsidR="0062419E" w:rsidRPr="0062419E" w:rsidRDefault="0062419E" w:rsidP="0062419E">
      <w:pPr>
        <w:pStyle w:val="Heading3"/>
        <w:rPr>
          <w:rFonts w:eastAsia="Times New Roman"/>
          <w:sz w:val="28"/>
          <w:szCs w:val="28"/>
          <w:u w:val="single"/>
          <w:lang w:eastAsia="bg-BG"/>
        </w:rPr>
      </w:pPr>
      <w:r w:rsidRPr="0062419E">
        <w:rPr>
          <w:rFonts w:eastAsia="Times New Roman"/>
          <w:u w:val="single"/>
          <w:lang w:eastAsia="bg-BG"/>
        </w:rPr>
        <w:lastRenderedPageBreak/>
        <w:t>Разпределение</w:t>
      </w:r>
    </w:p>
    <w:p w14:paraId="1B8BBF94"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Свързването с плазмените протеини на рамиприл е около 73%, а това на рамиприлат около 56%.</w:t>
      </w:r>
    </w:p>
    <w:p w14:paraId="1C726FE7" w14:textId="77777777" w:rsidR="0062419E" w:rsidRPr="0062419E" w:rsidRDefault="0062419E" w:rsidP="0062419E">
      <w:pPr>
        <w:spacing w:line="240" w:lineRule="auto"/>
        <w:rPr>
          <w:rFonts w:eastAsia="Times New Roman" w:cs="Arial"/>
          <w:color w:val="000000"/>
          <w:u w:val="single"/>
          <w:lang w:eastAsia="bg-BG"/>
        </w:rPr>
      </w:pPr>
    </w:p>
    <w:p w14:paraId="5B414B95" w14:textId="56F552B3" w:rsidR="0062419E" w:rsidRPr="0062419E" w:rsidRDefault="0062419E" w:rsidP="0062419E">
      <w:pPr>
        <w:pStyle w:val="Heading3"/>
        <w:rPr>
          <w:rFonts w:eastAsia="Times New Roman"/>
          <w:sz w:val="28"/>
          <w:szCs w:val="28"/>
          <w:u w:val="single"/>
          <w:lang w:eastAsia="bg-BG"/>
        </w:rPr>
      </w:pPr>
      <w:r w:rsidRPr="0062419E">
        <w:rPr>
          <w:rFonts w:eastAsia="Times New Roman"/>
          <w:u w:val="single"/>
          <w:lang w:eastAsia="bg-BG"/>
        </w:rPr>
        <w:t>Биотрансформация</w:t>
      </w:r>
    </w:p>
    <w:p w14:paraId="72FD8385"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Рамиприл почти напълно се метаболизира до рамиприлат, и до дикетопиперазинов  естер,</w:t>
      </w:r>
      <w:r w:rsidRPr="0062419E">
        <w:rPr>
          <w:rFonts w:eastAsia="Times New Roman" w:cs="Arial"/>
          <w:color w:val="000000"/>
          <w:u w:val="single"/>
          <w:lang w:eastAsia="bg-BG"/>
        </w:rPr>
        <w:t xml:space="preserve"> </w:t>
      </w:r>
      <w:r w:rsidRPr="0062419E">
        <w:rPr>
          <w:rFonts w:eastAsia="Times New Roman" w:cs="Arial"/>
          <w:color w:val="000000"/>
          <w:lang w:eastAsia="bg-BG"/>
        </w:rPr>
        <w:t>дикетопиперазинова киселина, и глюкуронидите на рамиприл и рамиприлат.</w:t>
      </w:r>
    </w:p>
    <w:p w14:paraId="23834F59" w14:textId="77777777" w:rsidR="0062419E" w:rsidRPr="0062419E" w:rsidRDefault="0062419E" w:rsidP="0062419E">
      <w:pPr>
        <w:spacing w:line="240" w:lineRule="auto"/>
        <w:rPr>
          <w:rFonts w:eastAsia="Times New Roman" w:cs="Arial"/>
          <w:color w:val="000000"/>
          <w:u w:val="single"/>
          <w:lang w:eastAsia="bg-BG"/>
        </w:rPr>
      </w:pPr>
    </w:p>
    <w:p w14:paraId="02AB70D8" w14:textId="6D3BA058" w:rsidR="0062419E" w:rsidRPr="0062419E" w:rsidRDefault="0062419E" w:rsidP="0062419E">
      <w:pPr>
        <w:pStyle w:val="Heading3"/>
        <w:rPr>
          <w:rFonts w:eastAsia="Times New Roman"/>
          <w:sz w:val="28"/>
          <w:szCs w:val="28"/>
          <w:u w:val="single"/>
          <w:lang w:eastAsia="bg-BG"/>
        </w:rPr>
      </w:pPr>
      <w:r w:rsidRPr="0062419E">
        <w:rPr>
          <w:rFonts w:eastAsia="Times New Roman"/>
          <w:u w:val="single"/>
          <w:lang w:eastAsia="bg-BG"/>
        </w:rPr>
        <w:t>Елиминиране</w:t>
      </w:r>
    </w:p>
    <w:p w14:paraId="3F5C89D6" w14:textId="77777777" w:rsidR="0062419E" w:rsidRPr="0062419E" w:rsidRDefault="0062419E" w:rsidP="0062419E">
      <w:pPr>
        <w:rPr>
          <w:rFonts w:eastAsia="Times New Roman" w:cs="Arial"/>
          <w:sz w:val="28"/>
          <w:szCs w:val="28"/>
          <w:lang w:eastAsia="bg-BG"/>
        </w:rPr>
      </w:pPr>
      <w:r w:rsidRPr="0062419E">
        <w:rPr>
          <w:rFonts w:eastAsia="Times New Roman" w:cs="Arial"/>
          <w:color w:val="000000"/>
          <w:lang w:eastAsia="bg-BG"/>
        </w:rPr>
        <w:t xml:space="preserve">Екскрецията на метаболитите е предимно бъбречна. Плазмената концентрацш рамиприлат намалява по полифазов начин. Поради неговото силно, насищащо свързване с </w:t>
      </w:r>
      <w:r w:rsidRPr="0062419E">
        <w:rPr>
          <w:rFonts w:eastAsia="Times New Roman" w:cs="Arial"/>
          <w:color w:val="000000"/>
          <w:lang w:val="en-US"/>
        </w:rPr>
        <w:t xml:space="preserve">ACE </w:t>
      </w:r>
      <w:r w:rsidRPr="0062419E">
        <w:rPr>
          <w:rFonts w:eastAsia="Times New Roman" w:cs="Arial"/>
          <w:color w:val="000000"/>
          <w:lang w:eastAsia="bg-BG"/>
        </w:rPr>
        <w:t>и бавното</w:t>
      </w:r>
      <w:r w:rsidRPr="0062419E">
        <w:rPr>
          <w:rFonts w:eastAsia="Times New Roman" w:cs="Arial"/>
          <w:color w:val="000000"/>
          <w:lang w:val="en-US" w:eastAsia="bg-BG"/>
        </w:rPr>
        <w:t xml:space="preserve"> </w:t>
      </w:r>
      <w:r w:rsidRPr="0062419E">
        <w:rPr>
          <w:rFonts w:eastAsia="Times New Roman" w:cs="Arial"/>
          <w:color w:val="000000"/>
          <w:lang w:eastAsia="bg-BG"/>
        </w:rPr>
        <w:t>разделяне от ензима, рамиприлат показва удължена терминална елиминационна фаза при много ниски плазмени концентрации.</w:t>
      </w:r>
    </w:p>
    <w:p w14:paraId="42553EF2" w14:textId="77777777" w:rsidR="0062419E" w:rsidRPr="0062419E" w:rsidRDefault="0062419E" w:rsidP="0062419E">
      <w:pPr>
        <w:spacing w:line="240" w:lineRule="auto"/>
        <w:rPr>
          <w:rFonts w:eastAsia="Times New Roman" w:cs="Arial"/>
          <w:color w:val="000000"/>
          <w:lang w:eastAsia="bg-BG"/>
        </w:rPr>
      </w:pPr>
    </w:p>
    <w:p w14:paraId="5C20B0BB" w14:textId="11F36ACF"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 xml:space="preserve">След многократно прилагане на дози рамиприл, веднъж дневно, ефективният полуживот на рамиприлат е 13-17 часа за дози от 5-10 </w:t>
      </w:r>
      <w:r w:rsidRPr="0062419E">
        <w:rPr>
          <w:rFonts w:eastAsia="Times New Roman" w:cs="Arial"/>
          <w:color w:val="000000"/>
          <w:lang w:val="en-US"/>
        </w:rPr>
        <w:t xml:space="preserve">mg </w:t>
      </w:r>
      <w:r w:rsidRPr="0062419E">
        <w:rPr>
          <w:rFonts w:eastAsia="Times New Roman" w:cs="Arial"/>
          <w:color w:val="000000"/>
          <w:lang w:eastAsia="bg-BG"/>
        </w:rPr>
        <w:t xml:space="preserve">и по-дълъг за по-ниските дози 1,25-2,5 </w:t>
      </w:r>
      <w:r w:rsidRPr="0062419E">
        <w:rPr>
          <w:rFonts w:eastAsia="Times New Roman" w:cs="Arial"/>
          <w:color w:val="000000"/>
          <w:lang w:val="en-US"/>
        </w:rPr>
        <w:t xml:space="preserve">mg. </w:t>
      </w:r>
      <w:r w:rsidRPr="0062419E">
        <w:rPr>
          <w:rFonts w:eastAsia="Times New Roman" w:cs="Arial"/>
          <w:color w:val="000000"/>
          <w:lang w:eastAsia="bg-BG"/>
        </w:rPr>
        <w:t>Тази разлика е свързана с капацитета за насищане на ензима чрез свързване с рамиприлат.</w:t>
      </w:r>
    </w:p>
    <w:p w14:paraId="6D28D58A"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Еднократна перорална доза рамиприл дава неоткриваемо ниво на рамиприл и неговите метаболити в кърмата. Обаче ефектът при многократно прилагане е неизвестен.</w:t>
      </w:r>
    </w:p>
    <w:p w14:paraId="4EB742C8" w14:textId="77777777" w:rsidR="0062419E" w:rsidRPr="0062419E" w:rsidRDefault="0062419E" w:rsidP="0062419E">
      <w:pPr>
        <w:spacing w:line="240" w:lineRule="auto"/>
        <w:rPr>
          <w:rFonts w:eastAsia="Times New Roman" w:cs="Arial"/>
          <w:i/>
          <w:iCs/>
          <w:color w:val="000000"/>
          <w:lang w:eastAsia="bg-BG"/>
        </w:rPr>
      </w:pPr>
    </w:p>
    <w:p w14:paraId="529506A5" w14:textId="4CF42EE1" w:rsidR="0062419E" w:rsidRPr="0062419E" w:rsidRDefault="0062419E" w:rsidP="0062419E">
      <w:pPr>
        <w:spacing w:line="240" w:lineRule="auto"/>
        <w:rPr>
          <w:rFonts w:eastAsia="Times New Roman" w:cs="Arial"/>
          <w:sz w:val="28"/>
          <w:szCs w:val="28"/>
          <w:lang w:eastAsia="bg-BG"/>
        </w:rPr>
      </w:pPr>
      <w:r w:rsidRPr="0062419E">
        <w:rPr>
          <w:rFonts w:eastAsia="Times New Roman" w:cs="Arial"/>
          <w:i/>
          <w:iCs/>
          <w:color w:val="000000"/>
          <w:lang w:eastAsia="bg-BG"/>
        </w:rPr>
        <w:t>Пациенти с бъбречно увреждане (вж. точка 4.2)</w:t>
      </w:r>
    </w:p>
    <w:p w14:paraId="3A2CB6FE"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Бъбречната екскреция на рамиприлат е намалена при пациенти с нарушена бъбречна функция, и бъбречният клирьнс на рамиприлат е пропорционално свързан с креатининовия клирьнс. Това води до повишена плазмена концентрация на рамиприлат, която намалява по-бавно отколкото при индивиди с нормална бъбречна функция.</w:t>
      </w:r>
    </w:p>
    <w:p w14:paraId="20953BD1" w14:textId="77777777" w:rsidR="0062419E" w:rsidRPr="0062419E" w:rsidRDefault="0062419E" w:rsidP="0062419E">
      <w:pPr>
        <w:spacing w:line="240" w:lineRule="auto"/>
        <w:rPr>
          <w:rFonts w:eastAsia="Times New Roman" w:cs="Arial"/>
          <w:i/>
          <w:iCs/>
          <w:color w:val="000000"/>
          <w:lang w:eastAsia="bg-BG"/>
        </w:rPr>
      </w:pPr>
    </w:p>
    <w:p w14:paraId="6074F9F3" w14:textId="76A12F01" w:rsidR="0062419E" w:rsidRPr="0062419E" w:rsidRDefault="0062419E" w:rsidP="0062419E">
      <w:pPr>
        <w:spacing w:line="240" w:lineRule="auto"/>
        <w:rPr>
          <w:rFonts w:eastAsia="Times New Roman" w:cs="Arial"/>
          <w:sz w:val="28"/>
          <w:szCs w:val="28"/>
          <w:lang w:eastAsia="bg-BG"/>
        </w:rPr>
      </w:pPr>
      <w:r w:rsidRPr="0062419E">
        <w:rPr>
          <w:rFonts w:eastAsia="Times New Roman" w:cs="Arial"/>
          <w:i/>
          <w:iCs/>
          <w:color w:val="000000"/>
          <w:lang w:eastAsia="bg-BG"/>
        </w:rPr>
        <w:t>Пациенти с чернодробно увреждане (вж. точка 4.2)</w:t>
      </w:r>
    </w:p>
    <w:p w14:paraId="02A5CAA7"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При пациенти с нарушена чернодробна функция, метаболизирането на рамиприл до рамиприлат е забавено, поради намалената активност на чернодробните естерази и плазмените нива на рамиприл при тези пациенти са повишени. Пиковите концентрации на рамиприлат при тези пациенти, обаче не се различават от тези наблюдавани при индивиди с нормална чернодробна функция.</w:t>
      </w:r>
    </w:p>
    <w:p w14:paraId="4AF11550" w14:textId="77777777" w:rsidR="0062419E" w:rsidRPr="0062419E" w:rsidRDefault="0062419E" w:rsidP="0062419E">
      <w:pPr>
        <w:spacing w:line="240" w:lineRule="auto"/>
        <w:rPr>
          <w:rFonts w:eastAsia="Times New Roman" w:cs="Arial"/>
          <w:i/>
          <w:iCs/>
          <w:color w:val="000000"/>
          <w:lang w:eastAsia="bg-BG"/>
        </w:rPr>
      </w:pPr>
    </w:p>
    <w:p w14:paraId="2D5C274F" w14:textId="18247D8C" w:rsidR="0062419E" w:rsidRPr="0062419E" w:rsidRDefault="0062419E" w:rsidP="0062419E">
      <w:pPr>
        <w:spacing w:line="240" w:lineRule="auto"/>
        <w:rPr>
          <w:rFonts w:eastAsia="Times New Roman" w:cs="Arial"/>
          <w:sz w:val="28"/>
          <w:szCs w:val="28"/>
          <w:lang w:eastAsia="bg-BG"/>
        </w:rPr>
      </w:pPr>
      <w:r w:rsidRPr="0062419E">
        <w:rPr>
          <w:rFonts w:eastAsia="Times New Roman" w:cs="Arial"/>
          <w:i/>
          <w:iCs/>
          <w:color w:val="000000"/>
          <w:lang w:eastAsia="bg-BG"/>
        </w:rPr>
        <w:t>Кърмене</w:t>
      </w:r>
    </w:p>
    <w:p w14:paraId="435CD5D9"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Еднократна доза рамиприл перорално не води до откриване на рамиприл и неговия метаболит в майчиното мляко. Въпреки това ефектът на няколко дози не е известен.</w:t>
      </w:r>
    </w:p>
    <w:p w14:paraId="2117325A" w14:textId="77777777" w:rsidR="0062419E" w:rsidRPr="0062419E" w:rsidRDefault="0062419E" w:rsidP="0062419E">
      <w:pPr>
        <w:spacing w:line="240" w:lineRule="auto"/>
        <w:rPr>
          <w:rFonts w:eastAsia="Times New Roman" w:cs="Arial"/>
          <w:i/>
          <w:iCs/>
          <w:color w:val="000000"/>
          <w:lang w:eastAsia="bg-BG"/>
        </w:rPr>
      </w:pPr>
    </w:p>
    <w:p w14:paraId="5B84AFA3" w14:textId="1DCB7369" w:rsidR="0062419E" w:rsidRPr="0062419E" w:rsidRDefault="0062419E" w:rsidP="0062419E">
      <w:pPr>
        <w:spacing w:line="240" w:lineRule="auto"/>
        <w:rPr>
          <w:rFonts w:eastAsia="Times New Roman" w:cs="Arial"/>
          <w:sz w:val="28"/>
          <w:szCs w:val="28"/>
          <w:lang w:eastAsia="bg-BG"/>
        </w:rPr>
      </w:pPr>
      <w:r w:rsidRPr="0062419E">
        <w:rPr>
          <w:rFonts w:eastAsia="Times New Roman" w:cs="Arial"/>
          <w:i/>
          <w:iCs/>
          <w:color w:val="000000"/>
          <w:lang w:eastAsia="bg-BG"/>
        </w:rPr>
        <w:t>Педиатрична популация</w:t>
      </w:r>
    </w:p>
    <w:p w14:paraId="0C52D6D6"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 xml:space="preserve">Фармакокинетичният профил на рамиприл е проучен при 30 педиатрични пациенти с хипертония на възраст 2-16 години, с тегло ≥ 10 </w:t>
      </w:r>
      <w:r w:rsidRPr="0062419E">
        <w:rPr>
          <w:rFonts w:eastAsia="Times New Roman" w:cs="Arial"/>
          <w:color w:val="000000"/>
          <w:lang w:val="en-US"/>
        </w:rPr>
        <w:t xml:space="preserve">Kg. </w:t>
      </w:r>
      <w:r w:rsidRPr="0062419E">
        <w:rPr>
          <w:rFonts w:eastAsia="Times New Roman" w:cs="Arial"/>
          <w:color w:val="000000"/>
          <w:lang w:eastAsia="bg-BG"/>
        </w:rPr>
        <w:t xml:space="preserve">След прилагане на дози от 0,05 до 0,2 </w:t>
      </w:r>
      <w:r w:rsidRPr="0062419E">
        <w:rPr>
          <w:rFonts w:eastAsia="Times New Roman" w:cs="Arial"/>
          <w:color w:val="000000"/>
          <w:lang w:val="en-US"/>
        </w:rPr>
        <w:t xml:space="preserve">mg/kg, </w:t>
      </w:r>
      <w:r w:rsidRPr="0062419E">
        <w:rPr>
          <w:rFonts w:eastAsia="Times New Roman" w:cs="Arial"/>
          <w:color w:val="000000"/>
          <w:lang w:eastAsia="bg-BG"/>
        </w:rPr>
        <w:t xml:space="preserve">рамиприл бързо и екстензивно се метаболизирадо рамиприлат. Максимални плазмени концентрации на рамиприлат се наблюдават в рамките на 2-3 часа. Клирънсът на рамиприлат, силно корелира с дневника на телесното тегло (р &lt;0,01), както и с дозата (р &lt;0,001). За всяка дозова група клирънсът и обемът на разпределение се увеличават с повишаване на възрастта на децата. След прилагане на доза от 0,05 </w:t>
      </w:r>
      <w:r w:rsidRPr="0062419E">
        <w:rPr>
          <w:rFonts w:eastAsia="Times New Roman" w:cs="Arial"/>
          <w:color w:val="000000"/>
          <w:lang w:val="en-US"/>
        </w:rPr>
        <w:t xml:space="preserve">mg/Kg </w:t>
      </w:r>
      <w:r w:rsidRPr="0062419E">
        <w:rPr>
          <w:rFonts w:eastAsia="Times New Roman" w:cs="Arial"/>
          <w:color w:val="000000"/>
          <w:lang w:eastAsia="bg-BG"/>
        </w:rPr>
        <w:t xml:space="preserve">при деца нивата на експозиция са сравними с тези при възрастни, лекувани с 5 </w:t>
      </w:r>
      <w:r w:rsidRPr="0062419E">
        <w:rPr>
          <w:rFonts w:eastAsia="Times New Roman" w:cs="Arial"/>
          <w:color w:val="000000"/>
          <w:lang w:val="en-US"/>
        </w:rPr>
        <w:t xml:space="preserve">mg </w:t>
      </w:r>
      <w:r w:rsidRPr="0062419E">
        <w:rPr>
          <w:rFonts w:eastAsia="Times New Roman" w:cs="Arial"/>
          <w:color w:val="000000"/>
          <w:lang w:eastAsia="bg-BG"/>
        </w:rPr>
        <w:t xml:space="preserve">рамиприл. Дозата от 0,2 </w:t>
      </w:r>
      <w:r w:rsidRPr="0062419E">
        <w:rPr>
          <w:rFonts w:eastAsia="Times New Roman" w:cs="Arial"/>
          <w:color w:val="000000"/>
          <w:lang w:val="en-US"/>
        </w:rPr>
        <w:t xml:space="preserve">mg/Kg </w:t>
      </w:r>
      <w:r w:rsidRPr="0062419E">
        <w:rPr>
          <w:rFonts w:eastAsia="Times New Roman" w:cs="Arial"/>
          <w:color w:val="000000"/>
          <w:lang w:eastAsia="bg-BG"/>
        </w:rPr>
        <w:t xml:space="preserve">при деца води до нива на експозиция по-високи от тези, постигнати с максимално препоръчваната при възрастни дневна доза от 10 </w:t>
      </w:r>
      <w:r w:rsidRPr="0062419E">
        <w:rPr>
          <w:rFonts w:eastAsia="Times New Roman" w:cs="Arial"/>
          <w:color w:val="000000"/>
          <w:lang w:val="en-US"/>
        </w:rPr>
        <w:t>mg</w:t>
      </w:r>
      <w:r w:rsidRPr="0062419E">
        <w:rPr>
          <w:rFonts w:eastAsia="Times New Roman" w:cs="Arial"/>
          <w:color w:val="000000"/>
          <w:lang w:eastAsia="bg-BG"/>
        </w:rPr>
        <w:t>.</w:t>
      </w:r>
    </w:p>
    <w:p w14:paraId="15FE688F" w14:textId="61088251" w:rsidR="0062419E" w:rsidRPr="0062419E" w:rsidRDefault="0062419E" w:rsidP="0062419E">
      <w:pPr>
        <w:rPr>
          <w:lang w:val="en-US"/>
        </w:rPr>
      </w:pPr>
    </w:p>
    <w:p w14:paraId="0CC65FE3" w14:textId="1C7077E6" w:rsidR="00EE6C97" w:rsidRDefault="002C50EE" w:rsidP="00A93499">
      <w:pPr>
        <w:pStyle w:val="Heading2"/>
      </w:pPr>
      <w:r>
        <w:lastRenderedPageBreak/>
        <w:t>5.3. Предклинични данни за безопасност</w:t>
      </w:r>
    </w:p>
    <w:p w14:paraId="21B4861A" w14:textId="25895B3B" w:rsidR="0062419E" w:rsidRDefault="0062419E" w:rsidP="0062419E"/>
    <w:p w14:paraId="328FE166"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Пероралното приложение на рамиприл не показва остра токсичност при гризачи и кучета. Проучвания, включващи продължително перорално приложение са били провеждани при плъхове, кучета и маймуни. Промени в плазмените електролити и кръвната картина са били установени при трите вида.</w:t>
      </w:r>
    </w:p>
    <w:p w14:paraId="54C6DCE5"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 xml:space="preserve">При кучета и маймуни при дневни дози от 250 </w:t>
      </w:r>
      <w:r w:rsidRPr="0062419E">
        <w:rPr>
          <w:rFonts w:eastAsia="Times New Roman" w:cs="Arial"/>
          <w:color w:val="000000"/>
          <w:lang w:val="en-US"/>
        </w:rPr>
        <w:t>mg/kg</w:t>
      </w:r>
      <w:r w:rsidRPr="0062419E">
        <w:rPr>
          <w:rFonts w:eastAsia="Times New Roman" w:cs="Arial"/>
          <w:color w:val="000000"/>
          <w:lang w:eastAsia="bg-BG"/>
        </w:rPr>
        <w:t xml:space="preserve">/ден е било наблюдавано значително уголемяване на юкстагломеруларния апарат вследствие фармакодинамичната активност на рамиприл. Плъхове, кучета и маймуни понасят дневни дози съответно от 2; 2,5 и 8 </w:t>
      </w:r>
      <w:r w:rsidRPr="0062419E">
        <w:rPr>
          <w:rFonts w:eastAsia="Times New Roman" w:cs="Arial"/>
          <w:color w:val="000000"/>
          <w:lang w:val="en-US"/>
        </w:rPr>
        <w:t>mg/kg</w:t>
      </w:r>
      <w:r w:rsidRPr="0062419E">
        <w:rPr>
          <w:rFonts w:eastAsia="Times New Roman" w:cs="Arial"/>
          <w:color w:val="000000"/>
          <w:lang w:eastAsia="bg-BG"/>
        </w:rPr>
        <w:t>/дневно без увреждащи ефекти.</w:t>
      </w:r>
    </w:p>
    <w:p w14:paraId="6C152B09"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Изпитванията за репродуктивна токсичност при плъхове, зайци и маймуни не показват тератогенни свойства.</w:t>
      </w:r>
    </w:p>
    <w:p w14:paraId="0320DD0D"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Фертилитетьт не се повлиява нито при мъжки, нито при женски плъхове.</w:t>
      </w:r>
    </w:p>
    <w:p w14:paraId="1ECCFB0A" w14:textId="77777777" w:rsidR="0062419E" w:rsidRPr="0062419E" w:rsidRDefault="0062419E" w:rsidP="0062419E">
      <w:pPr>
        <w:spacing w:line="240" w:lineRule="auto"/>
        <w:rPr>
          <w:rFonts w:eastAsia="Times New Roman" w:cs="Arial"/>
          <w:sz w:val="28"/>
          <w:szCs w:val="28"/>
          <w:lang w:eastAsia="bg-BG"/>
        </w:rPr>
      </w:pPr>
      <w:r w:rsidRPr="0062419E">
        <w:rPr>
          <w:rFonts w:eastAsia="Times New Roman" w:cs="Arial"/>
          <w:color w:val="000000"/>
          <w:lang w:eastAsia="bg-BG"/>
        </w:rPr>
        <w:t>Прилагането на рамиприл върху женски плъхове по време на феталния период и</w:t>
      </w:r>
      <w:r w:rsidRPr="0062419E">
        <w:rPr>
          <w:rFonts w:eastAsia="Times New Roman" w:cs="Arial"/>
          <w:color w:val="000000"/>
          <w:lang w:val="en-US"/>
        </w:rPr>
        <w:t xml:space="preserve"> </w:t>
      </w:r>
      <w:r w:rsidRPr="0062419E">
        <w:rPr>
          <w:rFonts w:eastAsia="Times New Roman" w:cs="Arial"/>
          <w:color w:val="000000"/>
          <w:lang w:eastAsia="bg-BG"/>
        </w:rPr>
        <w:t xml:space="preserve">лактацията причинява необратимо бъбречно увреждане (дилатация на бъбречното легенче) в потомството при дневни дози от 50 </w:t>
      </w:r>
      <w:r w:rsidRPr="0062419E">
        <w:rPr>
          <w:rFonts w:eastAsia="Times New Roman" w:cs="Arial"/>
          <w:color w:val="000000"/>
          <w:lang w:val="en-US"/>
        </w:rPr>
        <w:t xml:space="preserve">mg/kg </w:t>
      </w:r>
      <w:r w:rsidRPr="0062419E">
        <w:rPr>
          <w:rFonts w:eastAsia="Times New Roman" w:cs="Arial"/>
          <w:color w:val="000000"/>
          <w:lang w:eastAsia="bg-BG"/>
        </w:rPr>
        <w:t>телесно тегло или по-високи.</w:t>
      </w:r>
    </w:p>
    <w:p w14:paraId="217D9A5C" w14:textId="761E240A" w:rsidR="0062419E" w:rsidRDefault="0062419E" w:rsidP="0062419E">
      <w:pPr>
        <w:rPr>
          <w:rFonts w:eastAsia="Times New Roman" w:cs="Arial"/>
          <w:color w:val="000000"/>
          <w:lang w:eastAsia="bg-BG"/>
        </w:rPr>
      </w:pPr>
      <w:r w:rsidRPr="0062419E">
        <w:rPr>
          <w:rFonts w:eastAsia="Times New Roman" w:cs="Arial"/>
          <w:color w:val="000000"/>
          <w:lang w:eastAsia="bg-BG"/>
        </w:rPr>
        <w:t>При много млади плъхове следи прилагане на еднократна доза рамиприл се наблюдава</w:t>
      </w:r>
      <w:r w:rsidRPr="0062419E">
        <w:rPr>
          <w:rFonts w:eastAsia="Times New Roman" w:cs="Arial"/>
          <w:color w:val="000000"/>
          <w:vertAlign w:val="superscript"/>
          <w:lang w:eastAsia="bg-BG"/>
        </w:rPr>
        <w:t xml:space="preserve"> </w:t>
      </w:r>
      <w:r w:rsidRPr="0062419E">
        <w:rPr>
          <w:rFonts w:eastAsia="Times New Roman" w:cs="Arial"/>
          <w:color w:val="000000"/>
          <w:lang w:eastAsia="bg-BG"/>
        </w:rPr>
        <w:t>необратимо увреждане на бъбреците.</w:t>
      </w:r>
    </w:p>
    <w:p w14:paraId="7D597E41" w14:textId="2CF5C17D" w:rsidR="0062419E" w:rsidRPr="0062419E" w:rsidRDefault="0062419E" w:rsidP="0062419E">
      <w:pPr>
        <w:rPr>
          <w:sz w:val="24"/>
          <w:szCs w:val="24"/>
          <w:lang w:eastAsia="bg-BG"/>
        </w:rPr>
      </w:pPr>
      <w:r w:rsidRPr="0062419E">
        <w:rPr>
          <w:lang w:eastAsia="bg-BG"/>
        </w:rPr>
        <w:t>Разширено изследване за мутагенност, чрез използване на няколко системи за изследване, не показва, че рамиприл притежава мутагенни или генотоксични свойства.</w:t>
      </w:r>
    </w:p>
    <w:p w14:paraId="357049A8" w14:textId="4D716D0D" w:rsidR="00BB22B4" w:rsidRDefault="002C50EE" w:rsidP="00471F10">
      <w:pPr>
        <w:pStyle w:val="Heading1"/>
      </w:pPr>
      <w:r>
        <w:t>7. ПРИТЕЖАТЕЛ НА РАЗРЕШЕНИЕТО ЗА УПОТРЕБА</w:t>
      </w:r>
    </w:p>
    <w:p w14:paraId="13717543" w14:textId="02AC4BEF" w:rsidR="0062419E" w:rsidRDefault="0062419E" w:rsidP="0062419E"/>
    <w:p w14:paraId="2D43BC1C" w14:textId="77777777" w:rsidR="0062419E" w:rsidRPr="0062419E" w:rsidRDefault="0062419E" w:rsidP="0062419E">
      <w:pPr>
        <w:rPr>
          <w:sz w:val="24"/>
          <w:szCs w:val="24"/>
          <w:lang w:eastAsia="bg-BG"/>
        </w:rPr>
      </w:pPr>
      <w:r w:rsidRPr="0062419E">
        <w:rPr>
          <w:lang w:eastAsia="bg-BG"/>
        </w:rPr>
        <w:t>Тева Фарма ЕАД</w:t>
      </w:r>
    </w:p>
    <w:p w14:paraId="5D75B8F9" w14:textId="77777777" w:rsidR="0062419E" w:rsidRDefault="0062419E" w:rsidP="0062419E">
      <w:pPr>
        <w:rPr>
          <w:lang w:eastAsia="bg-BG"/>
        </w:rPr>
      </w:pPr>
      <w:r w:rsidRPr="0062419E">
        <w:rPr>
          <w:lang w:eastAsia="bg-BG"/>
        </w:rPr>
        <w:t xml:space="preserve">ул. „Люба Величкова“ № 9, 1407 София </w:t>
      </w:r>
    </w:p>
    <w:p w14:paraId="26E9B2F8" w14:textId="383ED4C7" w:rsidR="0062419E" w:rsidRPr="0062419E" w:rsidRDefault="0062419E" w:rsidP="0062419E">
      <w:r w:rsidRPr="0062419E">
        <w:rPr>
          <w:lang w:eastAsia="bg-BG"/>
        </w:rPr>
        <w:t>България</w:t>
      </w:r>
    </w:p>
    <w:p w14:paraId="0A53321D" w14:textId="233EA93C" w:rsidR="00EE6C97" w:rsidRDefault="00936AD0" w:rsidP="00A93499">
      <w:pPr>
        <w:pStyle w:val="Heading1"/>
      </w:pPr>
      <w:r>
        <w:t>8.</w:t>
      </w:r>
      <w:r w:rsidR="002C50EE">
        <w:t>НОМЕР НА РАЗРЕШЕНИЕТО ЗА УПОТРЕБА</w:t>
      </w:r>
    </w:p>
    <w:p w14:paraId="35EF1B5E" w14:textId="30F9C44F" w:rsidR="0062419E" w:rsidRDefault="0062419E" w:rsidP="0062419E"/>
    <w:p w14:paraId="4F9209CB" w14:textId="77777777" w:rsidR="0062419E" w:rsidRPr="0062419E" w:rsidRDefault="0062419E" w:rsidP="0062419E">
      <w:pPr>
        <w:rPr>
          <w:sz w:val="24"/>
          <w:szCs w:val="24"/>
          <w:lang w:eastAsia="bg-BG"/>
        </w:rPr>
      </w:pPr>
      <w:r w:rsidRPr="0062419E">
        <w:rPr>
          <w:lang w:eastAsia="bg-BG"/>
        </w:rPr>
        <w:t xml:space="preserve">Вивейс 5 </w:t>
      </w:r>
      <w:r w:rsidRPr="0062419E">
        <w:rPr>
          <w:lang w:val="en-US"/>
        </w:rPr>
        <w:t xml:space="preserve">mg </w:t>
      </w:r>
      <w:r w:rsidRPr="0062419E">
        <w:rPr>
          <w:lang w:eastAsia="bg-BG"/>
        </w:rPr>
        <w:t xml:space="preserve">таблетки - </w:t>
      </w:r>
      <w:r w:rsidRPr="0062419E">
        <w:rPr>
          <w:lang w:val="en-US"/>
        </w:rPr>
        <w:t xml:space="preserve">per. </w:t>
      </w:r>
      <w:r w:rsidRPr="0062419E">
        <w:rPr>
          <w:lang w:eastAsia="bg-BG"/>
        </w:rPr>
        <w:t>№ 20050133</w:t>
      </w:r>
    </w:p>
    <w:p w14:paraId="308E9022" w14:textId="77777777" w:rsidR="0062419E" w:rsidRPr="0062419E" w:rsidRDefault="0062419E" w:rsidP="0062419E">
      <w:pPr>
        <w:rPr>
          <w:sz w:val="24"/>
          <w:szCs w:val="24"/>
          <w:lang w:eastAsia="bg-BG"/>
        </w:rPr>
      </w:pPr>
      <w:r w:rsidRPr="0062419E">
        <w:rPr>
          <w:lang w:eastAsia="bg-BG"/>
        </w:rPr>
        <w:t xml:space="preserve">Вивейс 10 </w:t>
      </w:r>
      <w:r w:rsidRPr="0062419E">
        <w:rPr>
          <w:lang w:val="en-US"/>
        </w:rPr>
        <w:t xml:space="preserve">mg </w:t>
      </w:r>
      <w:r w:rsidRPr="0062419E">
        <w:rPr>
          <w:lang w:eastAsia="bg-BG"/>
        </w:rPr>
        <w:t xml:space="preserve">таблетки - </w:t>
      </w:r>
      <w:r w:rsidRPr="0062419E">
        <w:rPr>
          <w:lang w:val="en-US"/>
        </w:rPr>
        <w:t xml:space="preserve">per. </w:t>
      </w:r>
      <w:r w:rsidRPr="0062419E">
        <w:rPr>
          <w:lang w:eastAsia="bg-BG"/>
        </w:rPr>
        <w:t>№ 20050134</w:t>
      </w:r>
    </w:p>
    <w:p w14:paraId="78ECD866" w14:textId="77777777" w:rsidR="0062419E" w:rsidRPr="0062419E" w:rsidRDefault="0062419E" w:rsidP="0062419E"/>
    <w:p w14:paraId="3715C10B" w14:textId="7A18FA0B" w:rsidR="00BB22B4" w:rsidRDefault="002C50EE" w:rsidP="00471F10">
      <w:pPr>
        <w:pStyle w:val="Heading1"/>
      </w:pPr>
      <w:r>
        <w:t>9. ДАТА НА ПЪРВО РАЗРЕШАВАНЕ/ПОДНОВЯВАНЕ НА РАЗРЕШЕНИЕТО ЗА УПОТРЕБА</w:t>
      </w:r>
    </w:p>
    <w:p w14:paraId="68DE6175" w14:textId="77777777" w:rsidR="0062419E" w:rsidRDefault="0062419E" w:rsidP="0062419E">
      <w:pPr>
        <w:rPr>
          <w:lang w:eastAsia="bg-BG"/>
        </w:rPr>
      </w:pPr>
    </w:p>
    <w:p w14:paraId="2305A18B" w14:textId="3E83FF1A" w:rsidR="0062419E" w:rsidRPr="0062419E" w:rsidRDefault="0062419E" w:rsidP="0062419E">
      <w:pPr>
        <w:rPr>
          <w:sz w:val="24"/>
          <w:szCs w:val="24"/>
          <w:lang w:eastAsia="bg-BG"/>
        </w:rPr>
      </w:pPr>
      <w:r w:rsidRPr="0062419E">
        <w:rPr>
          <w:lang w:eastAsia="bg-BG"/>
        </w:rPr>
        <w:t>Дата на първо разрешаване: 08.05.2005 г.</w:t>
      </w:r>
    </w:p>
    <w:p w14:paraId="2B3D761A" w14:textId="2A1321BF" w:rsidR="0062419E" w:rsidRPr="0062419E" w:rsidRDefault="0062419E" w:rsidP="0062419E">
      <w:r w:rsidRPr="0062419E">
        <w:rPr>
          <w:lang w:eastAsia="bg-BG"/>
        </w:rPr>
        <w:t>Дата на последно подновяване: 16.04.2010 г.</w:t>
      </w:r>
    </w:p>
    <w:p w14:paraId="43FB38A2" w14:textId="0C18A683" w:rsidR="007C605B" w:rsidRDefault="002C50EE" w:rsidP="005726E3">
      <w:pPr>
        <w:pStyle w:val="Heading1"/>
      </w:pPr>
      <w:r>
        <w:t>10. ДАТА НА АКТУАЛИЗИРАНЕ НА ТЕКСТА</w:t>
      </w:r>
      <w:bookmarkEnd w:id="0"/>
    </w:p>
    <w:p w14:paraId="472617BD" w14:textId="3BA44A42" w:rsidR="00BB22B4" w:rsidRPr="00BB22B4" w:rsidRDefault="00BB22B4" w:rsidP="00EE6C97"/>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19E11D2"/>
    <w:multiLevelType w:val="hybridMultilevel"/>
    <w:tmpl w:val="C7D83E2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6353E"/>
    <w:multiLevelType w:val="hybridMultilevel"/>
    <w:tmpl w:val="7AD0DBC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0C93B04"/>
    <w:multiLevelType w:val="hybridMultilevel"/>
    <w:tmpl w:val="6D9A2EF6"/>
    <w:lvl w:ilvl="0" w:tplc="B01A5F54">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9"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0B1913"/>
    <w:multiLevelType w:val="hybridMultilevel"/>
    <w:tmpl w:val="4C60965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5348D"/>
    <w:multiLevelType w:val="hybridMultilevel"/>
    <w:tmpl w:val="A3B854A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6"/>
  </w:num>
  <w:num w:numId="2" w16cid:durableId="1612932146">
    <w:abstractNumId w:val="0"/>
  </w:num>
  <w:num w:numId="3" w16cid:durableId="1810323821">
    <w:abstractNumId w:val="18"/>
  </w:num>
  <w:num w:numId="4" w16cid:durableId="2135319613">
    <w:abstractNumId w:val="5"/>
  </w:num>
  <w:num w:numId="5" w16cid:durableId="740105516">
    <w:abstractNumId w:val="1"/>
  </w:num>
  <w:num w:numId="6" w16cid:durableId="1668363208">
    <w:abstractNumId w:val="24"/>
  </w:num>
  <w:num w:numId="7" w16cid:durableId="1241988161">
    <w:abstractNumId w:val="15"/>
  </w:num>
  <w:num w:numId="8" w16cid:durableId="2102022361">
    <w:abstractNumId w:val="23"/>
  </w:num>
  <w:num w:numId="9" w16cid:durableId="1154613663">
    <w:abstractNumId w:val="4"/>
  </w:num>
  <w:num w:numId="10" w16cid:durableId="1733848127">
    <w:abstractNumId w:val="6"/>
  </w:num>
  <w:num w:numId="11" w16cid:durableId="1861704680">
    <w:abstractNumId w:val="40"/>
  </w:num>
  <w:num w:numId="12" w16cid:durableId="1434934028">
    <w:abstractNumId w:val="21"/>
  </w:num>
  <w:num w:numId="13" w16cid:durableId="479157895">
    <w:abstractNumId w:val="27"/>
  </w:num>
  <w:num w:numId="14" w16cid:durableId="1670476636">
    <w:abstractNumId w:val="17"/>
  </w:num>
  <w:num w:numId="15" w16cid:durableId="1000155783">
    <w:abstractNumId w:val="38"/>
  </w:num>
  <w:num w:numId="16" w16cid:durableId="2056420707">
    <w:abstractNumId w:val="14"/>
  </w:num>
  <w:num w:numId="17" w16cid:durableId="1787119182">
    <w:abstractNumId w:val="32"/>
  </w:num>
  <w:num w:numId="18" w16cid:durableId="722945139">
    <w:abstractNumId w:val="11"/>
  </w:num>
  <w:num w:numId="19" w16cid:durableId="1678728408">
    <w:abstractNumId w:val="34"/>
  </w:num>
  <w:num w:numId="20" w16cid:durableId="1970816657">
    <w:abstractNumId w:val="31"/>
  </w:num>
  <w:num w:numId="21" w16cid:durableId="1531146514">
    <w:abstractNumId w:val="25"/>
  </w:num>
  <w:num w:numId="22" w16cid:durableId="1276465">
    <w:abstractNumId w:val="33"/>
  </w:num>
  <w:num w:numId="23" w16cid:durableId="1624310558">
    <w:abstractNumId w:val="26"/>
  </w:num>
  <w:num w:numId="24" w16cid:durableId="1692877547">
    <w:abstractNumId w:val="12"/>
  </w:num>
  <w:num w:numId="25" w16cid:durableId="50930855">
    <w:abstractNumId w:val="30"/>
  </w:num>
  <w:num w:numId="26" w16cid:durableId="176701536">
    <w:abstractNumId w:val="29"/>
  </w:num>
  <w:num w:numId="27" w16cid:durableId="2050564750">
    <w:abstractNumId w:val="41"/>
  </w:num>
  <w:num w:numId="28" w16cid:durableId="1820733422">
    <w:abstractNumId w:val="8"/>
  </w:num>
  <w:num w:numId="29" w16cid:durableId="973678124">
    <w:abstractNumId w:val="28"/>
  </w:num>
  <w:num w:numId="30" w16cid:durableId="154884452">
    <w:abstractNumId w:val="45"/>
  </w:num>
  <w:num w:numId="31" w16cid:durableId="1053964910">
    <w:abstractNumId w:val="7"/>
  </w:num>
  <w:num w:numId="32" w16cid:durableId="2073575793">
    <w:abstractNumId w:val="43"/>
  </w:num>
  <w:num w:numId="33" w16cid:durableId="1566643170">
    <w:abstractNumId w:val="37"/>
  </w:num>
  <w:num w:numId="34" w16cid:durableId="2060787732">
    <w:abstractNumId w:val="42"/>
  </w:num>
  <w:num w:numId="35" w16cid:durableId="34161354">
    <w:abstractNumId w:val="10"/>
  </w:num>
  <w:num w:numId="36" w16cid:durableId="1976908676">
    <w:abstractNumId w:val="13"/>
  </w:num>
  <w:num w:numId="37" w16cid:durableId="758528303">
    <w:abstractNumId w:val="22"/>
  </w:num>
  <w:num w:numId="38" w16cid:durableId="178396561">
    <w:abstractNumId w:val="44"/>
  </w:num>
  <w:num w:numId="39" w16cid:durableId="934825996">
    <w:abstractNumId w:val="16"/>
  </w:num>
  <w:num w:numId="40" w16cid:durableId="1488127946">
    <w:abstractNumId w:val="2"/>
  </w:num>
  <w:num w:numId="41" w16cid:durableId="103230857">
    <w:abstractNumId w:val="3"/>
  </w:num>
  <w:num w:numId="42" w16cid:durableId="1910454409">
    <w:abstractNumId w:val="9"/>
  </w:num>
  <w:num w:numId="43" w16cid:durableId="2017876970">
    <w:abstractNumId w:val="20"/>
  </w:num>
  <w:num w:numId="44" w16cid:durableId="494154006">
    <w:abstractNumId w:val="35"/>
  </w:num>
  <w:num w:numId="45" w16cid:durableId="1160315818">
    <w:abstractNumId w:val="19"/>
  </w:num>
  <w:num w:numId="46" w16cid:durableId="45464481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2419E"/>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E2555"/>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925BC"/>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7092</Words>
  <Characters>40431</Characters>
  <Application>Microsoft Office Word</Application>
  <DocSecurity>0</DocSecurity>
  <Lines>336</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2023-01-08T21:38:00Z</dcterms:created>
  <dcterms:modified xsi:type="dcterms:W3CDTF">2023-01-08T21:38:00Z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