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5C9C84F0" w:rsidR="00F53FB7" w:rsidRDefault="00DD466D" w:rsidP="00A93499">
      <w:pPr>
        <w:pStyle w:val="Heading1"/>
      </w:pPr>
      <w:r>
        <w:t>1.ИМЕ НА ЛЕКАРСТВЕНИЯ ПРОДУКТ</w:t>
      </w:r>
    </w:p>
    <w:p w14:paraId="7BA4DEA6" w14:textId="7EFE82FB" w:rsidR="005B7C63" w:rsidRDefault="005B7C63" w:rsidP="005B7C63"/>
    <w:p w14:paraId="3AEFC08E" w14:textId="77777777" w:rsidR="005B7C63" w:rsidRPr="005B7C63" w:rsidRDefault="005B7C63" w:rsidP="005B7C63">
      <w:pPr>
        <w:rPr>
          <w:sz w:val="24"/>
          <w:szCs w:val="24"/>
          <w:lang w:val="en-US" w:eastAsia="bg-BG"/>
        </w:rPr>
      </w:pPr>
      <w:r w:rsidRPr="005B7C63">
        <w:rPr>
          <w:lang w:eastAsia="bg-BG"/>
        </w:rPr>
        <w:t xml:space="preserve">Вивейс Дуо 5 </w:t>
      </w:r>
      <w:r w:rsidRPr="005B7C63">
        <w:rPr>
          <w:lang w:val="en-US"/>
        </w:rPr>
        <w:t xml:space="preserve">mg/5 mg </w:t>
      </w:r>
      <w:r w:rsidRPr="005B7C63">
        <w:rPr>
          <w:lang w:eastAsia="bg-BG"/>
        </w:rPr>
        <w:t>твърди капсули</w:t>
      </w:r>
    </w:p>
    <w:p w14:paraId="1ABADA62" w14:textId="77777777" w:rsidR="005B7C63" w:rsidRPr="005B7C63" w:rsidRDefault="005B7C63" w:rsidP="005B7C63">
      <w:pPr>
        <w:rPr>
          <w:sz w:val="24"/>
          <w:szCs w:val="24"/>
          <w:lang w:val="en-US" w:eastAsia="bg-BG"/>
        </w:rPr>
      </w:pPr>
      <w:r w:rsidRPr="005B7C63">
        <w:rPr>
          <w:lang w:val="en-US"/>
        </w:rPr>
        <w:t xml:space="preserve">Vivace Duo </w:t>
      </w:r>
      <w:r w:rsidRPr="005B7C63">
        <w:rPr>
          <w:lang w:eastAsia="bg-BG"/>
        </w:rPr>
        <w:t xml:space="preserve">5 </w:t>
      </w:r>
      <w:r w:rsidRPr="005B7C63">
        <w:rPr>
          <w:lang w:val="en-US"/>
        </w:rPr>
        <w:t>mg/5 mg hard capsules</w:t>
      </w:r>
    </w:p>
    <w:p w14:paraId="16CE314E" w14:textId="77777777" w:rsidR="005B7C63" w:rsidRDefault="005B7C63" w:rsidP="005B7C63">
      <w:pPr>
        <w:rPr>
          <w:lang w:eastAsia="bg-BG"/>
        </w:rPr>
      </w:pPr>
    </w:p>
    <w:p w14:paraId="0D58B06E" w14:textId="10BF528A" w:rsidR="005B7C63" w:rsidRPr="005B7C63" w:rsidRDefault="005B7C63" w:rsidP="005B7C63">
      <w:pPr>
        <w:rPr>
          <w:sz w:val="24"/>
          <w:szCs w:val="24"/>
          <w:lang w:val="en-US" w:eastAsia="bg-BG"/>
        </w:rPr>
      </w:pPr>
      <w:r w:rsidRPr="005B7C63">
        <w:rPr>
          <w:lang w:eastAsia="bg-BG"/>
        </w:rPr>
        <w:t xml:space="preserve">Вивейс Дуо </w:t>
      </w:r>
      <w:r w:rsidRPr="005B7C63">
        <w:rPr>
          <w:lang w:val="en-US"/>
        </w:rPr>
        <w:t xml:space="preserve">10 mg/5 mg </w:t>
      </w:r>
      <w:r w:rsidRPr="005B7C63">
        <w:rPr>
          <w:lang w:eastAsia="bg-BG"/>
        </w:rPr>
        <w:t>твърди капсули</w:t>
      </w:r>
    </w:p>
    <w:p w14:paraId="1E7522BC" w14:textId="47C758B6" w:rsidR="005B7C63" w:rsidRPr="005B7C63" w:rsidRDefault="005B7C63" w:rsidP="005B7C63">
      <w:pPr>
        <w:rPr>
          <w:sz w:val="24"/>
          <w:szCs w:val="24"/>
          <w:lang w:val="en-US" w:eastAsia="bg-BG"/>
        </w:rPr>
      </w:pPr>
      <w:r w:rsidRPr="005B7C63">
        <w:rPr>
          <w:lang w:val="en-US"/>
        </w:rPr>
        <w:t>Vivace Duo 10 mg/5 mg hard capsules</w:t>
      </w:r>
    </w:p>
    <w:p w14:paraId="69C0490C" w14:textId="77777777" w:rsidR="005B7C63" w:rsidRDefault="005B7C63" w:rsidP="005B7C63">
      <w:pPr>
        <w:rPr>
          <w:lang w:eastAsia="bg-BG"/>
        </w:rPr>
      </w:pPr>
    </w:p>
    <w:p w14:paraId="0EC257AC" w14:textId="3B2DDE92" w:rsidR="005B7C63" w:rsidRPr="005B7C63" w:rsidRDefault="005B7C63" w:rsidP="005B7C63">
      <w:pPr>
        <w:rPr>
          <w:sz w:val="24"/>
          <w:szCs w:val="24"/>
          <w:lang w:val="en-US" w:eastAsia="bg-BG"/>
        </w:rPr>
      </w:pPr>
      <w:r w:rsidRPr="005B7C63">
        <w:rPr>
          <w:lang w:eastAsia="bg-BG"/>
        </w:rPr>
        <w:t xml:space="preserve">Вивейс Дуо </w:t>
      </w:r>
      <w:r w:rsidRPr="005B7C63">
        <w:rPr>
          <w:lang w:val="en-US"/>
        </w:rPr>
        <w:t xml:space="preserve">10 mg/10 mg </w:t>
      </w:r>
      <w:r w:rsidRPr="005B7C63">
        <w:rPr>
          <w:lang w:eastAsia="bg-BG"/>
        </w:rPr>
        <w:t>твърди капсули</w:t>
      </w:r>
    </w:p>
    <w:p w14:paraId="50AA1F00" w14:textId="77777777" w:rsidR="005B7C63" w:rsidRPr="005B7C63" w:rsidRDefault="005B7C63" w:rsidP="005B7C63">
      <w:pPr>
        <w:rPr>
          <w:sz w:val="24"/>
          <w:szCs w:val="24"/>
          <w:lang w:val="en-US" w:eastAsia="bg-BG"/>
        </w:rPr>
      </w:pPr>
      <w:r w:rsidRPr="005B7C63">
        <w:rPr>
          <w:lang w:val="en-US"/>
        </w:rPr>
        <w:t>Vivace Duo 10 mg/10 mg hard capsules</w:t>
      </w:r>
    </w:p>
    <w:p w14:paraId="04F3E0FB" w14:textId="77777777" w:rsidR="005B7C63" w:rsidRPr="005B7C63" w:rsidRDefault="005B7C63" w:rsidP="005B7C63"/>
    <w:p w14:paraId="0DF202EC" w14:textId="7F464783" w:rsidR="00F53FB7" w:rsidRDefault="00DD466D" w:rsidP="00A93499">
      <w:pPr>
        <w:pStyle w:val="Heading1"/>
      </w:pPr>
      <w:r>
        <w:t>2. КАЧЕСТВЕН И КОЛИЧЕСТВЕН СЪСТАВ</w:t>
      </w:r>
    </w:p>
    <w:p w14:paraId="4632660C" w14:textId="1681C523" w:rsidR="005B7C63" w:rsidRDefault="005B7C63" w:rsidP="005B7C63"/>
    <w:p w14:paraId="1340EE6F" w14:textId="77777777" w:rsidR="005B7C63" w:rsidRPr="005B7C63" w:rsidRDefault="005B7C63" w:rsidP="005B7C63">
      <w:pPr>
        <w:rPr>
          <w:sz w:val="24"/>
          <w:szCs w:val="24"/>
          <w:lang w:eastAsia="bg-BG"/>
        </w:rPr>
      </w:pPr>
      <w:r w:rsidRPr="005B7C63">
        <w:rPr>
          <w:lang w:eastAsia="bg-BG"/>
        </w:rPr>
        <w:t xml:space="preserve">Вивейс Дуо 5 </w:t>
      </w:r>
      <w:r w:rsidRPr="005B7C63">
        <w:rPr>
          <w:lang w:val="en-US"/>
        </w:rPr>
        <w:t>mg/</w:t>
      </w:r>
      <w:r w:rsidRPr="005B7C63">
        <w:rPr>
          <w:i/>
          <w:iCs/>
          <w:lang w:eastAsia="bg-BG"/>
        </w:rPr>
        <w:t>5</w:t>
      </w:r>
      <w:r w:rsidRPr="005B7C63">
        <w:rPr>
          <w:lang w:eastAsia="bg-BG"/>
        </w:rPr>
        <w:t xml:space="preserve"> </w:t>
      </w:r>
      <w:r w:rsidRPr="005B7C63">
        <w:rPr>
          <w:lang w:val="en-US"/>
        </w:rPr>
        <w:t xml:space="preserve">mg </w:t>
      </w:r>
      <w:r w:rsidRPr="005B7C63">
        <w:rPr>
          <w:lang w:eastAsia="bg-BG"/>
        </w:rPr>
        <w:t xml:space="preserve">твърди капсули: всяка капсула съдържа 5 </w:t>
      </w:r>
      <w:r w:rsidRPr="005B7C63">
        <w:rPr>
          <w:lang w:val="en-US"/>
        </w:rPr>
        <w:t xml:space="preserve">mg </w:t>
      </w:r>
      <w:r w:rsidRPr="005B7C63">
        <w:rPr>
          <w:lang w:eastAsia="bg-BG"/>
        </w:rPr>
        <w:t xml:space="preserve">рамиприл </w:t>
      </w:r>
      <w:r w:rsidRPr="005B7C63">
        <w:rPr>
          <w:i/>
          <w:iCs/>
          <w:lang w:val="en-US"/>
        </w:rPr>
        <w:t>(ramipril)</w:t>
      </w:r>
      <w:r w:rsidRPr="005B7C63">
        <w:rPr>
          <w:lang w:val="en-US"/>
        </w:rPr>
        <w:t xml:space="preserve"> </w:t>
      </w:r>
      <w:r w:rsidRPr="005B7C63">
        <w:rPr>
          <w:lang w:eastAsia="bg-BG"/>
        </w:rPr>
        <w:t xml:space="preserve">и амлодипин безилат, еквивалентен на 5 </w:t>
      </w:r>
      <w:r w:rsidRPr="005B7C63">
        <w:rPr>
          <w:lang w:val="en-US"/>
        </w:rPr>
        <w:t xml:space="preserve">mg </w:t>
      </w:r>
      <w:r w:rsidRPr="005B7C63">
        <w:rPr>
          <w:lang w:eastAsia="bg-BG"/>
        </w:rPr>
        <w:t xml:space="preserve">амлодипин </w:t>
      </w:r>
      <w:r w:rsidRPr="005B7C63">
        <w:rPr>
          <w:i/>
          <w:iCs/>
          <w:lang w:val="en-US"/>
        </w:rPr>
        <w:t>(amlodipine),</w:t>
      </w:r>
    </w:p>
    <w:p w14:paraId="3D07C222" w14:textId="77777777" w:rsidR="005B7C63" w:rsidRPr="005B7C63" w:rsidRDefault="005B7C63" w:rsidP="005B7C63">
      <w:pPr>
        <w:rPr>
          <w:sz w:val="24"/>
          <w:szCs w:val="24"/>
          <w:lang w:eastAsia="bg-BG"/>
        </w:rPr>
      </w:pPr>
      <w:r w:rsidRPr="005B7C63">
        <w:rPr>
          <w:lang w:eastAsia="bg-BG"/>
        </w:rPr>
        <w:t xml:space="preserve">Вивейс Дуо 10 </w:t>
      </w:r>
      <w:r w:rsidRPr="005B7C63">
        <w:rPr>
          <w:lang w:val="en-US"/>
        </w:rPr>
        <w:t xml:space="preserve">mg/5 mg </w:t>
      </w:r>
      <w:r w:rsidRPr="005B7C63">
        <w:rPr>
          <w:lang w:eastAsia="bg-BG"/>
        </w:rPr>
        <w:t xml:space="preserve">твърди капсули: всяка капсула съдържа 10 </w:t>
      </w:r>
      <w:r w:rsidRPr="005B7C63">
        <w:rPr>
          <w:lang w:val="en-US"/>
        </w:rPr>
        <w:t xml:space="preserve">mg </w:t>
      </w:r>
      <w:r w:rsidRPr="005B7C63">
        <w:rPr>
          <w:lang w:eastAsia="bg-BG"/>
        </w:rPr>
        <w:t xml:space="preserve">рамиприл </w:t>
      </w:r>
      <w:r w:rsidRPr="005B7C63">
        <w:rPr>
          <w:i/>
          <w:iCs/>
          <w:lang w:val="en-US"/>
        </w:rPr>
        <w:t>(ramipril)</w:t>
      </w:r>
      <w:r w:rsidRPr="005B7C63">
        <w:rPr>
          <w:lang w:val="en-US"/>
        </w:rPr>
        <w:t xml:space="preserve"> </w:t>
      </w:r>
      <w:r w:rsidRPr="005B7C63">
        <w:rPr>
          <w:lang w:eastAsia="bg-BG"/>
        </w:rPr>
        <w:t xml:space="preserve">и амлодипин безилат, еквивалентен на 5 </w:t>
      </w:r>
      <w:r w:rsidRPr="005B7C63">
        <w:rPr>
          <w:lang w:val="en-US"/>
        </w:rPr>
        <w:t xml:space="preserve">mg </w:t>
      </w:r>
      <w:r w:rsidRPr="005B7C63">
        <w:rPr>
          <w:lang w:eastAsia="bg-BG"/>
        </w:rPr>
        <w:t xml:space="preserve">амлодипин </w:t>
      </w:r>
      <w:r w:rsidRPr="005B7C63">
        <w:rPr>
          <w:i/>
          <w:iCs/>
          <w:lang w:val="en-US"/>
        </w:rPr>
        <w:t>(amlodipine).</w:t>
      </w:r>
    </w:p>
    <w:p w14:paraId="0B747CFA" w14:textId="66B22090" w:rsidR="005B7C63" w:rsidRPr="005B7C63" w:rsidRDefault="005B7C63" w:rsidP="005B7C63">
      <w:pPr>
        <w:rPr>
          <w:sz w:val="24"/>
          <w:szCs w:val="24"/>
          <w:lang w:eastAsia="bg-BG"/>
        </w:rPr>
      </w:pPr>
      <w:r w:rsidRPr="005B7C63">
        <w:rPr>
          <w:lang w:eastAsia="bg-BG"/>
        </w:rPr>
        <w:t xml:space="preserve">Вивейс Дуо 10 </w:t>
      </w:r>
      <w:r w:rsidRPr="005B7C63">
        <w:rPr>
          <w:lang w:val="en-US"/>
        </w:rPr>
        <w:t>mg/1</w:t>
      </w:r>
      <w:r w:rsidRPr="005B7C63">
        <w:rPr>
          <w:lang w:eastAsia="bg-BG"/>
        </w:rPr>
        <w:t xml:space="preserve">0 </w:t>
      </w:r>
      <w:r w:rsidRPr="005B7C63">
        <w:rPr>
          <w:lang w:val="en-US"/>
        </w:rPr>
        <w:t xml:space="preserve">mg </w:t>
      </w:r>
      <w:r w:rsidRPr="005B7C63">
        <w:rPr>
          <w:lang w:eastAsia="bg-BG"/>
        </w:rPr>
        <w:t xml:space="preserve">твърди капсули: всяка капсула съдържа 10 </w:t>
      </w:r>
      <w:r w:rsidRPr="005B7C63">
        <w:rPr>
          <w:lang w:val="en-US"/>
        </w:rPr>
        <w:t xml:space="preserve">mg </w:t>
      </w:r>
      <w:r w:rsidRPr="005B7C63">
        <w:rPr>
          <w:lang w:eastAsia="bg-BG"/>
        </w:rPr>
        <w:t xml:space="preserve">рамиприл </w:t>
      </w:r>
      <w:r w:rsidRPr="005B7C63">
        <w:rPr>
          <w:i/>
          <w:iCs/>
          <w:lang w:val="en-US"/>
        </w:rPr>
        <w:t>(ramipril)</w:t>
      </w:r>
      <w:r w:rsidRPr="005B7C63">
        <w:rPr>
          <w:lang w:val="en-US"/>
        </w:rPr>
        <w:t xml:space="preserve"> </w:t>
      </w:r>
      <w:r w:rsidRPr="005B7C63">
        <w:rPr>
          <w:lang w:eastAsia="bg-BG"/>
        </w:rPr>
        <w:t xml:space="preserve">и амлодипин безилат, еквивалентен на 10 </w:t>
      </w:r>
      <w:r w:rsidRPr="005B7C63">
        <w:rPr>
          <w:lang w:val="en-US"/>
        </w:rPr>
        <w:t xml:space="preserve">mg </w:t>
      </w:r>
      <w:r w:rsidRPr="005B7C63">
        <w:rPr>
          <w:lang w:eastAsia="bg-BG"/>
        </w:rPr>
        <w:t xml:space="preserve">амлодипин </w:t>
      </w:r>
      <w:r w:rsidRPr="005B7C63">
        <w:rPr>
          <w:i/>
          <w:iCs/>
          <w:lang w:val="en-US"/>
        </w:rPr>
        <w:t>(amlodipine).</w:t>
      </w:r>
    </w:p>
    <w:p w14:paraId="4CABB9ED" w14:textId="2D18B690" w:rsidR="00F53FB7" w:rsidRDefault="00DD466D" w:rsidP="00A93499">
      <w:pPr>
        <w:pStyle w:val="Heading1"/>
      </w:pPr>
      <w:r>
        <w:t>3. ЛЕКАРСТВЕНА ФОРМА</w:t>
      </w:r>
    </w:p>
    <w:p w14:paraId="28207633" w14:textId="00634BBD" w:rsidR="005B7C63" w:rsidRDefault="005B7C63" w:rsidP="005B7C63"/>
    <w:p w14:paraId="515F4942"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Капсула, твърда</w:t>
      </w:r>
    </w:p>
    <w:p w14:paraId="4F8A3B2C"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 xml:space="preserve">Вивейс Дуо 5 </w:t>
      </w:r>
      <w:r w:rsidRPr="005B7C63">
        <w:rPr>
          <w:rFonts w:eastAsia="Times New Roman" w:cs="Arial"/>
          <w:color w:val="000000"/>
          <w:lang w:val="en-US"/>
        </w:rPr>
        <w:t xml:space="preserve">mg/5 mg </w:t>
      </w:r>
      <w:r w:rsidRPr="005B7C63">
        <w:rPr>
          <w:rFonts w:eastAsia="Times New Roman" w:cs="Arial"/>
          <w:color w:val="000000"/>
          <w:lang w:eastAsia="bg-BG"/>
        </w:rPr>
        <w:t>твърди капсули: твърди желатинови капсули, размер № 1; капаче: непрозрачно с розов цвят; тяло: непрозрачно с бял цвят. Съдържание на капсулите: бял или почти бял прах,</w:t>
      </w:r>
    </w:p>
    <w:p w14:paraId="050CEACB"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 xml:space="preserve">Вивейс Дуо 10 </w:t>
      </w:r>
      <w:r w:rsidRPr="005B7C63">
        <w:rPr>
          <w:rFonts w:eastAsia="Times New Roman" w:cs="Arial"/>
          <w:color w:val="000000"/>
          <w:lang w:val="en-US"/>
        </w:rPr>
        <w:t xml:space="preserve">mg/5 mg </w:t>
      </w:r>
      <w:r w:rsidRPr="005B7C63">
        <w:rPr>
          <w:rFonts w:eastAsia="Times New Roman" w:cs="Arial"/>
          <w:color w:val="000000"/>
          <w:lang w:eastAsia="bg-BG"/>
        </w:rPr>
        <w:t>твърди капсули: твърди желатинови капсули, размер № 1, капаче: непрозрачно с тъмнорозов цвят; тяло: непрозрачно с бял цвят. Съдържание на капсулите: бял или почти бял прах.</w:t>
      </w:r>
    </w:p>
    <w:p w14:paraId="5B981F1F"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 xml:space="preserve">Вивейс Дуо 10 </w:t>
      </w:r>
      <w:r w:rsidRPr="005B7C63">
        <w:rPr>
          <w:rFonts w:eastAsia="Times New Roman" w:cs="Arial"/>
          <w:color w:val="000000"/>
          <w:lang w:val="en-US"/>
        </w:rPr>
        <w:t xml:space="preserve">mg/10 mg </w:t>
      </w:r>
      <w:r w:rsidRPr="005B7C63">
        <w:rPr>
          <w:rFonts w:eastAsia="Times New Roman" w:cs="Arial"/>
          <w:color w:val="000000"/>
          <w:lang w:eastAsia="bg-BG"/>
        </w:rPr>
        <w:t>твърди капсули: твърди желатинови капсули, размер № 1, капаче: непрозрачно с кафяв цвят; тяло: непрозрачно с бял цвят. Съдържание на капсулите: бял или почти бял прах.</w:t>
      </w:r>
    </w:p>
    <w:p w14:paraId="7C5D3087" w14:textId="77777777" w:rsidR="005B7C63" w:rsidRPr="005B7C63" w:rsidRDefault="005B7C63" w:rsidP="005B7C63"/>
    <w:p w14:paraId="490FC2C4" w14:textId="6899DE43" w:rsidR="002C50EE" w:rsidRDefault="002C50EE" w:rsidP="002C50EE">
      <w:pPr>
        <w:pStyle w:val="Heading1"/>
      </w:pPr>
      <w:r>
        <w:t>4. КЛИНИЧНИ ДАННИ</w:t>
      </w:r>
    </w:p>
    <w:p w14:paraId="1A37D275" w14:textId="014932F9" w:rsidR="00F53FB7" w:rsidRDefault="002C50EE" w:rsidP="00A93499">
      <w:pPr>
        <w:pStyle w:val="Heading2"/>
      </w:pPr>
      <w:r>
        <w:t>4.1. Терапевтични показания</w:t>
      </w:r>
    </w:p>
    <w:p w14:paraId="70352DDB" w14:textId="432D1BA0" w:rsidR="005B7C63" w:rsidRDefault="005B7C63" w:rsidP="005B7C63"/>
    <w:p w14:paraId="4B5F41C8" w14:textId="77777777" w:rsidR="005B7C63" w:rsidRPr="005B7C63" w:rsidRDefault="005B7C63" w:rsidP="005B7C63">
      <w:pPr>
        <w:rPr>
          <w:sz w:val="24"/>
          <w:szCs w:val="24"/>
          <w:lang w:eastAsia="bg-BG"/>
        </w:rPr>
      </w:pPr>
      <w:r w:rsidRPr="005B7C63">
        <w:rPr>
          <w:lang w:eastAsia="bg-BG"/>
        </w:rPr>
        <w:t>Лечение на хипертония при възрастни.</w:t>
      </w:r>
    </w:p>
    <w:p w14:paraId="68507332" w14:textId="77777777" w:rsidR="005B7C63" w:rsidRDefault="005B7C63" w:rsidP="005B7C63">
      <w:pPr>
        <w:rPr>
          <w:lang w:eastAsia="bg-BG"/>
        </w:rPr>
      </w:pPr>
    </w:p>
    <w:p w14:paraId="206B7651" w14:textId="3853221D" w:rsidR="005B7C63" w:rsidRPr="005B7C63" w:rsidRDefault="005B7C63" w:rsidP="005B7C63">
      <w:pPr>
        <w:rPr>
          <w:sz w:val="24"/>
          <w:szCs w:val="24"/>
          <w:lang w:eastAsia="bg-BG"/>
        </w:rPr>
      </w:pPr>
      <w:r w:rsidRPr="005B7C63">
        <w:rPr>
          <w:lang w:eastAsia="bg-BG"/>
        </w:rPr>
        <w:t>Вивейс Дуо е показан като заместителна терапия при пациенти с кръвно налягане, адекватно контролирано с рамиприл и амлодипин, приемани едновременно в същите дози, но като отделни лекарства.</w:t>
      </w:r>
    </w:p>
    <w:p w14:paraId="3489B240" w14:textId="77777777" w:rsidR="005B7C63" w:rsidRPr="005B7C63" w:rsidRDefault="005B7C63" w:rsidP="005B7C63"/>
    <w:p w14:paraId="05D17336" w14:textId="677F55F5" w:rsidR="00F53FB7" w:rsidRDefault="002C50EE" w:rsidP="00A93499">
      <w:pPr>
        <w:pStyle w:val="Heading2"/>
      </w:pPr>
      <w:r>
        <w:t>4.2. Дозировка и начин на приложение</w:t>
      </w:r>
    </w:p>
    <w:p w14:paraId="1B119729" w14:textId="0CE0BCBD" w:rsidR="005B7C63" w:rsidRDefault="005B7C63" w:rsidP="005B7C63"/>
    <w:p w14:paraId="24B56505" w14:textId="1EBD07C7" w:rsidR="005B7C63" w:rsidRPr="005B7C63" w:rsidRDefault="005B7C63" w:rsidP="005B7C63">
      <w:pPr>
        <w:pStyle w:val="Heading3"/>
        <w:rPr>
          <w:u w:val="single"/>
        </w:rPr>
      </w:pPr>
      <w:r w:rsidRPr="005B7C63">
        <w:rPr>
          <w:u w:val="single"/>
        </w:rPr>
        <w:t>Дозировка</w:t>
      </w:r>
    </w:p>
    <w:p w14:paraId="72CDA28E"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Вивейс Дуо не трябва да се използва за първоначално лечение на хипертония. Дозата на всяка съставка трябва да се индивидуализира според профила на пациента и контрола на кръвното налягане.</w:t>
      </w:r>
    </w:p>
    <w:p w14:paraId="21244A70" w14:textId="77777777" w:rsidR="005B7C63" w:rsidRPr="005B7C63" w:rsidRDefault="005B7C63" w:rsidP="005B7C63">
      <w:pPr>
        <w:spacing w:line="240" w:lineRule="auto"/>
        <w:rPr>
          <w:rFonts w:eastAsia="Times New Roman" w:cs="Arial"/>
          <w:color w:val="000000"/>
          <w:lang w:eastAsia="bg-BG"/>
        </w:rPr>
      </w:pPr>
    </w:p>
    <w:p w14:paraId="55E20A7C" w14:textId="7C6A9D5F"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Ако се изисква промяна на дозата, схемата на дозиране първо трябва да се определи индивидуално по отношение на отделните съставки рамиприл и амлодипин и след като веднъж се установи може да се премине към комбинацията Вивейс Дуо.</w:t>
      </w:r>
    </w:p>
    <w:p w14:paraId="072047AE" w14:textId="77777777" w:rsidR="005B7C63" w:rsidRPr="005B7C63" w:rsidRDefault="005B7C63" w:rsidP="005B7C63">
      <w:pPr>
        <w:spacing w:line="240" w:lineRule="auto"/>
        <w:rPr>
          <w:rFonts w:eastAsia="Times New Roman" w:cs="Arial"/>
          <w:color w:val="000000"/>
          <w:lang w:eastAsia="bg-BG"/>
        </w:rPr>
      </w:pPr>
    </w:p>
    <w:p w14:paraId="5BB91C46" w14:textId="05EA4330"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 xml:space="preserve">Препоръчителната доза е по една капсула дневно. Максималната дневна доза е една капсула от </w:t>
      </w:r>
      <w:r w:rsidRPr="005B7C63">
        <w:rPr>
          <w:rFonts w:eastAsia="Times New Roman" w:cs="Arial"/>
          <w:color w:val="000000"/>
          <w:lang w:val="en-US"/>
        </w:rPr>
        <w:t>10mg/10mg.</w:t>
      </w:r>
    </w:p>
    <w:p w14:paraId="11C32189" w14:textId="77777777" w:rsidR="005B7C63" w:rsidRPr="005B7C63" w:rsidRDefault="005B7C63" w:rsidP="005B7C63">
      <w:pPr>
        <w:spacing w:line="240" w:lineRule="auto"/>
        <w:rPr>
          <w:rFonts w:eastAsia="Times New Roman" w:cs="Arial"/>
          <w:i/>
          <w:iCs/>
          <w:color w:val="000000"/>
          <w:u w:val="single"/>
          <w:lang w:eastAsia="bg-BG"/>
        </w:rPr>
      </w:pPr>
    </w:p>
    <w:p w14:paraId="677E927A" w14:textId="64AE6770" w:rsidR="005B7C63" w:rsidRPr="005B7C63" w:rsidRDefault="005B7C63" w:rsidP="005B7C63">
      <w:pPr>
        <w:spacing w:line="240" w:lineRule="auto"/>
        <w:rPr>
          <w:rFonts w:eastAsia="Times New Roman" w:cs="Arial"/>
          <w:sz w:val="24"/>
          <w:szCs w:val="24"/>
          <w:lang w:eastAsia="bg-BG"/>
        </w:rPr>
      </w:pPr>
      <w:r w:rsidRPr="005B7C63">
        <w:rPr>
          <w:rFonts w:eastAsia="Times New Roman" w:cs="Arial"/>
          <w:i/>
          <w:iCs/>
          <w:color w:val="000000"/>
          <w:u w:val="single"/>
          <w:lang w:eastAsia="bg-BG"/>
        </w:rPr>
        <w:t>Специални популации</w:t>
      </w:r>
    </w:p>
    <w:p w14:paraId="5CAA3369" w14:textId="77777777" w:rsidR="005B7C63" w:rsidRPr="005B7C63" w:rsidRDefault="005B7C63" w:rsidP="005B7C63">
      <w:pPr>
        <w:spacing w:line="240" w:lineRule="auto"/>
        <w:rPr>
          <w:rFonts w:eastAsia="Times New Roman" w:cs="Arial"/>
          <w:i/>
          <w:iCs/>
          <w:color w:val="000000"/>
          <w:lang w:eastAsia="bg-BG"/>
        </w:rPr>
      </w:pPr>
    </w:p>
    <w:p w14:paraId="7DC6457B" w14:textId="08486729" w:rsidR="005B7C63" w:rsidRPr="005B7C63" w:rsidRDefault="005B7C63" w:rsidP="005B7C63">
      <w:pPr>
        <w:spacing w:line="240" w:lineRule="auto"/>
        <w:rPr>
          <w:rFonts w:eastAsia="Times New Roman" w:cs="Arial"/>
          <w:sz w:val="24"/>
          <w:szCs w:val="24"/>
          <w:lang w:eastAsia="bg-BG"/>
        </w:rPr>
      </w:pPr>
      <w:r w:rsidRPr="005B7C63">
        <w:rPr>
          <w:rFonts w:eastAsia="Times New Roman" w:cs="Arial"/>
          <w:i/>
          <w:iCs/>
          <w:color w:val="000000"/>
          <w:lang w:eastAsia="bg-BG"/>
        </w:rPr>
        <w:t>Бъбречно увреждане</w:t>
      </w:r>
    </w:p>
    <w:p w14:paraId="3A6486DB"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За да се установи оптималната начална доза и поддържащата доза за пациенти с бъбречно увреждане, дозата на пациентите трябва да бъде индивидуално титрирана по отношение на отделните компоненти амлодипин и рамиприл.</w:t>
      </w:r>
    </w:p>
    <w:p w14:paraId="298B7AC1" w14:textId="77777777" w:rsidR="005B7C63" w:rsidRPr="005B7C63" w:rsidRDefault="005B7C63" w:rsidP="005B7C63">
      <w:pPr>
        <w:spacing w:line="240" w:lineRule="auto"/>
        <w:rPr>
          <w:rFonts w:eastAsia="Times New Roman" w:cs="Arial"/>
          <w:color w:val="000000"/>
          <w:lang w:eastAsia="bg-BG"/>
        </w:rPr>
      </w:pPr>
    </w:p>
    <w:p w14:paraId="3D964D1C" w14:textId="088320BC"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Рамиприл се диализира в ниска степен; лекарственият продукт трябва да се прилага няколко часа след провеждане на хемодиализа.</w:t>
      </w:r>
    </w:p>
    <w:p w14:paraId="47FD56A9" w14:textId="77777777" w:rsidR="005B7C63" w:rsidRPr="005B7C63" w:rsidRDefault="005B7C63" w:rsidP="005B7C63">
      <w:pPr>
        <w:spacing w:line="240" w:lineRule="auto"/>
        <w:rPr>
          <w:rFonts w:eastAsia="Times New Roman" w:cs="Arial"/>
          <w:color w:val="000000"/>
          <w:lang w:eastAsia="bg-BG"/>
        </w:rPr>
      </w:pPr>
    </w:p>
    <w:p w14:paraId="4A1904F0" w14:textId="66F10944"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Амлодипин не се диализира. Амлодипин трябва да се прилага с особено внимание при пациенти, провеждащи диализа.</w:t>
      </w:r>
    </w:p>
    <w:p w14:paraId="5B47EB9F" w14:textId="77777777" w:rsidR="005B7C63" w:rsidRPr="005B7C63" w:rsidRDefault="005B7C63" w:rsidP="005B7C63">
      <w:pPr>
        <w:spacing w:line="240" w:lineRule="auto"/>
        <w:rPr>
          <w:rFonts w:eastAsia="Times New Roman" w:cs="Arial"/>
          <w:color w:val="000000"/>
          <w:lang w:eastAsia="bg-BG"/>
        </w:rPr>
      </w:pPr>
    </w:p>
    <w:p w14:paraId="3CDF35E4" w14:textId="5CF26CE1"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По време на лечение с Вивейс Дуо бъбречната функция и стойностите на серумния калий трябва да се мониторират. При влошаване на бъбречната функция, употребата на Вивейс Дуо трябва да се преустанови и да се замени с адекватно адаптираните отделни компоненти.</w:t>
      </w:r>
    </w:p>
    <w:p w14:paraId="05B3183D" w14:textId="77777777" w:rsidR="005B7C63" w:rsidRPr="005B7C63" w:rsidRDefault="005B7C63" w:rsidP="005B7C63">
      <w:pPr>
        <w:spacing w:line="240" w:lineRule="auto"/>
        <w:rPr>
          <w:rFonts w:eastAsia="Times New Roman" w:cs="Arial"/>
          <w:i/>
          <w:iCs/>
          <w:color w:val="000000"/>
          <w:lang w:eastAsia="bg-BG"/>
        </w:rPr>
      </w:pPr>
    </w:p>
    <w:p w14:paraId="5A234956" w14:textId="71272493" w:rsidR="005B7C63" w:rsidRPr="005B7C63" w:rsidRDefault="005B7C63" w:rsidP="005B7C63">
      <w:pPr>
        <w:spacing w:line="240" w:lineRule="auto"/>
        <w:rPr>
          <w:rFonts w:eastAsia="Times New Roman" w:cs="Arial"/>
          <w:sz w:val="24"/>
          <w:szCs w:val="24"/>
          <w:lang w:eastAsia="bg-BG"/>
        </w:rPr>
      </w:pPr>
      <w:r w:rsidRPr="005B7C63">
        <w:rPr>
          <w:rFonts w:eastAsia="Times New Roman" w:cs="Arial"/>
          <w:i/>
          <w:iCs/>
          <w:color w:val="000000"/>
          <w:lang w:eastAsia="bg-BG"/>
        </w:rPr>
        <w:t>Чернодробно увреждане</w:t>
      </w:r>
    </w:p>
    <w:p w14:paraId="16C15C75"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 xml:space="preserve">Максималната дневна доза е 2,5 </w:t>
      </w:r>
      <w:r w:rsidRPr="005B7C63">
        <w:rPr>
          <w:rFonts w:eastAsia="Times New Roman" w:cs="Arial"/>
          <w:color w:val="000000"/>
          <w:lang w:val="en-US"/>
        </w:rPr>
        <w:t xml:space="preserve">mg </w:t>
      </w:r>
      <w:r w:rsidRPr="005B7C63">
        <w:rPr>
          <w:rFonts w:eastAsia="Times New Roman" w:cs="Arial"/>
          <w:color w:val="000000"/>
          <w:lang w:eastAsia="bg-BG"/>
        </w:rPr>
        <w:t>рамиприл.</w:t>
      </w:r>
    </w:p>
    <w:p w14:paraId="4820CB3C" w14:textId="77777777" w:rsidR="005B7C63" w:rsidRPr="005B7C63" w:rsidRDefault="005B7C63" w:rsidP="005B7C63">
      <w:pPr>
        <w:spacing w:line="240" w:lineRule="auto"/>
        <w:rPr>
          <w:rFonts w:eastAsia="Times New Roman" w:cs="Arial"/>
          <w:i/>
          <w:iCs/>
          <w:color w:val="000000"/>
          <w:lang w:eastAsia="bg-BG"/>
        </w:rPr>
      </w:pPr>
    </w:p>
    <w:p w14:paraId="1304C3C8" w14:textId="42B580F3" w:rsidR="005B7C63" w:rsidRPr="005B7C63" w:rsidRDefault="005B7C63" w:rsidP="005B7C63">
      <w:pPr>
        <w:spacing w:line="240" w:lineRule="auto"/>
        <w:rPr>
          <w:rFonts w:eastAsia="Times New Roman" w:cs="Arial"/>
          <w:sz w:val="24"/>
          <w:szCs w:val="24"/>
          <w:lang w:eastAsia="bg-BG"/>
        </w:rPr>
      </w:pPr>
      <w:r w:rsidRPr="005B7C63">
        <w:rPr>
          <w:rFonts w:eastAsia="Times New Roman" w:cs="Arial"/>
          <w:i/>
          <w:iCs/>
          <w:color w:val="000000"/>
          <w:lang w:eastAsia="bg-BG"/>
        </w:rPr>
        <w:t>Пациенти в старческа възраст</w:t>
      </w:r>
    </w:p>
    <w:p w14:paraId="38D789E0"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При пациенти в старческа възраст се препоръчва по-ниска първоначална доза и повишаването на дозата трябва да се извършва с повишено внимание.</w:t>
      </w:r>
    </w:p>
    <w:p w14:paraId="7CDBFA0A" w14:textId="77777777" w:rsidR="005B7C63" w:rsidRPr="005B7C63" w:rsidRDefault="005B7C63" w:rsidP="005B7C63">
      <w:pPr>
        <w:spacing w:line="240" w:lineRule="auto"/>
        <w:rPr>
          <w:rFonts w:eastAsia="Times New Roman" w:cs="Arial"/>
          <w:i/>
          <w:iCs/>
          <w:color w:val="000000"/>
          <w:lang w:eastAsia="bg-BG"/>
        </w:rPr>
      </w:pPr>
    </w:p>
    <w:p w14:paraId="3FD13562" w14:textId="2D219849" w:rsidR="005B7C63" w:rsidRPr="005B7C63" w:rsidRDefault="005B7C63" w:rsidP="005B7C63">
      <w:pPr>
        <w:spacing w:line="240" w:lineRule="auto"/>
        <w:rPr>
          <w:rFonts w:eastAsia="Times New Roman" w:cs="Arial"/>
          <w:sz w:val="24"/>
          <w:szCs w:val="24"/>
          <w:lang w:eastAsia="bg-BG"/>
        </w:rPr>
      </w:pPr>
      <w:r w:rsidRPr="005B7C63">
        <w:rPr>
          <w:rFonts w:eastAsia="Times New Roman" w:cs="Arial"/>
          <w:i/>
          <w:iCs/>
          <w:color w:val="000000"/>
          <w:lang w:eastAsia="bg-BG"/>
        </w:rPr>
        <w:t>Педиатрична популация</w:t>
      </w:r>
    </w:p>
    <w:p w14:paraId="57F9D6BA"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Безопасността и ефикасността на Вивейс Дуо при деца не са установени. Наличните понастоящем данни са описани в точки 4.8, 5.1, 5.2 и 5.3, но не могат да бъдат направени препоръки за дозировка.</w:t>
      </w:r>
    </w:p>
    <w:p w14:paraId="3CEE47BD" w14:textId="77777777" w:rsidR="005B7C63" w:rsidRPr="005B7C63" w:rsidRDefault="005B7C63" w:rsidP="005B7C63">
      <w:pPr>
        <w:spacing w:line="240" w:lineRule="auto"/>
        <w:rPr>
          <w:rFonts w:eastAsia="Times New Roman" w:cs="Arial"/>
          <w:color w:val="000000"/>
          <w:u w:val="single"/>
          <w:lang w:eastAsia="bg-BG"/>
        </w:rPr>
      </w:pPr>
    </w:p>
    <w:p w14:paraId="26AF8D84" w14:textId="7C1140C2" w:rsidR="005B7C63" w:rsidRPr="005B7C63" w:rsidRDefault="005B7C63" w:rsidP="005B7C63">
      <w:pPr>
        <w:pStyle w:val="Heading3"/>
        <w:rPr>
          <w:rFonts w:eastAsia="Times New Roman"/>
          <w:u w:val="single"/>
          <w:lang w:eastAsia="bg-BG"/>
        </w:rPr>
      </w:pPr>
      <w:r w:rsidRPr="005B7C63">
        <w:rPr>
          <w:rFonts w:eastAsia="Times New Roman"/>
          <w:u w:val="single"/>
          <w:lang w:eastAsia="bg-BG"/>
        </w:rPr>
        <w:t>Начин на приложение</w:t>
      </w:r>
    </w:p>
    <w:p w14:paraId="51AA6953" w14:textId="77777777" w:rsidR="005B7C63" w:rsidRPr="005B7C63" w:rsidRDefault="005B7C63" w:rsidP="005B7C63">
      <w:pPr>
        <w:spacing w:line="240" w:lineRule="auto"/>
        <w:rPr>
          <w:rFonts w:eastAsia="Times New Roman" w:cs="Arial"/>
          <w:color w:val="000000"/>
          <w:lang w:eastAsia="bg-BG"/>
        </w:rPr>
      </w:pPr>
    </w:p>
    <w:p w14:paraId="37D4C2AB" w14:textId="1C4301D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lastRenderedPageBreak/>
        <w:t>Тъй като храната не оказва влияние върху абсорбцията на рамиприл и амлодипин, Вивейс Дуо може да се приема независимо от приема на храна. Препоръчително е Вивейс Дуо да се приема по едно и също време на деня.</w:t>
      </w:r>
    </w:p>
    <w:p w14:paraId="047C0A39" w14:textId="77777777" w:rsidR="005B7C63" w:rsidRPr="005B7C63" w:rsidRDefault="005B7C63" w:rsidP="005B7C63"/>
    <w:p w14:paraId="1BF2EFF4" w14:textId="2323906D" w:rsidR="001A6EBD" w:rsidRDefault="002C50EE" w:rsidP="00471F10">
      <w:pPr>
        <w:pStyle w:val="Heading2"/>
      </w:pPr>
      <w:r>
        <w:t>4.3. Противопоказания</w:t>
      </w:r>
    </w:p>
    <w:p w14:paraId="26686C2F" w14:textId="0F0AFE99" w:rsidR="005B7C63" w:rsidRDefault="005B7C63" w:rsidP="005B7C63"/>
    <w:p w14:paraId="715AD9DC" w14:textId="77777777" w:rsidR="005B7C63" w:rsidRPr="005B7C63" w:rsidRDefault="005B7C63" w:rsidP="005B7C63">
      <w:pPr>
        <w:spacing w:line="240" w:lineRule="auto"/>
        <w:rPr>
          <w:rFonts w:ascii="Times New Roman" w:eastAsia="Times New Roman" w:hAnsi="Times New Roman" w:cs="Times New Roman"/>
          <w:sz w:val="24"/>
          <w:szCs w:val="24"/>
          <w:lang w:eastAsia="bg-BG"/>
        </w:rPr>
      </w:pPr>
      <w:r w:rsidRPr="005B7C63">
        <w:rPr>
          <w:rFonts w:ascii="Times New Roman" w:eastAsia="Times New Roman" w:hAnsi="Times New Roman" w:cs="Times New Roman"/>
          <w:color w:val="000000"/>
          <w:lang w:eastAsia="bg-BG"/>
        </w:rPr>
        <w:t>Свръхчувствителност към активните вещества, към други АСЕ инхибитори (инхибитори на ангиотензин-конвертиращия ензим), към дихидропиридинови производни или към някое от помощните вещества, изброени в точка 6.1.</w:t>
      </w:r>
    </w:p>
    <w:p w14:paraId="45B65BE2" w14:textId="77777777" w:rsidR="005B7C63" w:rsidRDefault="005B7C63" w:rsidP="005B7C63">
      <w:pPr>
        <w:spacing w:line="240" w:lineRule="auto"/>
        <w:rPr>
          <w:rFonts w:ascii="Times New Roman" w:eastAsia="Times New Roman" w:hAnsi="Times New Roman" w:cs="Times New Roman"/>
          <w:color w:val="000000"/>
          <w:lang w:eastAsia="bg-BG"/>
        </w:rPr>
      </w:pPr>
    </w:p>
    <w:p w14:paraId="4564C9D4" w14:textId="47F60F50" w:rsidR="005B7C63" w:rsidRPr="005B7C63" w:rsidRDefault="005B7C63" w:rsidP="005B7C63">
      <w:pPr>
        <w:spacing w:line="240" w:lineRule="auto"/>
        <w:rPr>
          <w:rFonts w:ascii="Times New Roman" w:eastAsia="Times New Roman" w:hAnsi="Times New Roman" w:cs="Times New Roman"/>
          <w:sz w:val="24"/>
          <w:szCs w:val="24"/>
          <w:lang w:eastAsia="bg-BG"/>
        </w:rPr>
      </w:pPr>
      <w:r w:rsidRPr="005B7C63">
        <w:rPr>
          <w:rFonts w:ascii="Times New Roman" w:eastAsia="Times New Roman" w:hAnsi="Times New Roman" w:cs="Times New Roman"/>
          <w:color w:val="000000"/>
          <w:lang w:eastAsia="bg-BG"/>
        </w:rPr>
        <w:t>Свързани с рамиприл</w:t>
      </w:r>
    </w:p>
    <w:p w14:paraId="4430474A" w14:textId="60BA93BA" w:rsidR="005B7C63" w:rsidRPr="005B7C63" w:rsidRDefault="005B7C63" w:rsidP="005B7C63">
      <w:pPr>
        <w:pStyle w:val="ListParagraph"/>
        <w:numPr>
          <w:ilvl w:val="0"/>
          <w:numId w:val="40"/>
        </w:numPr>
        <w:spacing w:line="240" w:lineRule="auto"/>
        <w:rPr>
          <w:rFonts w:ascii="Times New Roman" w:eastAsia="Times New Roman" w:hAnsi="Times New Roman" w:cs="Times New Roman"/>
          <w:color w:val="000000"/>
          <w:lang w:eastAsia="bg-BG"/>
        </w:rPr>
      </w:pPr>
      <w:r w:rsidRPr="005B7C63">
        <w:rPr>
          <w:rFonts w:ascii="Times New Roman" w:eastAsia="Times New Roman" w:hAnsi="Times New Roman" w:cs="Times New Roman"/>
          <w:color w:val="000000"/>
          <w:lang w:eastAsia="bg-BG"/>
        </w:rPr>
        <w:t>Едновременната употреба на Вивейс Дуо с алискирен-съдържащи продукти е противопоказана при пациенти със захарен диабет или бъбречно увреждане</w:t>
      </w:r>
      <w:r>
        <w:rPr>
          <w:rFonts w:ascii="Times New Roman" w:eastAsia="Times New Roman" w:hAnsi="Times New Roman" w:cs="Times New Roman"/>
          <w:color w:val="000000"/>
          <w:lang w:eastAsia="bg-BG"/>
        </w:rPr>
        <w:t xml:space="preserve"> </w:t>
      </w:r>
      <w:r w:rsidRPr="005B7C63">
        <w:rPr>
          <w:rFonts w:ascii="Times New Roman" w:eastAsia="Times New Roman" w:hAnsi="Times New Roman" w:cs="Times New Roman"/>
          <w:i/>
          <w:iCs/>
          <w:color w:val="000000"/>
          <w:lang w:val="en-US"/>
        </w:rPr>
        <w:t>(GFR</w:t>
      </w:r>
      <w:r w:rsidRPr="005B7C63">
        <w:rPr>
          <w:rFonts w:ascii="Times New Roman" w:eastAsia="Times New Roman" w:hAnsi="Times New Roman" w:cs="Times New Roman"/>
          <w:color w:val="000000"/>
          <w:lang w:val="en-US"/>
        </w:rPr>
        <w:t xml:space="preserve"> </w:t>
      </w:r>
      <w:r w:rsidRPr="005B7C63">
        <w:rPr>
          <w:rFonts w:ascii="Times New Roman" w:eastAsia="Times New Roman" w:hAnsi="Times New Roman" w:cs="Times New Roman"/>
          <w:color w:val="000000"/>
          <w:lang w:eastAsia="bg-BG"/>
        </w:rPr>
        <w:t xml:space="preserve">&lt; 60 </w:t>
      </w:r>
      <w:r w:rsidRPr="005B7C63">
        <w:rPr>
          <w:rFonts w:ascii="Times New Roman" w:eastAsia="Times New Roman" w:hAnsi="Times New Roman" w:cs="Times New Roman"/>
          <w:i/>
          <w:iCs/>
          <w:color w:val="000000"/>
          <w:lang w:val="en-US"/>
        </w:rPr>
        <w:t>ml/min/</w:t>
      </w:r>
      <w:r w:rsidRPr="005B7C63">
        <w:rPr>
          <w:rFonts w:ascii="Times New Roman" w:eastAsia="Times New Roman" w:hAnsi="Times New Roman" w:cs="Times New Roman"/>
          <w:color w:val="000000"/>
          <w:lang w:eastAsia="bg-BG"/>
        </w:rPr>
        <w:t xml:space="preserve">1,73 </w:t>
      </w:r>
      <w:r w:rsidRPr="005B7C63">
        <w:rPr>
          <w:rFonts w:ascii="Times New Roman" w:eastAsia="Times New Roman" w:hAnsi="Times New Roman" w:cs="Times New Roman"/>
          <w:color w:val="000000"/>
          <w:lang w:val="en-US"/>
        </w:rPr>
        <w:t>m</w:t>
      </w:r>
      <w:r w:rsidRPr="005B7C63">
        <w:rPr>
          <w:rFonts w:ascii="Times New Roman" w:eastAsia="Times New Roman" w:hAnsi="Times New Roman" w:cs="Times New Roman"/>
          <w:color w:val="000000"/>
          <w:vertAlign w:val="superscript"/>
          <w:lang w:val="en-US"/>
        </w:rPr>
        <w:t>2</w:t>
      </w:r>
      <w:r w:rsidRPr="005B7C63">
        <w:rPr>
          <w:rFonts w:ascii="Times New Roman" w:eastAsia="Times New Roman" w:hAnsi="Times New Roman" w:cs="Times New Roman"/>
          <w:color w:val="000000"/>
          <w:lang w:val="en-US"/>
        </w:rPr>
        <w:t xml:space="preserve">) </w:t>
      </w:r>
      <w:r w:rsidRPr="005B7C63">
        <w:rPr>
          <w:rFonts w:ascii="Times New Roman" w:eastAsia="Times New Roman" w:hAnsi="Times New Roman" w:cs="Times New Roman"/>
          <w:color w:val="000000"/>
          <w:lang w:eastAsia="bg-BG"/>
        </w:rPr>
        <w:t>(вж. точки 4.5 и 5.1).</w:t>
      </w:r>
    </w:p>
    <w:p w14:paraId="38390F04" w14:textId="77777777" w:rsidR="005B7C63" w:rsidRDefault="005B7C63" w:rsidP="005B7C63">
      <w:pPr>
        <w:pStyle w:val="ListParagraph"/>
        <w:numPr>
          <w:ilvl w:val="0"/>
          <w:numId w:val="40"/>
        </w:numPr>
        <w:spacing w:line="240" w:lineRule="auto"/>
        <w:rPr>
          <w:rFonts w:ascii="Times New Roman" w:eastAsia="Times New Roman" w:hAnsi="Times New Roman" w:cs="Times New Roman"/>
          <w:color w:val="000000"/>
          <w:lang w:eastAsia="bg-BG"/>
        </w:rPr>
      </w:pPr>
      <w:r w:rsidRPr="005B7C63">
        <w:rPr>
          <w:rFonts w:ascii="Times New Roman" w:eastAsia="Times New Roman" w:hAnsi="Times New Roman" w:cs="Times New Roman"/>
          <w:color w:val="000000"/>
          <w:lang w:eastAsia="bg-BG"/>
        </w:rPr>
        <w:t>Анамнеза за ангиоедем (наследствен, идиопатичен или поради предхождащ ангиоедем вследствие на лечение с АСЕ инхибитори или ангиотензин II рецепторни антагонисти).</w:t>
      </w:r>
    </w:p>
    <w:p w14:paraId="7C5290E3" w14:textId="77777777" w:rsidR="005B7C63" w:rsidRDefault="005B7C63" w:rsidP="005B7C63">
      <w:pPr>
        <w:pStyle w:val="ListParagraph"/>
        <w:numPr>
          <w:ilvl w:val="0"/>
          <w:numId w:val="40"/>
        </w:numPr>
        <w:spacing w:line="240" w:lineRule="auto"/>
        <w:rPr>
          <w:rFonts w:ascii="Times New Roman" w:eastAsia="Times New Roman" w:hAnsi="Times New Roman" w:cs="Times New Roman"/>
          <w:color w:val="000000"/>
          <w:lang w:eastAsia="bg-BG"/>
        </w:rPr>
      </w:pPr>
      <w:r w:rsidRPr="005B7C63">
        <w:rPr>
          <w:rFonts w:ascii="Times New Roman" w:eastAsia="Times New Roman" w:hAnsi="Times New Roman" w:cs="Times New Roman"/>
          <w:color w:val="000000"/>
          <w:lang w:eastAsia="bg-BG"/>
        </w:rPr>
        <w:t>Екстракорпорално лечение, водещо до контакт на кръвта с отрицателно заредени повърхности (вж. точка 4.5).</w:t>
      </w:r>
    </w:p>
    <w:p w14:paraId="4598B6F1" w14:textId="77777777" w:rsidR="005B7C63" w:rsidRDefault="005B7C63" w:rsidP="005B7C63">
      <w:pPr>
        <w:pStyle w:val="ListParagraph"/>
        <w:numPr>
          <w:ilvl w:val="0"/>
          <w:numId w:val="40"/>
        </w:numPr>
        <w:spacing w:line="240" w:lineRule="auto"/>
        <w:rPr>
          <w:rFonts w:ascii="Times New Roman" w:eastAsia="Times New Roman" w:hAnsi="Times New Roman" w:cs="Times New Roman"/>
          <w:color w:val="000000"/>
          <w:lang w:eastAsia="bg-BG"/>
        </w:rPr>
      </w:pPr>
      <w:r w:rsidRPr="005B7C63">
        <w:rPr>
          <w:rFonts w:ascii="Times New Roman" w:eastAsia="Times New Roman" w:hAnsi="Times New Roman" w:cs="Times New Roman"/>
          <w:color w:val="000000"/>
          <w:lang w:eastAsia="bg-BG"/>
        </w:rPr>
        <w:t>Значителна двустранна стеноза на бъбречната артерия или стеноза на бъбречната артерия при един функциониращ бъбрек.</w:t>
      </w:r>
    </w:p>
    <w:p w14:paraId="1915FA03" w14:textId="77777777" w:rsidR="005B7C63" w:rsidRDefault="005B7C63" w:rsidP="005B7C63">
      <w:pPr>
        <w:pStyle w:val="ListParagraph"/>
        <w:numPr>
          <w:ilvl w:val="0"/>
          <w:numId w:val="40"/>
        </w:numPr>
        <w:spacing w:line="240" w:lineRule="auto"/>
        <w:rPr>
          <w:rFonts w:ascii="Times New Roman" w:eastAsia="Times New Roman" w:hAnsi="Times New Roman" w:cs="Times New Roman"/>
          <w:color w:val="000000"/>
          <w:lang w:eastAsia="bg-BG"/>
        </w:rPr>
      </w:pPr>
      <w:r w:rsidRPr="005B7C63">
        <w:rPr>
          <w:rFonts w:ascii="Times New Roman" w:eastAsia="Times New Roman" w:hAnsi="Times New Roman" w:cs="Times New Roman"/>
          <w:color w:val="000000"/>
          <w:lang w:eastAsia="bg-BG"/>
        </w:rPr>
        <w:t>Втори и трети триместьр на бременността (вж. точки 4.4 и 4.6).</w:t>
      </w:r>
    </w:p>
    <w:p w14:paraId="4E2CF695" w14:textId="77777777" w:rsidR="005B7C63" w:rsidRDefault="005B7C63" w:rsidP="005B7C63">
      <w:pPr>
        <w:pStyle w:val="ListParagraph"/>
        <w:numPr>
          <w:ilvl w:val="0"/>
          <w:numId w:val="40"/>
        </w:numPr>
        <w:spacing w:line="240" w:lineRule="auto"/>
        <w:rPr>
          <w:rFonts w:ascii="Times New Roman" w:eastAsia="Times New Roman" w:hAnsi="Times New Roman" w:cs="Times New Roman"/>
          <w:color w:val="000000"/>
          <w:lang w:eastAsia="bg-BG"/>
        </w:rPr>
      </w:pPr>
      <w:r w:rsidRPr="005B7C63">
        <w:rPr>
          <w:rFonts w:ascii="Times New Roman" w:eastAsia="Times New Roman" w:hAnsi="Times New Roman" w:cs="Times New Roman"/>
          <w:color w:val="000000"/>
          <w:lang w:eastAsia="bg-BG"/>
        </w:rPr>
        <w:t>Хипотонични или хемодинамично нестабилни състояния.</w:t>
      </w:r>
    </w:p>
    <w:p w14:paraId="2EF2208B" w14:textId="67554B0C" w:rsidR="005B7C63" w:rsidRPr="005B7C63" w:rsidRDefault="005B7C63" w:rsidP="005B7C63">
      <w:pPr>
        <w:pStyle w:val="ListParagraph"/>
        <w:numPr>
          <w:ilvl w:val="0"/>
          <w:numId w:val="40"/>
        </w:numPr>
        <w:spacing w:line="240" w:lineRule="auto"/>
        <w:rPr>
          <w:rFonts w:ascii="Times New Roman" w:eastAsia="Times New Roman" w:hAnsi="Times New Roman" w:cs="Times New Roman"/>
          <w:color w:val="000000"/>
          <w:lang w:eastAsia="bg-BG"/>
        </w:rPr>
      </w:pPr>
      <w:r w:rsidRPr="005B7C63">
        <w:rPr>
          <w:rFonts w:ascii="Times New Roman" w:eastAsia="Times New Roman" w:hAnsi="Times New Roman" w:cs="Times New Roman"/>
          <w:color w:val="000000"/>
          <w:lang w:eastAsia="bg-BG"/>
        </w:rPr>
        <w:t>Съпътстваща употреба при терапия със сакубитрил/валсартан. Рамиприл не трябва да се започва по-рано от 36 часа след последната доза сакубитрил/валсартан (вж. също точки 4.4 и 4.5).</w:t>
      </w:r>
    </w:p>
    <w:p w14:paraId="4C281F8D" w14:textId="77777777" w:rsidR="005B7C63" w:rsidRDefault="005B7C63" w:rsidP="005B7C63">
      <w:pPr>
        <w:spacing w:line="240" w:lineRule="auto"/>
        <w:rPr>
          <w:rFonts w:ascii="Times New Roman" w:eastAsia="Times New Roman" w:hAnsi="Times New Roman" w:cs="Times New Roman"/>
          <w:color w:val="000000"/>
          <w:lang w:eastAsia="bg-BG"/>
        </w:rPr>
      </w:pPr>
    </w:p>
    <w:p w14:paraId="19D7395C" w14:textId="2DFC8932" w:rsidR="005B7C63" w:rsidRPr="005B7C63" w:rsidRDefault="005B7C63" w:rsidP="005B7C63">
      <w:pPr>
        <w:spacing w:line="240" w:lineRule="auto"/>
        <w:rPr>
          <w:rFonts w:ascii="Times New Roman" w:eastAsia="Times New Roman" w:hAnsi="Times New Roman" w:cs="Times New Roman"/>
          <w:sz w:val="24"/>
          <w:szCs w:val="24"/>
          <w:lang w:eastAsia="bg-BG"/>
        </w:rPr>
      </w:pPr>
      <w:r w:rsidRPr="005B7C63">
        <w:rPr>
          <w:rFonts w:ascii="Times New Roman" w:eastAsia="Times New Roman" w:hAnsi="Times New Roman" w:cs="Times New Roman"/>
          <w:color w:val="000000"/>
          <w:lang w:eastAsia="bg-BG"/>
        </w:rPr>
        <w:t>Свързани с амлодипин</w:t>
      </w:r>
    </w:p>
    <w:p w14:paraId="4662B747" w14:textId="77777777" w:rsidR="005B7C63" w:rsidRPr="005B7C63" w:rsidRDefault="005B7C63" w:rsidP="005B7C63">
      <w:pPr>
        <w:pStyle w:val="ListParagraph"/>
        <w:numPr>
          <w:ilvl w:val="0"/>
          <w:numId w:val="41"/>
        </w:numPr>
        <w:spacing w:line="240" w:lineRule="auto"/>
        <w:rPr>
          <w:rFonts w:ascii="Times New Roman" w:eastAsia="Times New Roman" w:hAnsi="Times New Roman" w:cs="Times New Roman"/>
          <w:sz w:val="24"/>
          <w:szCs w:val="24"/>
          <w:lang w:eastAsia="bg-BG"/>
        </w:rPr>
      </w:pPr>
      <w:r w:rsidRPr="005B7C63">
        <w:rPr>
          <w:rFonts w:ascii="Times New Roman" w:eastAsia="Times New Roman" w:hAnsi="Times New Roman" w:cs="Times New Roman"/>
          <w:color w:val="000000"/>
          <w:lang w:eastAsia="bg-BG"/>
        </w:rPr>
        <w:t>Тежка хипотония.</w:t>
      </w:r>
    </w:p>
    <w:p w14:paraId="0493B376" w14:textId="77777777" w:rsidR="005B7C63" w:rsidRPr="005B7C63" w:rsidRDefault="005B7C63" w:rsidP="005B7C63">
      <w:pPr>
        <w:pStyle w:val="ListParagraph"/>
        <w:numPr>
          <w:ilvl w:val="0"/>
          <w:numId w:val="41"/>
        </w:numPr>
        <w:spacing w:line="240" w:lineRule="auto"/>
        <w:rPr>
          <w:rFonts w:ascii="Times New Roman" w:eastAsia="Times New Roman" w:hAnsi="Times New Roman" w:cs="Times New Roman"/>
          <w:sz w:val="24"/>
          <w:szCs w:val="24"/>
          <w:lang w:eastAsia="bg-BG"/>
        </w:rPr>
      </w:pPr>
      <w:r w:rsidRPr="005B7C63">
        <w:rPr>
          <w:rFonts w:ascii="Times New Roman" w:eastAsia="Times New Roman" w:hAnsi="Times New Roman" w:cs="Times New Roman"/>
          <w:color w:val="000000"/>
          <w:lang w:eastAsia="bg-BG"/>
        </w:rPr>
        <w:t>Шок (включително кардиогенен шок).</w:t>
      </w:r>
    </w:p>
    <w:p w14:paraId="33D5FDE9" w14:textId="38889C4C" w:rsidR="005B7C63" w:rsidRPr="005B7C63" w:rsidRDefault="005B7C63" w:rsidP="005B7C63">
      <w:pPr>
        <w:pStyle w:val="ListParagraph"/>
        <w:numPr>
          <w:ilvl w:val="0"/>
          <w:numId w:val="41"/>
        </w:numPr>
        <w:spacing w:line="240" w:lineRule="auto"/>
        <w:rPr>
          <w:rFonts w:ascii="Times New Roman" w:eastAsia="Times New Roman" w:hAnsi="Times New Roman" w:cs="Times New Roman"/>
          <w:sz w:val="24"/>
          <w:szCs w:val="24"/>
          <w:lang w:eastAsia="bg-BG"/>
        </w:rPr>
      </w:pPr>
      <w:r w:rsidRPr="005B7C63">
        <w:rPr>
          <w:rFonts w:ascii="Times New Roman" w:eastAsia="Times New Roman" w:hAnsi="Times New Roman" w:cs="Times New Roman"/>
          <w:color w:val="000000"/>
          <w:lang w:eastAsia="bg-BG"/>
        </w:rPr>
        <w:t>Обструкция на изходния тракт на лявата камера (напр. високостепенна аортна стеноза).Хемодинамично нестабилна сърдечна недостатъчност след остър миокарден инфаркт.</w:t>
      </w:r>
    </w:p>
    <w:p w14:paraId="74178D25" w14:textId="77777777" w:rsidR="005B7C63" w:rsidRPr="005B7C63" w:rsidRDefault="005B7C63" w:rsidP="005B7C63">
      <w:pPr>
        <w:spacing w:line="240" w:lineRule="auto"/>
        <w:rPr>
          <w:rFonts w:ascii="Times New Roman" w:eastAsia="Times New Roman" w:hAnsi="Times New Roman" w:cs="Times New Roman"/>
          <w:sz w:val="24"/>
          <w:szCs w:val="24"/>
          <w:lang w:eastAsia="bg-BG"/>
        </w:rPr>
      </w:pPr>
    </w:p>
    <w:p w14:paraId="0C106098" w14:textId="6229C45D" w:rsidR="001A6EBD" w:rsidRDefault="002C50EE" w:rsidP="00471F10">
      <w:pPr>
        <w:pStyle w:val="Heading2"/>
      </w:pPr>
      <w:r>
        <w:t>4.4. Специални предупреждения и предпазни мерки при употреба</w:t>
      </w:r>
    </w:p>
    <w:p w14:paraId="775F0244" w14:textId="12E6ECC8" w:rsidR="005B7C63" w:rsidRDefault="005B7C63" w:rsidP="005B7C63"/>
    <w:p w14:paraId="1E6F7478"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Препоръчва се повишено внимание при пациенти, които се лекуват едновременно с диуретици, тъй като тези пациенти могат да имат хиповолемия и/или дефицит на соли. Бъбречната функция и серумният калий трябва да се проследяват.</w:t>
      </w:r>
    </w:p>
    <w:p w14:paraId="74E917E5" w14:textId="77777777" w:rsidR="005B7C63" w:rsidRPr="005B7C63" w:rsidRDefault="005B7C63" w:rsidP="005B7C63">
      <w:pPr>
        <w:spacing w:line="240" w:lineRule="auto"/>
        <w:rPr>
          <w:rFonts w:eastAsia="Times New Roman" w:cs="Arial"/>
          <w:color w:val="000000"/>
          <w:u w:val="single"/>
          <w:lang w:eastAsia="bg-BG"/>
        </w:rPr>
      </w:pPr>
    </w:p>
    <w:p w14:paraId="34D3E1E8" w14:textId="7F9792D6" w:rsidR="005B7C63" w:rsidRPr="005B7C63" w:rsidRDefault="005B7C63" w:rsidP="005B7C63">
      <w:pPr>
        <w:spacing w:line="240" w:lineRule="auto"/>
        <w:rPr>
          <w:rFonts w:eastAsia="Times New Roman" w:cs="Arial"/>
          <w:color w:val="000000"/>
          <w:u w:val="single"/>
          <w:lang w:eastAsia="bg-BG"/>
        </w:rPr>
      </w:pPr>
      <w:r w:rsidRPr="005B7C63">
        <w:rPr>
          <w:rFonts w:eastAsia="Times New Roman" w:cs="Arial"/>
          <w:color w:val="000000"/>
          <w:u w:val="single"/>
          <w:lang w:eastAsia="bg-BG"/>
        </w:rPr>
        <w:t>Свързани с рамиприл</w:t>
      </w:r>
    </w:p>
    <w:p w14:paraId="0B33B1BC" w14:textId="77777777" w:rsidR="005B7C63" w:rsidRPr="005B7C63" w:rsidRDefault="005B7C63" w:rsidP="005B7C63">
      <w:pPr>
        <w:spacing w:line="240" w:lineRule="auto"/>
        <w:rPr>
          <w:rFonts w:eastAsia="Times New Roman" w:cs="Arial"/>
          <w:i/>
          <w:iCs/>
          <w:color w:val="000000"/>
          <w:lang w:eastAsia="bg-BG"/>
        </w:rPr>
      </w:pPr>
    </w:p>
    <w:p w14:paraId="3F8E519B" w14:textId="2D46ABA5"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Двойно блокиране наренин-ангиотензин-алдостероновата система (РААС)</w:t>
      </w:r>
    </w:p>
    <w:p w14:paraId="51DD765B"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 xml:space="preserve">Има данни, че едновременната употреба на АСЕ инхибитори, ангиотензин </w:t>
      </w:r>
      <w:r w:rsidRPr="005B7C63">
        <w:rPr>
          <w:rFonts w:eastAsia="Times New Roman" w:cs="Arial"/>
          <w:color w:val="000000"/>
          <w:lang w:val="en-US"/>
        </w:rPr>
        <w:t>II</w:t>
      </w:r>
      <w:r w:rsidRPr="005B7C63">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5B7C63">
        <w:rPr>
          <w:rFonts w:eastAsia="Times New Roman" w:cs="Arial"/>
          <w:color w:val="000000"/>
          <w:lang w:val="en-US"/>
        </w:rPr>
        <w:t>II</w:t>
      </w:r>
      <w:r w:rsidRPr="005B7C63">
        <w:rPr>
          <w:rFonts w:eastAsia="Times New Roman" w:cs="Arial"/>
          <w:color w:val="000000"/>
          <w:lang w:eastAsia="bg-BG"/>
        </w:rPr>
        <w:t>-рецепторни блокери или алискирен (вж. точки 4.5 и 5.1).</w:t>
      </w:r>
    </w:p>
    <w:p w14:paraId="3812731A"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Ако се прецен</w:t>
      </w:r>
      <w:proofErr w:type="spellStart"/>
      <w:r w:rsidRPr="005B7C63">
        <w:rPr>
          <w:rFonts w:eastAsia="Times New Roman" w:cs="Arial"/>
          <w:color w:val="000000"/>
          <w:lang w:val="en-US"/>
        </w:rPr>
        <w:t>i</w:t>
      </w:r>
      <w:proofErr w:type="spellEnd"/>
      <w:r w:rsidRPr="005B7C63">
        <w:rPr>
          <w:rFonts w:eastAsia="Times New Roman" w:cs="Arial"/>
          <w:color w:val="000000"/>
          <w:lang w:eastAsia="bg-BG"/>
        </w:rPr>
        <w:t>,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36D67175"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lastRenderedPageBreak/>
        <w:t xml:space="preserve">АСЕ инхибитори и ангиотензин </w:t>
      </w:r>
      <w:r w:rsidRPr="005B7C63">
        <w:rPr>
          <w:rFonts w:eastAsia="Times New Roman" w:cs="Arial"/>
          <w:color w:val="000000"/>
          <w:lang w:val="en-US"/>
        </w:rPr>
        <w:t>II</w:t>
      </w:r>
      <w:r w:rsidRPr="005B7C63">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0FC7C970" w14:textId="77777777" w:rsidR="005B7C63" w:rsidRPr="005B7C63" w:rsidRDefault="005B7C63" w:rsidP="005B7C63">
      <w:pPr>
        <w:spacing w:line="240" w:lineRule="auto"/>
        <w:rPr>
          <w:rFonts w:eastAsia="Times New Roman" w:cs="Arial"/>
          <w:i/>
          <w:iCs/>
          <w:color w:val="000000"/>
          <w:u w:val="single"/>
          <w:lang w:eastAsia="bg-BG"/>
        </w:rPr>
      </w:pPr>
    </w:p>
    <w:p w14:paraId="5BCB5425" w14:textId="59363623" w:rsidR="005B7C63" w:rsidRPr="005B7C63" w:rsidRDefault="005B7C63" w:rsidP="005B7C63">
      <w:pPr>
        <w:spacing w:line="240" w:lineRule="auto"/>
        <w:rPr>
          <w:rFonts w:eastAsia="Times New Roman" w:cs="Arial"/>
          <w:lang w:eastAsia="bg-BG"/>
        </w:rPr>
      </w:pPr>
      <w:r w:rsidRPr="005B7C63">
        <w:rPr>
          <w:rFonts w:eastAsia="Times New Roman" w:cs="Arial"/>
          <w:i/>
          <w:iCs/>
          <w:color w:val="000000"/>
          <w:u w:val="single"/>
          <w:lang w:eastAsia="bg-BG"/>
        </w:rPr>
        <w:t>Специални популации</w:t>
      </w:r>
    </w:p>
    <w:p w14:paraId="32ABF4D0" w14:textId="77777777" w:rsidR="005B7C63" w:rsidRPr="005B7C63" w:rsidRDefault="005B7C63" w:rsidP="005B7C63">
      <w:pPr>
        <w:spacing w:line="240" w:lineRule="auto"/>
        <w:rPr>
          <w:rFonts w:eastAsia="Times New Roman" w:cs="Arial"/>
          <w:i/>
          <w:iCs/>
          <w:color w:val="000000"/>
          <w:lang w:eastAsia="bg-BG"/>
        </w:rPr>
      </w:pPr>
    </w:p>
    <w:p w14:paraId="2267E397" w14:textId="7E8796AA"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Бременност</w:t>
      </w:r>
    </w:p>
    <w:p w14:paraId="0692CAA9"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Лечение с АСЕ инхибитори не трябва да се започва по време на бременност. Пациентки, планиращи да забременеят, трябва да преминат на алтернативно антихипертензивно лечение, което има установен профил на безопасност при употреба по време на бременност, освен ако продължаването на лечението с АСЕ инхибитор не се счита за крайно необходимо. При установяване на бременност, лечението с АСЕ инхибитори трябва да се преустанови незабавно и, ако е уместно, трябва да бъде започната алтернативна терапия (вж. точки 4.3 и 4.6).</w:t>
      </w:r>
    </w:p>
    <w:p w14:paraId="4BEA5B7C" w14:textId="77777777" w:rsidR="005B7C63" w:rsidRPr="005B7C63" w:rsidRDefault="005B7C63" w:rsidP="005B7C63">
      <w:pPr>
        <w:spacing w:line="240" w:lineRule="auto"/>
        <w:rPr>
          <w:rFonts w:eastAsia="Times New Roman" w:cs="Arial"/>
          <w:i/>
          <w:iCs/>
          <w:color w:val="000000"/>
          <w:lang w:eastAsia="bg-BG"/>
        </w:rPr>
      </w:pPr>
    </w:p>
    <w:p w14:paraId="48756EB7" w14:textId="09DBAF8D"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Пациенти, изложени на особено висок риск от хипотония</w:t>
      </w:r>
    </w:p>
    <w:p w14:paraId="5C253A98" w14:textId="35B70932" w:rsidR="005B7C63" w:rsidRPr="005B7C63" w:rsidRDefault="005B7C63" w:rsidP="005B7C63">
      <w:pPr>
        <w:pStyle w:val="ListParagraph"/>
        <w:numPr>
          <w:ilvl w:val="0"/>
          <w:numId w:val="41"/>
        </w:numPr>
        <w:spacing w:line="240" w:lineRule="auto"/>
        <w:rPr>
          <w:rFonts w:eastAsia="Times New Roman" w:cs="Arial"/>
          <w:lang w:eastAsia="bg-BG"/>
        </w:rPr>
      </w:pPr>
      <w:r w:rsidRPr="005B7C63">
        <w:rPr>
          <w:rFonts w:eastAsia="Times New Roman" w:cs="Arial"/>
          <w:color w:val="000000"/>
          <w:lang w:eastAsia="bg-BG"/>
        </w:rPr>
        <w:t>Пациенти със силно активирана ренин-ангиотензин-алдостеронова система</w:t>
      </w:r>
    </w:p>
    <w:p w14:paraId="27EC6A1A" w14:textId="77777777" w:rsidR="005B7C63" w:rsidRPr="005B7C63" w:rsidRDefault="005B7C63" w:rsidP="005B7C63">
      <w:pPr>
        <w:rPr>
          <w:rFonts w:eastAsia="Times New Roman" w:cs="Arial"/>
          <w:color w:val="000000"/>
          <w:lang w:eastAsia="bg-BG"/>
        </w:rPr>
      </w:pPr>
    </w:p>
    <w:p w14:paraId="401674B8" w14:textId="33AF2E1B" w:rsidR="005B7C63" w:rsidRPr="005B7C63" w:rsidRDefault="005B7C63" w:rsidP="005B7C63">
      <w:pPr>
        <w:rPr>
          <w:rFonts w:eastAsia="Times New Roman" w:cs="Arial"/>
          <w:color w:val="000000"/>
          <w:lang w:eastAsia="bg-BG"/>
        </w:rPr>
      </w:pPr>
      <w:r w:rsidRPr="005B7C63">
        <w:rPr>
          <w:rFonts w:eastAsia="Times New Roman" w:cs="Arial"/>
          <w:color w:val="000000"/>
          <w:lang w:eastAsia="bg-BG"/>
        </w:rPr>
        <w:t>Пациенти със силно активирана ренин-ангиотензин-алдостеронова система са изложени</w:t>
      </w:r>
      <w:r w:rsidRPr="005B7C63">
        <w:rPr>
          <w:rFonts w:eastAsia="Times New Roman" w:cs="Arial"/>
          <w:color w:val="000000"/>
          <w:lang w:val="en-US"/>
        </w:rPr>
        <w:t xml:space="preserve"> </w:t>
      </w:r>
      <w:r w:rsidRPr="005B7C63">
        <w:rPr>
          <w:rFonts w:eastAsia="Times New Roman" w:cs="Arial"/>
          <w:color w:val="000000"/>
          <w:lang w:eastAsia="bg-BG"/>
        </w:rPr>
        <w:t>на риск от силно изразено понижаване на артериалното налягане и влошаване на бъбречната функция, поради инхибиране на АСЕ, особено когато АСЕ инхибитор или съпътсващ диуретик се приемат за първи път или при първоначално повишаване на дозата.</w:t>
      </w:r>
    </w:p>
    <w:p w14:paraId="6288804C" w14:textId="29AED02F" w:rsidR="005B7C63" w:rsidRPr="005B7C63" w:rsidRDefault="005B7C63" w:rsidP="005B7C63">
      <w:pPr>
        <w:rPr>
          <w:rFonts w:eastAsia="Times New Roman" w:cs="Arial"/>
          <w:color w:val="000000"/>
          <w:lang w:eastAsia="bg-BG"/>
        </w:rPr>
      </w:pPr>
    </w:p>
    <w:p w14:paraId="2690E209"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Значително активиране на ренин-ангиотензин-алдостероновата система може да се очаква и е необходимо медицинско наблюдение, включително проследяване на артериалното налягане, например при:</w:t>
      </w:r>
    </w:p>
    <w:p w14:paraId="2D39AFD7" w14:textId="77777777" w:rsidR="005B7C63" w:rsidRPr="005B7C63" w:rsidRDefault="005B7C63" w:rsidP="005B7C63">
      <w:pPr>
        <w:pStyle w:val="ListParagraph"/>
        <w:numPr>
          <w:ilvl w:val="0"/>
          <w:numId w:val="41"/>
        </w:numPr>
        <w:spacing w:line="240" w:lineRule="auto"/>
        <w:rPr>
          <w:rFonts w:eastAsia="Times New Roman" w:cs="Arial"/>
          <w:lang w:eastAsia="bg-BG"/>
        </w:rPr>
      </w:pPr>
      <w:r w:rsidRPr="005B7C63">
        <w:rPr>
          <w:rFonts w:eastAsia="Times New Roman" w:cs="Arial"/>
          <w:color w:val="000000"/>
          <w:lang w:eastAsia="bg-BG"/>
        </w:rPr>
        <w:t>пациенти с тежка хипертония</w:t>
      </w:r>
    </w:p>
    <w:p w14:paraId="734A1E54" w14:textId="77777777" w:rsidR="005B7C63" w:rsidRPr="005B7C63" w:rsidRDefault="005B7C63" w:rsidP="005B7C63">
      <w:pPr>
        <w:pStyle w:val="ListParagraph"/>
        <w:numPr>
          <w:ilvl w:val="0"/>
          <w:numId w:val="41"/>
        </w:numPr>
        <w:spacing w:line="240" w:lineRule="auto"/>
        <w:rPr>
          <w:rFonts w:eastAsia="Times New Roman" w:cs="Arial"/>
          <w:lang w:eastAsia="bg-BG"/>
        </w:rPr>
      </w:pPr>
      <w:r w:rsidRPr="005B7C63">
        <w:rPr>
          <w:rFonts w:eastAsia="Times New Roman" w:cs="Arial"/>
          <w:color w:val="000000"/>
          <w:lang w:eastAsia="bg-BG"/>
        </w:rPr>
        <w:t>пациенти с декомпенсирана застойна сърдечна недостатъчност</w:t>
      </w:r>
    </w:p>
    <w:p w14:paraId="64B51B03" w14:textId="77777777" w:rsidR="005B7C63" w:rsidRPr="005B7C63" w:rsidRDefault="005B7C63" w:rsidP="005B7C63">
      <w:pPr>
        <w:pStyle w:val="ListParagraph"/>
        <w:numPr>
          <w:ilvl w:val="0"/>
          <w:numId w:val="41"/>
        </w:numPr>
        <w:spacing w:line="240" w:lineRule="auto"/>
        <w:rPr>
          <w:rFonts w:eastAsia="Times New Roman" w:cs="Arial"/>
          <w:lang w:eastAsia="bg-BG"/>
        </w:rPr>
      </w:pPr>
      <w:r w:rsidRPr="005B7C63">
        <w:rPr>
          <w:rFonts w:eastAsia="Times New Roman" w:cs="Arial"/>
          <w:color w:val="000000"/>
          <w:lang w:eastAsia="bg-BG"/>
        </w:rPr>
        <w:t>пациенти с хемодинамично значимо възпрепятстване на левокамерния входящ или изходящ тракт (напр. стеноза на аортата или митралната клапа)</w:t>
      </w:r>
    </w:p>
    <w:p w14:paraId="7F4A45BD" w14:textId="77777777" w:rsidR="005B7C63" w:rsidRPr="005B7C63" w:rsidRDefault="005B7C63" w:rsidP="005B7C63">
      <w:pPr>
        <w:pStyle w:val="ListParagraph"/>
        <w:numPr>
          <w:ilvl w:val="0"/>
          <w:numId w:val="41"/>
        </w:numPr>
        <w:spacing w:line="240" w:lineRule="auto"/>
        <w:rPr>
          <w:rFonts w:eastAsia="Times New Roman" w:cs="Arial"/>
          <w:lang w:eastAsia="bg-BG"/>
        </w:rPr>
      </w:pPr>
      <w:r w:rsidRPr="005B7C63">
        <w:rPr>
          <w:rFonts w:eastAsia="Times New Roman" w:cs="Arial"/>
          <w:color w:val="000000"/>
          <w:lang w:eastAsia="bg-BG"/>
        </w:rPr>
        <w:t xml:space="preserve">пациенти с едностранна стеноза на бъбречната артерия, с функциониращ втори бъбрек </w:t>
      </w:r>
    </w:p>
    <w:p w14:paraId="0ED65B80" w14:textId="5080FBD7" w:rsidR="005B7C63" w:rsidRPr="005B7C63" w:rsidRDefault="005B7C63" w:rsidP="005B7C63">
      <w:pPr>
        <w:pStyle w:val="ListParagraph"/>
        <w:numPr>
          <w:ilvl w:val="0"/>
          <w:numId w:val="41"/>
        </w:numPr>
        <w:spacing w:line="240" w:lineRule="auto"/>
        <w:rPr>
          <w:rFonts w:eastAsia="Times New Roman" w:cs="Arial"/>
          <w:lang w:eastAsia="bg-BG"/>
        </w:rPr>
      </w:pPr>
      <w:r w:rsidRPr="005B7C63">
        <w:rPr>
          <w:rFonts w:eastAsia="Times New Roman" w:cs="Arial"/>
          <w:color w:val="000000"/>
          <w:lang w:eastAsia="bg-BG"/>
        </w:rPr>
        <w:t>пациенти с чернодробна цироза и/или асцит</w:t>
      </w:r>
    </w:p>
    <w:p w14:paraId="0E7EE788" w14:textId="150C2AE5" w:rsidR="005B7C63" w:rsidRPr="005B7C63" w:rsidRDefault="005B7C63" w:rsidP="005B7C63">
      <w:pPr>
        <w:pStyle w:val="ListParagraph"/>
        <w:numPr>
          <w:ilvl w:val="0"/>
          <w:numId w:val="41"/>
        </w:numPr>
        <w:spacing w:line="240" w:lineRule="auto"/>
        <w:rPr>
          <w:rFonts w:eastAsia="Times New Roman" w:cs="Arial"/>
          <w:lang w:eastAsia="bg-BG"/>
        </w:rPr>
      </w:pPr>
      <w:r w:rsidRPr="005B7C63">
        <w:rPr>
          <w:rFonts w:eastAsia="Times New Roman" w:cs="Arial"/>
          <w:color w:val="000000"/>
          <w:lang w:eastAsia="bg-BG"/>
        </w:rPr>
        <w:t>пациенти, подложени на голяма хирургична интервенция или под анестезия със средства, които предизвикват хипотония</w:t>
      </w:r>
    </w:p>
    <w:p w14:paraId="593CAE08" w14:textId="77777777" w:rsidR="005B7C63" w:rsidRPr="005B7C63" w:rsidRDefault="005B7C63" w:rsidP="005B7C63">
      <w:pPr>
        <w:spacing w:line="240" w:lineRule="auto"/>
        <w:rPr>
          <w:rFonts w:eastAsia="Times New Roman" w:cs="Arial"/>
          <w:color w:val="000000"/>
          <w:lang w:eastAsia="bg-BG"/>
        </w:rPr>
      </w:pPr>
    </w:p>
    <w:p w14:paraId="35850E1F" w14:textId="5F624D4F"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Обикновено преди началото на лечението се препоръчва коригиране на дсхидратацията, хиповолемията или солевия дефицит (при пациенти със сърдечна недостатъчност, обаче корекцията трябва да бъде внимателно преценена спрямо риска от обемно натоварване).</w:t>
      </w:r>
    </w:p>
    <w:p w14:paraId="5C439C2F" w14:textId="77777777" w:rsidR="005B7C63" w:rsidRPr="005B7C63" w:rsidRDefault="005B7C63" w:rsidP="005B7C63">
      <w:pPr>
        <w:pStyle w:val="ListParagraph"/>
        <w:numPr>
          <w:ilvl w:val="0"/>
          <w:numId w:val="41"/>
        </w:numPr>
        <w:spacing w:line="240" w:lineRule="auto"/>
        <w:rPr>
          <w:rFonts w:eastAsia="Times New Roman" w:cs="Arial"/>
          <w:lang w:eastAsia="bg-BG"/>
        </w:rPr>
      </w:pPr>
      <w:r w:rsidRPr="005B7C63">
        <w:rPr>
          <w:rFonts w:eastAsia="Times New Roman" w:cs="Arial"/>
          <w:color w:val="000000"/>
          <w:lang w:eastAsia="bg-BG"/>
        </w:rPr>
        <w:t>Преходна или персистираща сърдечна недостатъчност след миокарден инфаркт</w:t>
      </w:r>
    </w:p>
    <w:p w14:paraId="380BE68C" w14:textId="0E9098D3" w:rsidR="005B7C63" w:rsidRPr="005B7C63" w:rsidRDefault="005B7C63" w:rsidP="005B7C63">
      <w:pPr>
        <w:pStyle w:val="ListParagraph"/>
        <w:numPr>
          <w:ilvl w:val="0"/>
          <w:numId w:val="41"/>
        </w:numPr>
        <w:spacing w:line="240" w:lineRule="auto"/>
        <w:rPr>
          <w:rFonts w:eastAsia="Times New Roman" w:cs="Arial"/>
          <w:lang w:eastAsia="bg-BG"/>
        </w:rPr>
      </w:pPr>
      <w:r w:rsidRPr="005B7C63">
        <w:rPr>
          <w:rFonts w:eastAsia="Times New Roman" w:cs="Arial"/>
          <w:color w:val="000000"/>
          <w:lang w:eastAsia="bg-BG"/>
        </w:rPr>
        <w:t>Пациенти, изложени на риск от сърдечна или мозъчна исхемия в случай на остра хипотония</w:t>
      </w:r>
    </w:p>
    <w:p w14:paraId="27BF0D70" w14:textId="77777777" w:rsidR="005B7C63" w:rsidRPr="005B7C63" w:rsidRDefault="005B7C63" w:rsidP="005B7C63">
      <w:pPr>
        <w:spacing w:line="240" w:lineRule="auto"/>
        <w:rPr>
          <w:rFonts w:eastAsia="Times New Roman" w:cs="Arial"/>
          <w:color w:val="000000"/>
          <w:lang w:eastAsia="bg-BG"/>
        </w:rPr>
      </w:pPr>
    </w:p>
    <w:p w14:paraId="3B98518A" w14:textId="28CBA67F"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Началната фаза на лечението изисква специално лекарско наблюдение.</w:t>
      </w:r>
    </w:p>
    <w:p w14:paraId="4A161A91" w14:textId="77777777" w:rsidR="005B7C63" w:rsidRPr="005B7C63" w:rsidRDefault="005B7C63" w:rsidP="005B7C63">
      <w:pPr>
        <w:spacing w:line="240" w:lineRule="auto"/>
        <w:rPr>
          <w:rFonts w:eastAsia="Times New Roman" w:cs="Arial"/>
          <w:i/>
          <w:iCs/>
          <w:color w:val="000000"/>
          <w:lang w:eastAsia="bg-BG"/>
        </w:rPr>
      </w:pPr>
    </w:p>
    <w:p w14:paraId="7C543AB0" w14:textId="77777777" w:rsidR="005B7C63" w:rsidRPr="005B7C63" w:rsidRDefault="005B7C63" w:rsidP="005B7C63">
      <w:pPr>
        <w:spacing w:line="240" w:lineRule="auto"/>
        <w:rPr>
          <w:rFonts w:eastAsia="Times New Roman" w:cs="Arial"/>
          <w:i/>
          <w:iCs/>
          <w:color w:val="000000"/>
          <w:lang w:eastAsia="bg-BG"/>
        </w:rPr>
      </w:pPr>
      <w:r w:rsidRPr="005B7C63">
        <w:rPr>
          <w:rFonts w:eastAsia="Times New Roman" w:cs="Arial"/>
          <w:i/>
          <w:iCs/>
          <w:color w:val="000000"/>
          <w:lang w:eastAsia="bg-BG"/>
        </w:rPr>
        <w:t xml:space="preserve">Пациенти в старческа възраст </w:t>
      </w:r>
    </w:p>
    <w:p w14:paraId="5D7CFC50" w14:textId="4D060E02"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Виж точка 4.2.</w:t>
      </w:r>
    </w:p>
    <w:p w14:paraId="64FDD087" w14:textId="77777777" w:rsidR="005B7C63" w:rsidRPr="005B7C63" w:rsidRDefault="005B7C63" w:rsidP="005B7C63">
      <w:pPr>
        <w:spacing w:line="240" w:lineRule="auto"/>
        <w:rPr>
          <w:rFonts w:eastAsia="Times New Roman" w:cs="Arial"/>
          <w:i/>
          <w:iCs/>
          <w:color w:val="000000"/>
          <w:lang w:eastAsia="bg-BG"/>
        </w:rPr>
      </w:pPr>
    </w:p>
    <w:p w14:paraId="1EE87975" w14:textId="6A356645"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 xml:space="preserve">Хирургични </w:t>
      </w:r>
      <w:r w:rsidRPr="005B7C63">
        <w:rPr>
          <w:rFonts w:eastAsia="Times New Roman" w:cs="Arial"/>
          <w:i/>
          <w:iCs/>
          <w:color w:val="000000"/>
          <w:lang w:eastAsia="bg-BG"/>
        </w:rPr>
        <w:t>интервенции</w:t>
      </w:r>
    </w:p>
    <w:p w14:paraId="578842A9"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lastRenderedPageBreak/>
        <w:t>Препоръчително е лечението с инхибитори на ангиотензин конвертиращия ензим, като рамиприл, да се прекрати един ден преди хирургичната процедура, когато е възможно.</w:t>
      </w:r>
    </w:p>
    <w:p w14:paraId="4E64570A" w14:textId="77777777" w:rsidR="005B7C63" w:rsidRPr="005B7C63" w:rsidRDefault="005B7C63" w:rsidP="005B7C63">
      <w:pPr>
        <w:spacing w:line="240" w:lineRule="auto"/>
        <w:rPr>
          <w:rFonts w:eastAsia="Times New Roman" w:cs="Arial"/>
          <w:i/>
          <w:iCs/>
          <w:color w:val="000000"/>
          <w:lang w:eastAsia="bg-BG"/>
        </w:rPr>
      </w:pPr>
    </w:p>
    <w:p w14:paraId="21724056" w14:textId="1DA141C1"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Проследяване на бъбречната функция</w:t>
      </w:r>
    </w:p>
    <w:p w14:paraId="371AEF25"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Бъбречната функция трябва да се оценява преди и по време на терапията и дозата трябва да се адаптира осрбено през първите седмици от лечението. Особено внимателно проследяване се изисква при пациенти с бъбречно увреждане (вж. точка 4.2). Има риск от влошаване на бъбречната функция, особено при пациенти със застойна сърдечна недостатъчност или след бъбречна трансплантация.</w:t>
      </w:r>
    </w:p>
    <w:p w14:paraId="1A049DD7" w14:textId="77777777" w:rsidR="005B7C63" w:rsidRPr="005B7C63" w:rsidRDefault="005B7C63" w:rsidP="005B7C63">
      <w:pPr>
        <w:spacing w:line="240" w:lineRule="auto"/>
        <w:rPr>
          <w:rFonts w:eastAsia="Times New Roman" w:cs="Arial"/>
          <w:i/>
          <w:iCs/>
          <w:color w:val="000000"/>
          <w:lang w:eastAsia="bg-BG"/>
        </w:rPr>
      </w:pPr>
    </w:p>
    <w:p w14:paraId="1F55385C" w14:textId="7A6BF0DF"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Свръхчувствителност/Ангиоедем</w:t>
      </w:r>
    </w:p>
    <w:p w14:paraId="235FD3B3"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Ангиоедем е бил съобщаван при пациенти, лекувани с АСЕ инхибитори, включително рамиприл (вж. точка 4.8). В случай на ангиоедем, приемът на рамиприл трябва да се прекрати и своевременно да се назначи спешна терапия. Пациентът трябва да бъде поставен под наблюдение поне за 12 до 24 часа и изписан след напълно отзвучаване на симптомите. Интестинален ангиоедем е бил съобщаван при пациенти, лекувани с АСЕ инхибитори, включително рамиприл (вж. точка 4.8). При тези пациенти се наблюдава абдоминална болка (със или без гадене и повръщане).</w:t>
      </w:r>
    </w:p>
    <w:p w14:paraId="1EB93FF9" w14:textId="77777777" w:rsidR="005B7C63" w:rsidRPr="005B7C63" w:rsidRDefault="005B7C63" w:rsidP="005B7C63">
      <w:pPr>
        <w:spacing w:line="240" w:lineRule="auto"/>
        <w:rPr>
          <w:rFonts w:eastAsia="Times New Roman" w:cs="Arial"/>
          <w:color w:val="000000"/>
          <w:lang w:eastAsia="bg-BG"/>
        </w:rPr>
      </w:pPr>
    </w:p>
    <w:p w14:paraId="2E494F4C" w14:textId="3E27FA4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рамиприл. Лечение с рамиприл не трябва да се започва по-рано от 36 часа след последната доза сакубитрил/валсартан (вж. точки 4.3 и 4.5).</w:t>
      </w:r>
    </w:p>
    <w:p w14:paraId="4D73E535"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 xml:space="preserve">Съпътстващата употреба на АСЕ инхибитори с рацекадотрил, </w:t>
      </w:r>
      <w:r w:rsidRPr="005B7C63">
        <w:rPr>
          <w:rFonts w:eastAsia="Times New Roman" w:cs="Arial"/>
          <w:color w:val="000000"/>
          <w:lang w:val="en-US"/>
        </w:rPr>
        <w:t xml:space="preserve">mTOR </w:t>
      </w:r>
      <w:r w:rsidRPr="005B7C63">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леччение с рацекадотрил, </w:t>
      </w:r>
      <w:r w:rsidRPr="005B7C63">
        <w:rPr>
          <w:rFonts w:eastAsia="Times New Roman" w:cs="Arial"/>
          <w:color w:val="000000"/>
          <w:lang w:val="en-US"/>
        </w:rPr>
        <w:t xml:space="preserve">mTOR </w:t>
      </w:r>
      <w:r w:rsidRPr="005B7C63">
        <w:rPr>
          <w:rFonts w:eastAsia="Times New Roman" w:cs="Arial"/>
          <w:color w:val="000000"/>
          <w:lang w:eastAsia="bg-BG"/>
        </w:rPr>
        <w:t>инхибитори (напр. сиролимус, еверолимус, темсиролимус) и</w:t>
      </w:r>
    </w:p>
    <w:p w14:paraId="3275561E" w14:textId="43D8068D" w:rsidR="005B7C63" w:rsidRPr="005B7C63" w:rsidRDefault="005B7C63" w:rsidP="005B7C63">
      <w:pPr>
        <w:rPr>
          <w:rFonts w:eastAsia="Times New Roman" w:cs="Arial"/>
          <w:color w:val="000000"/>
          <w:lang w:eastAsia="bg-BG"/>
        </w:rPr>
      </w:pPr>
      <w:r w:rsidRPr="005B7C63">
        <w:rPr>
          <w:rFonts w:eastAsia="Times New Roman" w:cs="Arial"/>
          <w:color w:val="000000"/>
          <w:lang w:eastAsia="bg-BG"/>
        </w:rPr>
        <w:t>вилдаглиптин при пациент, който вече приема АСЕ инхибитор.</w:t>
      </w:r>
    </w:p>
    <w:p w14:paraId="518039EB" w14:textId="3F3ADF63" w:rsidR="005B7C63" w:rsidRPr="005B7C63" w:rsidRDefault="005B7C63" w:rsidP="005B7C63">
      <w:pPr>
        <w:rPr>
          <w:rFonts w:eastAsia="Times New Roman" w:cs="Arial"/>
          <w:color w:val="000000"/>
          <w:lang w:eastAsia="bg-BG"/>
        </w:rPr>
      </w:pPr>
    </w:p>
    <w:p w14:paraId="4FEED996" w14:textId="77777777"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Анафилактични реакции по време на десенсибилизация</w:t>
      </w:r>
    </w:p>
    <w:p w14:paraId="191E383F"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При лечение с АСЕ инхибитори има по-голяма вероятност и повишена степен на тежест на анафилактичните и анафилактоидните реакции към отровата на насекоми и други алергени. Преди провеждане на десенсибилизация трябва да се обмисли временно прекъсване на рамиприл.</w:t>
      </w:r>
    </w:p>
    <w:p w14:paraId="16A7AB46" w14:textId="77777777" w:rsidR="005B7C63" w:rsidRPr="005B7C63" w:rsidRDefault="005B7C63" w:rsidP="005B7C63">
      <w:pPr>
        <w:spacing w:line="240" w:lineRule="auto"/>
        <w:rPr>
          <w:rFonts w:eastAsia="Times New Roman" w:cs="Arial"/>
          <w:i/>
          <w:iCs/>
          <w:color w:val="000000"/>
          <w:lang w:eastAsia="bg-BG"/>
        </w:rPr>
      </w:pPr>
    </w:p>
    <w:p w14:paraId="376079D1" w14:textId="5070E901"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Серумен калий</w:t>
      </w:r>
    </w:p>
    <w:p w14:paraId="0B2E11DC" w14:textId="16F66099"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При някои пациенти, лекувани с АСЕ инхибитори, включително с рамиприл е наблюдавана хиперкалиемия. Пациенти, изложени на риск от поява на хиперкалиемия са тези с бъбречна недостатъчност, на възраст &gt; 70 години, с неконтролиран захарен диабет или със състояния, като дехидратация, остра сърдечна декомпенсация, метаболитна ацидоза.</w:t>
      </w:r>
    </w:p>
    <w:p w14:paraId="016FCA9D"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 xml:space="preserve">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При пациенти с нарушена бъбречна функция обаче и/или при пациенти, приемащи хранителни добавки, съдържащи калий (включително заместители на солта), калий- съхраняващи диуретици или други активни вещества, повишаващи плазмения калий (напр. хепарин, триметоприм или котримоксазол, известен също като триметоприм/сулфаметоксазол) и особено антагонисти на алдостерона или </w:t>
      </w:r>
      <w:r w:rsidRPr="005B7C63">
        <w:rPr>
          <w:rFonts w:eastAsia="Times New Roman" w:cs="Arial"/>
          <w:color w:val="000000"/>
          <w:lang w:eastAsia="bg-BG"/>
        </w:rPr>
        <w:lastRenderedPageBreak/>
        <w:t>ангиотензин-рецепторни блокери, може да възникне хиперкалиемия.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38BCAA86"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Ако едновременната употреба на посочените средства се счита за подходяща, се препоръчва редовно проследяване на серумния калий (вж. точка 4.5).</w:t>
      </w:r>
    </w:p>
    <w:p w14:paraId="0E8027D9" w14:textId="77777777" w:rsidR="005B7C63" w:rsidRPr="005B7C63" w:rsidRDefault="005B7C63" w:rsidP="005B7C63">
      <w:pPr>
        <w:spacing w:line="240" w:lineRule="auto"/>
        <w:rPr>
          <w:rFonts w:eastAsia="Times New Roman" w:cs="Arial"/>
          <w:i/>
          <w:iCs/>
          <w:color w:val="000000"/>
          <w:lang w:eastAsia="bg-BG"/>
        </w:rPr>
      </w:pPr>
    </w:p>
    <w:p w14:paraId="38E6A714" w14:textId="39626316"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Неутропен ия/агранулоцитоза</w:t>
      </w:r>
    </w:p>
    <w:p w14:paraId="03A48BC0"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В редки случаи са наблюдавани неутропения/агранулоцитоза, както и тромбоцитопения и анемия; съобщавано е също и за потискане на костномозъчната функция. Препоръчва се проследяване на броя на бели кръвни клетки, за да се установи евентуална левкопения. По- често проследяване се препоръчва в началото на лечението и при пациенти с нарушена бъбречна функция, и при такива със съпътстваща колагеноза (напр. лупус еритематозус или склеродермия), и при всички, които са лекувани с други лекарствени продукти, които могат да предизвикат промени в кръвната картина (вж. точки 4,5 и 4.8).</w:t>
      </w:r>
    </w:p>
    <w:p w14:paraId="4C0E3F0A" w14:textId="77777777" w:rsidR="005B7C63" w:rsidRPr="005B7C63" w:rsidRDefault="005B7C63" w:rsidP="005B7C63">
      <w:pPr>
        <w:spacing w:line="240" w:lineRule="auto"/>
        <w:rPr>
          <w:rFonts w:eastAsia="Times New Roman" w:cs="Arial"/>
          <w:i/>
          <w:iCs/>
          <w:color w:val="000000"/>
          <w:lang w:eastAsia="bg-BG"/>
        </w:rPr>
      </w:pPr>
    </w:p>
    <w:p w14:paraId="5A92044A" w14:textId="6585760A"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Етнически различия</w:t>
      </w:r>
    </w:p>
    <w:p w14:paraId="2EBB65EC"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АСЕ инхибиторите причиняват ангиоедем с по-висока честота при чернокожи пациенти, отколкото при останалите. Както и другите АСЕ инхибитори, така и рамиприл може да бъде по-слабо ефективен за понижаване на кръвното налягане при чернокожи пациенти, отколкото при останалите, вероятно поради по-високата честота на хипертония с ниски нива на ренин при популацията от чернокожи пациенти с хипертония.</w:t>
      </w:r>
    </w:p>
    <w:p w14:paraId="4E0136D6" w14:textId="77777777" w:rsidR="005B7C63" w:rsidRPr="005B7C63" w:rsidRDefault="005B7C63" w:rsidP="005B7C63">
      <w:pPr>
        <w:spacing w:line="240" w:lineRule="auto"/>
        <w:rPr>
          <w:rFonts w:eastAsia="Times New Roman" w:cs="Arial"/>
          <w:i/>
          <w:iCs/>
          <w:color w:val="000000"/>
          <w:lang w:eastAsia="bg-BG"/>
        </w:rPr>
      </w:pPr>
    </w:p>
    <w:p w14:paraId="6641DCCF" w14:textId="59954191"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Кашлица</w:t>
      </w:r>
    </w:p>
    <w:p w14:paraId="07C0D562"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При употребата на АСЕ инхибитори се съобщава за поява на кашлица. Характерно е, че тя е непродуктивна, продължителна и отзвучава след прекратяване на терапията. Индуцираната от АСЕ инхибитор кашлица, трябва да се разглежда като част от диференциалната диагноза на кашлицата.</w:t>
      </w:r>
    </w:p>
    <w:p w14:paraId="11563FC1" w14:textId="77777777" w:rsidR="005B7C63" w:rsidRPr="005B7C63" w:rsidRDefault="005B7C63" w:rsidP="005B7C63">
      <w:pPr>
        <w:spacing w:line="240" w:lineRule="auto"/>
        <w:rPr>
          <w:rFonts w:eastAsia="Times New Roman" w:cs="Arial"/>
          <w:color w:val="000000"/>
          <w:u w:val="single"/>
          <w:lang w:eastAsia="bg-BG"/>
        </w:rPr>
      </w:pPr>
    </w:p>
    <w:p w14:paraId="0BC6BE76" w14:textId="1FA17D72" w:rsidR="005B7C63" w:rsidRPr="005B7C63" w:rsidRDefault="005B7C63" w:rsidP="005B7C63">
      <w:pPr>
        <w:spacing w:line="240" w:lineRule="auto"/>
        <w:rPr>
          <w:rFonts w:eastAsia="Times New Roman" w:cs="Arial"/>
          <w:lang w:eastAsia="bg-BG"/>
        </w:rPr>
      </w:pPr>
      <w:r w:rsidRPr="005B7C63">
        <w:rPr>
          <w:rFonts w:eastAsia="Times New Roman" w:cs="Arial"/>
          <w:color w:val="000000"/>
          <w:u w:val="single"/>
          <w:lang w:eastAsia="bg-BG"/>
        </w:rPr>
        <w:t>Свързани с амлодипин</w:t>
      </w:r>
    </w:p>
    <w:p w14:paraId="61806DFA" w14:textId="77777777" w:rsidR="005B7C63" w:rsidRPr="005B7C63" w:rsidRDefault="005B7C63" w:rsidP="005B7C63">
      <w:pPr>
        <w:spacing w:line="240" w:lineRule="auto"/>
        <w:rPr>
          <w:rFonts w:eastAsia="Times New Roman" w:cs="Arial"/>
          <w:color w:val="000000"/>
          <w:lang w:eastAsia="bg-BG"/>
        </w:rPr>
      </w:pPr>
    </w:p>
    <w:p w14:paraId="62856EA3" w14:textId="55ACCEA5"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Безопасността и ефикасността на амлодипин по време на хипертонични кризи не са установени.</w:t>
      </w:r>
    </w:p>
    <w:p w14:paraId="735592A9" w14:textId="77777777" w:rsidR="005B7C63" w:rsidRPr="005B7C63" w:rsidRDefault="005B7C63" w:rsidP="005B7C63">
      <w:pPr>
        <w:spacing w:line="240" w:lineRule="auto"/>
        <w:rPr>
          <w:rFonts w:eastAsia="Times New Roman" w:cs="Arial"/>
          <w:i/>
          <w:iCs/>
          <w:color w:val="000000"/>
          <w:u w:val="single"/>
          <w:lang w:eastAsia="bg-BG"/>
        </w:rPr>
      </w:pPr>
    </w:p>
    <w:p w14:paraId="33F23EC7" w14:textId="34D89193" w:rsidR="005B7C63" w:rsidRPr="005B7C63" w:rsidRDefault="005B7C63" w:rsidP="005B7C63">
      <w:pPr>
        <w:spacing w:line="240" w:lineRule="auto"/>
        <w:rPr>
          <w:rFonts w:eastAsia="Times New Roman" w:cs="Arial"/>
          <w:lang w:eastAsia="bg-BG"/>
        </w:rPr>
      </w:pPr>
      <w:r w:rsidRPr="005B7C63">
        <w:rPr>
          <w:rFonts w:eastAsia="Times New Roman" w:cs="Arial"/>
          <w:i/>
          <w:iCs/>
          <w:color w:val="000000"/>
          <w:u w:val="single"/>
          <w:lang w:eastAsia="bg-BG"/>
        </w:rPr>
        <w:t>Специални популации</w:t>
      </w:r>
    </w:p>
    <w:p w14:paraId="4E81692D" w14:textId="77777777" w:rsidR="005B7C63" w:rsidRPr="005B7C63" w:rsidRDefault="005B7C63" w:rsidP="005B7C63">
      <w:pPr>
        <w:spacing w:line="240" w:lineRule="auto"/>
        <w:rPr>
          <w:rFonts w:eastAsia="Times New Roman" w:cs="Arial"/>
          <w:i/>
          <w:iCs/>
          <w:color w:val="000000"/>
          <w:lang w:eastAsia="bg-BG"/>
        </w:rPr>
      </w:pPr>
    </w:p>
    <w:p w14:paraId="6F5F30C8" w14:textId="34E84A91"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Пациенти със сърдечна недостатъчност</w:t>
      </w:r>
    </w:p>
    <w:p w14:paraId="620BDA95" w14:textId="77777777" w:rsidR="005B7C63" w:rsidRPr="005B7C63" w:rsidRDefault="005B7C63" w:rsidP="005B7C63">
      <w:pPr>
        <w:rPr>
          <w:rFonts w:eastAsia="Times New Roman" w:cs="Arial"/>
          <w:lang w:eastAsia="bg-BG"/>
        </w:rPr>
      </w:pPr>
      <w:r w:rsidRPr="005B7C63">
        <w:rPr>
          <w:rFonts w:eastAsia="Times New Roman" w:cs="Arial"/>
          <w:color w:val="000000"/>
          <w:lang w:eastAsia="bg-BG"/>
        </w:rPr>
        <w:t xml:space="preserve">Пациенти със сърдечна недостатъчност трябва да бъдат лекувани с повишено внимание. В продължително плацебо-контролирано проучване при пациенти с тежка сърдечна недостатъчност (клас </w:t>
      </w:r>
      <w:r w:rsidRPr="005B7C63">
        <w:rPr>
          <w:rFonts w:eastAsia="Times New Roman" w:cs="Arial"/>
          <w:color w:val="000000"/>
          <w:lang w:val="en-US"/>
        </w:rPr>
        <w:t>III</w:t>
      </w:r>
      <w:r w:rsidRPr="005B7C63">
        <w:rPr>
          <w:rFonts w:eastAsia="Times New Roman" w:cs="Arial"/>
          <w:color w:val="000000"/>
          <w:lang w:eastAsia="bg-BG"/>
        </w:rPr>
        <w:t xml:space="preserve"> и IV по </w:t>
      </w:r>
      <w:r w:rsidRPr="005B7C63">
        <w:rPr>
          <w:rFonts w:eastAsia="Times New Roman" w:cs="Arial"/>
          <w:color w:val="000000"/>
          <w:lang w:val="en-US"/>
        </w:rPr>
        <w:t xml:space="preserve">NYHA) </w:t>
      </w:r>
      <w:r w:rsidRPr="005B7C63">
        <w:rPr>
          <w:rFonts w:eastAsia="Times New Roman" w:cs="Arial"/>
          <w:color w:val="000000"/>
          <w:lang w:eastAsia="bg-BG"/>
        </w:rPr>
        <w:t>съобщената честота на белодробен оток е по-висока в групата, лекувана с амлодипин, отколкото в групата на плацебо (вж. точка 5.1). Блокери</w:t>
      </w:r>
      <w:r w:rsidRPr="005B7C63">
        <w:rPr>
          <w:rFonts w:eastAsia="Times New Roman" w:cs="Arial"/>
          <w:color w:val="000000"/>
          <w:lang w:eastAsia="bg-BG"/>
        </w:rPr>
        <w:t xml:space="preserve"> </w:t>
      </w:r>
      <w:r w:rsidRPr="005B7C63">
        <w:rPr>
          <w:rFonts w:eastAsia="Times New Roman" w:cs="Arial"/>
          <w:color w:val="000000"/>
          <w:lang w:eastAsia="bg-BG"/>
        </w:rPr>
        <w:t>калциевите канали, включително амлодипин, трябва да се използват с повишено внимание при пациенти със застойна сърдечна недостатъчност, тъй като те могат да повишат риска от настъпване на бъдещи сърдечно-съдови инциденти и да повишат смъртността.</w:t>
      </w:r>
    </w:p>
    <w:p w14:paraId="30A44A5A" w14:textId="77777777" w:rsidR="005B7C63" w:rsidRPr="005B7C63" w:rsidRDefault="005B7C63" w:rsidP="005B7C63">
      <w:pPr>
        <w:spacing w:line="240" w:lineRule="auto"/>
        <w:rPr>
          <w:rFonts w:eastAsia="Times New Roman" w:cs="Arial"/>
          <w:i/>
          <w:iCs/>
          <w:color w:val="000000"/>
          <w:lang w:eastAsia="bg-BG"/>
        </w:rPr>
      </w:pPr>
    </w:p>
    <w:p w14:paraId="7BCD6C8D" w14:textId="36FD5B4C"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Пациенти с увредена чернодробна функция</w:t>
      </w:r>
    </w:p>
    <w:p w14:paraId="12CA690B"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 xml:space="preserve">Полуживотът на амлодипин е удължен и стойностите на </w:t>
      </w:r>
      <w:r w:rsidRPr="005B7C63">
        <w:rPr>
          <w:rFonts w:eastAsia="Times New Roman" w:cs="Arial"/>
          <w:color w:val="000000"/>
          <w:lang w:val="en-US"/>
        </w:rPr>
        <w:t xml:space="preserve">AUC </w:t>
      </w:r>
      <w:r w:rsidRPr="005B7C63">
        <w:rPr>
          <w:rFonts w:eastAsia="Times New Roman" w:cs="Arial"/>
          <w:color w:val="000000"/>
          <w:lang w:eastAsia="bg-BG"/>
        </w:rPr>
        <w:t xml:space="preserve">са по-високи при пациенти с увредена чернодробна функция; не са определени препоръки относно дозировката. Поради това лечението с амлодипин трябва да започне с долната граница на дозовия </w:t>
      </w:r>
      <w:r w:rsidRPr="005B7C63">
        <w:rPr>
          <w:rFonts w:eastAsia="Times New Roman" w:cs="Arial"/>
          <w:color w:val="000000"/>
          <w:lang w:eastAsia="bg-BG"/>
        </w:rPr>
        <w:lastRenderedPageBreak/>
        <w:t>диапазон, като е необходимо повишено внимание, както при първоначалното лечение, така и при повишаване на дозата. При пациенти с тежко чернодробно увреждане може да се изисква бавно титриране на дозата и внимателно наблюдение.</w:t>
      </w:r>
    </w:p>
    <w:p w14:paraId="0C5EE53B" w14:textId="77777777" w:rsidR="005B7C63" w:rsidRPr="005B7C63" w:rsidRDefault="005B7C63" w:rsidP="005B7C63">
      <w:pPr>
        <w:spacing w:line="240" w:lineRule="auto"/>
        <w:rPr>
          <w:rFonts w:eastAsia="Times New Roman" w:cs="Arial"/>
          <w:i/>
          <w:iCs/>
          <w:color w:val="000000"/>
          <w:lang w:eastAsia="bg-BG"/>
        </w:rPr>
      </w:pPr>
    </w:p>
    <w:p w14:paraId="7A2C7C5F" w14:textId="29C52D12"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Пациенти в старческа възраст</w:t>
      </w:r>
    </w:p>
    <w:p w14:paraId="17AC3D41"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При пациентите в старческа възраст повишаването на дозата трябва да се извършва с повишено внимание (вж. точки 4.2 и 5.2).</w:t>
      </w:r>
    </w:p>
    <w:p w14:paraId="7CB1BE68" w14:textId="77777777" w:rsidR="005B7C63" w:rsidRPr="005B7C63" w:rsidRDefault="005B7C63" w:rsidP="005B7C63">
      <w:pPr>
        <w:spacing w:line="240" w:lineRule="auto"/>
        <w:rPr>
          <w:rFonts w:eastAsia="Times New Roman" w:cs="Arial"/>
          <w:color w:val="000000"/>
          <w:lang w:eastAsia="bg-BG"/>
        </w:rPr>
      </w:pPr>
    </w:p>
    <w:p w14:paraId="45B69A17" w14:textId="79CB05FD"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Помощни вещества:</w:t>
      </w:r>
    </w:p>
    <w:p w14:paraId="09423608" w14:textId="4B95DE17"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Натрий</w:t>
      </w:r>
    </w:p>
    <w:p w14:paraId="4C1F83EF"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 xml:space="preserve">Това лекарство съдържа по-малко от 1 </w:t>
      </w:r>
      <w:r w:rsidRPr="005B7C63">
        <w:rPr>
          <w:rFonts w:eastAsia="Times New Roman" w:cs="Arial"/>
          <w:color w:val="000000"/>
          <w:lang w:val="en-US"/>
        </w:rPr>
        <w:t xml:space="preserve">mmol </w:t>
      </w:r>
      <w:r w:rsidRPr="005B7C63">
        <w:rPr>
          <w:rFonts w:eastAsia="Times New Roman" w:cs="Arial"/>
          <w:color w:val="000000"/>
          <w:lang w:eastAsia="bg-BG"/>
        </w:rPr>
        <w:t xml:space="preserve">натрий (23 </w:t>
      </w:r>
      <w:r w:rsidRPr="005B7C63">
        <w:rPr>
          <w:rFonts w:eastAsia="Times New Roman" w:cs="Arial"/>
          <w:color w:val="000000"/>
          <w:lang w:val="en-US"/>
        </w:rPr>
        <w:t xml:space="preserve">mg) </w:t>
      </w:r>
      <w:r w:rsidRPr="005B7C63">
        <w:rPr>
          <w:rFonts w:eastAsia="Times New Roman" w:cs="Arial"/>
          <w:color w:val="000000"/>
          <w:lang w:eastAsia="bg-BG"/>
        </w:rPr>
        <w:t>за таблетка, т.е. може да са каже, че практически не съдържа натрий.</w:t>
      </w:r>
    </w:p>
    <w:p w14:paraId="5098ABD6" w14:textId="7015360C" w:rsidR="005B7C63" w:rsidRPr="005B7C63" w:rsidRDefault="005B7C63" w:rsidP="005B7C63"/>
    <w:p w14:paraId="7ABEA351" w14:textId="5ADDC77B" w:rsidR="00A71DCF" w:rsidRDefault="002C50EE" w:rsidP="00A93499">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093AB312" w14:textId="2BF476E8" w:rsidR="005B7C63" w:rsidRDefault="005B7C63" w:rsidP="005B7C63"/>
    <w:p w14:paraId="4B4204A0" w14:textId="77777777" w:rsidR="005B7C63" w:rsidRPr="005B7C63" w:rsidRDefault="005B7C63" w:rsidP="005B7C63">
      <w:pPr>
        <w:pStyle w:val="Heading3"/>
        <w:rPr>
          <w:rFonts w:eastAsia="Times New Roman"/>
          <w:u w:val="single"/>
          <w:lang w:eastAsia="bg-BG"/>
        </w:rPr>
      </w:pPr>
      <w:r w:rsidRPr="005B7C63">
        <w:rPr>
          <w:rFonts w:eastAsia="Times New Roman"/>
          <w:u w:val="single"/>
          <w:lang w:eastAsia="bg-BG"/>
        </w:rPr>
        <w:t>Свързани с рамиприл</w:t>
      </w:r>
    </w:p>
    <w:p w14:paraId="274234CF" w14:textId="77777777" w:rsidR="005B7C63" w:rsidRPr="005B7C63" w:rsidRDefault="005B7C63" w:rsidP="005B7C63">
      <w:pPr>
        <w:spacing w:line="240" w:lineRule="auto"/>
        <w:rPr>
          <w:rFonts w:eastAsia="Times New Roman" w:cs="Arial"/>
          <w:i/>
          <w:iCs/>
          <w:color w:val="000000"/>
          <w:u w:val="single"/>
          <w:lang w:eastAsia="bg-BG"/>
        </w:rPr>
      </w:pPr>
    </w:p>
    <w:p w14:paraId="3EB83BFA" w14:textId="684E849C" w:rsidR="005B7C63" w:rsidRPr="005B7C63" w:rsidRDefault="005B7C63" w:rsidP="005B7C63">
      <w:pPr>
        <w:spacing w:line="240" w:lineRule="auto"/>
        <w:rPr>
          <w:rFonts w:eastAsia="Times New Roman" w:cs="Arial"/>
          <w:lang w:eastAsia="bg-BG"/>
        </w:rPr>
      </w:pPr>
      <w:r w:rsidRPr="005B7C63">
        <w:rPr>
          <w:rFonts w:eastAsia="Times New Roman" w:cs="Arial"/>
          <w:i/>
          <w:iCs/>
          <w:color w:val="000000"/>
          <w:u w:val="single"/>
          <w:lang w:eastAsia="bg-BG"/>
        </w:rPr>
        <w:t>Противопоказани комбинации</w:t>
      </w:r>
    </w:p>
    <w:p w14:paraId="3CE1B518"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II-рецепторни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76F9878B" w14:textId="77777777" w:rsidR="005B7C63" w:rsidRPr="005B7C63" w:rsidRDefault="005B7C63" w:rsidP="005B7C63">
      <w:pPr>
        <w:spacing w:line="240" w:lineRule="auto"/>
        <w:rPr>
          <w:rFonts w:eastAsia="Times New Roman" w:cs="Arial"/>
          <w:color w:val="000000"/>
          <w:lang w:eastAsia="bg-BG"/>
        </w:rPr>
      </w:pPr>
    </w:p>
    <w:p w14:paraId="39ED3A4D" w14:textId="31F09E66"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Екстракорпорално лечение, водещо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полиакрилонитрилни мембрани) и афереза с декстран сулфат на липопротеини с ниска плътност, поради повишен риск от тежка анафилактоидна реакция (вж. точка 4.3). Ако подобно лечение се изисква, е необходимо да се обмисли използване на различен вид диализна мембрана или различен клас антихипертензивно средство.</w:t>
      </w:r>
    </w:p>
    <w:p w14:paraId="54B9A7A4" w14:textId="77777777" w:rsidR="005B7C63" w:rsidRPr="005B7C63" w:rsidRDefault="005B7C63" w:rsidP="005B7C63">
      <w:pPr>
        <w:spacing w:line="240" w:lineRule="auto"/>
        <w:rPr>
          <w:rFonts w:eastAsia="Times New Roman" w:cs="Arial"/>
          <w:color w:val="000000"/>
          <w:u w:val="single"/>
          <w:lang w:eastAsia="bg-BG"/>
        </w:rPr>
      </w:pPr>
    </w:p>
    <w:p w14:paraId="5CE27AFB" w14:textId="5DD1CD31" w:rsidR="005B7C63" w:rsidRPr="005B7C63" w:rsidRDefault="005B7C63" w:rsidP="005B7C63">
      <w:pPr>
        <w:spacing w:line="240" w:lineRule="auto"/>
        <w:rPr>
          <w:rFonts w:eastAsia="Times New Roman" w:cs="Arial"/>
          <w:lang w:eastAsia="bg-BG"/>
        </w:rPr>
      </w:pPr>
      <w:r w:rsidRPr="005B7C63">
        <w:rPr>
          <w:rFonts w:eastAsia="Times New Roman" w:cs="Arial"/>
          <w:color w:val="000000"/>
          <w:u w:val="single"/>
          <w:lang w:eastAsia="bg-BG"/>
        </w:rPr>
        <w:t>Лекарства, повишаващи риска от ангиоедем</w:t>
      </w:r>
    </w:p>
    <w:p w14:paraId="7794D54F"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(вж. точка 4.3 и 4.4).</w:t>
      </w:r>
    </w:p>
    <w:p w14:paraId="37F21004" w14:textId="77777777" w:rsidR="005B7C63" w:rsidRPr="005B7C63" w:rsidRDefault="005B7C63" w:rsidP="005B7C63">
      <w:pPr>
        <w:spacing w:line="240" w:lineRule="auto"/>
        <w:rPr>
          <w:rFonts w:eastAsia="Times New Roman" w:cs="Arial"/>
          <w:color w:val="000000"/>
          <w:lang w:eastAsia="bg-BG"/>
        </w:rPr>
      </w:pPr>
    </w:p>
    <w:p w14:paraId="23C827A5" w14:textId="71612C6C"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 xml:space="preserve">Съпътстващата употреба на АСЕ инхибитори с рацекадотрил, </w:t>
      </w:r>
      <w:r w:rsidRPr="005B7C63">
        <w:rPr>
          <w:rFonts w:eastAsia="Times New Roman" w:cs="Arial"/>
          <w:color w:val="000000"/>
          <w:lang w:val="en-US"/>
        </w:rPr>
        <w:t xml:space="preserve">mTOR </w:t>
      </w:r>
      <w:r w:rsidRPr="005B7C63">
        <w:rPr>
          <w:rFonts w:eastAsia="Times New Roman" w:cs="Arial"/>
          <w:color w:val="000000"/>
          <w:lang w:eastAsia="bg-BG"/>
        </w:rPr>
        <w:t>инхибитори (напр. сиролимус, еверолимус, темсиролимус) и вилдаглиптин може да доведе до повишен риск от ангиоедем (вж. точка 4.4).</w:t>
      </w:r>
    </w:p>
    <w:p w14:paraId="7CF1D3B2" w14:textId="77777777" w:rsidR="005B7C63" w:rsidRPr="005B7C63" w:rsidRDefault="005B7C63" w:rsidP="005B7C63">
      <w:pPr>
        <w:spacing w:line="240" w:lineRule="auto"/>
        <w:rPr>
          <w:rFonts w:eastAsia="Times New Roman" w:cs="Arial"/>
          <w:i/>
          <w:iCs/>
          <w:color w:val="000000"/>
          <w:u w:val="single"/>
          <w:lang w:eastAsia="bg-BG"/>
        </w:rPr>
      </w:pPr>
    </w:p>
    <w:p w14:paraId="50A5A6CD" w14:textId="5C5D28C4" w:rsidR="005B7C63" w:rsidRPr="005B7C63" w:rsidRDefault="005B7C63" w:rsidP="005B7C63">
      <w:pPr>
        <w:spacing w:line="240" w:lineRule="auto"/>
        <w:rPr>
          <w:rFonts w:eastAsia="Times New Roman" w:cs="Arial"/>
          <w:lang w:eastAsia="bg-BG"/>
        </w:rPr>
      </w:pPr>
      <w:r w:rsidRPr="005B7C63">
        <w:rPr>
          <w:rFonts w:eastAsia="Times New Roman" w:cs="Arial"/>
          <w:i/>
          <w:iCs/>
          <w:color w:val="000000"/>
          <w:u w:val="single"/>
          <w:lang w:eastAsia="bg-BG"/>
        </w:rPr>
        <w:t>Предпазни мерки при употреба</w:t>
      </w:r>
    </w:p>
    <w:p w14:paraId="7DFCF9B5" w14:textId="77777777"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Калий-съхраняващи диуретици, хранителни добавки, съдържащи калий или калий-съдържащи заместители на солта</w:t>
      </w:r>
    </w:p>
    <w:p w14:paraId="68ACE3ED" w14:textId="77777777" w:rsidR="005B7C63" w:rsidRPr="005B7C63" w:rsidRDefault="005B7C63" w:rsidP="005B7C63">
      <w:pPr>
        <w:rPr>
          <w:rFonts w:eastAsia="Times New Roman" w:cs="Arial"/>
          <w:lang w:eastAsia="bg-BG"/>
        </w:rPr>
      </w:pPr>
      <w:r w:rsidRPr="005B7C63">
        <w:rPr>
          <w:rFonts w:eastAsia="Times New Roman" w:cs="Arial"/>
          <w:color w:val="000000"/>
          <w:lang w:eastAsia="bg-BG"/>
        </w:rPr>
        <w:t xml:space="preserve">Въпреки че серумният калий обикновено остава в рамките на нормалните граници, при някои пациенти, лекувани с рамиприл, може да възникне хиперкалиемия. Употребата на калий- съхраняващи диуретици (напр. спиронолактон, триамтерен или амилорид), хранителни добавки, съдържащи калий или калий-съдържащи заместители на солта </w:t>
      </w:r>
      <w:r w:rsidRPr="005B7C63">
        <w:rPr>
          <w:rFonts w:eastAsia="Times New Roman" w:cs="Arial"/>
          <w:color w:val="000000"/>
          <w:lang w:eastAsia="bg-BG"/>
        </w:rPr>
        <w:lastRenderedPageBreak/>
        <w:t>може да доведе до значително повишение на серумния калий. Трябва също да се внимава, когато рамиприл се прилага едновременно с други средства, които повишават серумния калий, като напр.</w:t>
      </w:r>
      <w:r w:rsidRPr="005B7C63">
        <w:rPr>
          <w:rFonts w:eastAsia="Times New Roman" w:cs="Arial"/>
          <w:color w:val="000000"/>
          <w:lang w:eastAsia="bg-BG"/>
        </w:rPr>
        <w:t xml:space="preserve"> </w:t>
      </w:r>
      <w:r w:rsidRPr="005B7C63">
        <w:rPr>
          <w:rFonts w:eastAsia="Times New Roman" w:cs="Arial"/>
          <w:color w:val="000000"/>
          <w:lang w:eastAsia="bg-BG"/>
        </w:rPr>
        <w:t>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рамиприл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p>
    <w:p w14:paraId="538568F0" w14:textId="77777777" w:rsidR="005B7C63" w:rsidRPr="005B7C63" w:rsidRDefault="005B7C63" w:rsidP="005B7C63">
      <w:pPr>
        <w:spacing w:line="240" w:lineRule="auto"/>
        <w:rPr>
          <w:rFonts w:eastAsia="Times New Roman" w:cs="Arial"/>
          <w:i/>
          <w:iCs/>
          <w:color w:val="000000"/>
          <w:lang w:eastAsia="bg-BG"/>
        </w:rPr>
      </w:pPr>
    </w:p>
    <w:p w14:paraId="4BB0E220" w14:textId="6975492E"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Такролимус</w:t>
      </w:r>
    </w:p>
    <w:p w14:paraId="5BDFB619"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Възможно е да възникне хиперкалиемия; поради това е необходимо стриктно проследяване на серумния калий.</w:t>
      </w:r>
    </w:p>
    <w:p w14:paraId="66C91705" w14:textId="77777777" w:rsidR="005B7C63" w:rsidRPr="005B7C63" w:rsidRDefault="005B7C63" w:rsidP="005B7C63">
      <w:pPr>
        <w:spacing w:line="240" w:lineRule="auto"/>
        <w:rPr>
          <w:rFonts w:eastAsia="Times New Roman" w:cs="Arial"/>
          <w:i/>
          <w:iCs/>
          <w:color w:val="000000"/>
          <w:lang w:eastAsia="bg-BG"/>
        </w:rPr>
      </w:pPr>
    </w:p>
    <w:p w14:paraId="3059BA12" w14:textId="4017A95C"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Циклоспорин</w:t>
      </w:r>
    </w:p>
    <w:p w14:paraId="7D4407F9"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49F1FCF1" w14:textId="77777777" w:rsidR="005B7C63" w:rsidRPr="005B7C63" w:rsidRDefault="005B7C63" w:rsidP="005B7C63">
      <w:pPr>
        <w:spacing w:line="240" w:lineRule="auto"/>
        <w:rPr>
          <w:rFonts w:eastAsia="Times New Roman" w:cs="Arial"/>
          <w:i/>
          <w:iCs/>
          <w:color w:val="000000"/>
          <w:lang w:eastAsia="bg-BG"/>
        </w:rPr>
      </w:pPr>
    </w:p>
    <w:p w14:paraId="35F2C794" w14:textId="4B850A89" w:rsidR="005B7C63" w:rsidRPr="005B7C63" w:rsidRDefault="005B7C63" w:rsidP="005B7C63">
      <w:pPr>
        <w:spacing w:line="240" w:lineRule="auto"/>
        <w:rPr>
          <w:rFonts w:eastAsia="Times New Roman" w:cs="Arial"/>
          <w:lang w:eastAsia="bg-BG"/>
        </w:rPr>
      </w:pPr>
      <w:r w:rsidRPr="005B7C63">
        <w:rPr>
          <w:rFonts w:eastAsia="Times New Roman" w:cs="Arial"/>
          <w:i/>
          <w:iCs/>
          <w:color w:val="000000"/>
          <w:lang w:eastAsia="bg-BG"/>
        </w:rPr>
        <w:t>Хепарин</w:t>
      </w:r>
    </w:p>
    <w:p w14:paraId="3DDF56CD"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786CBE16" w14:textId="77777777" w:rsidR="005B7C63" w:rsidRPr="005B7C63" w:rsidRDefault="005B7C63" w:rsidP="005B7C63">
      <w:pPr>
        <w:spacing w:line="240" w:lineRule="auto"/>
        <w:rPr>
          <w:rFonts w:eastAsia="Times New Roman" w:cs="Arial"/>
          <w:color w:val="000000"/>
          <w:lang w:eastAsia="bg-BG"/>
        </w:rPr>
      </w:pPr>
    </w:p>
    <w:p w14:paraId="3C11CEBD" w14:textId="638174DA"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Антихипертензивни средства (напр. диуретици) и други вещества, които могат да понижат артериалното налягане (напр. нитрати, трициклични антидепресанти, анестетици, прекомерен прием на алкохол, баклофен, алфузозин, доксазозин, празозин, тамсулозин, теразозин): може да се очаква увеличаване на риска от хипотония (вж. точка 4.2 за диуретици).</w:t>
      </w:r>
    </w:p>
    <w:p w14:paraId="71F2254A" w14:textId="77777777" w:rsidR="005B7C63" w:rsidRPr="005B7C63" w:rsidRDefault="005B7C63" w:rsidP="005B7C63">
      <w:pPr>
        <w:spacing w:line="240" w:lineRule="auto"/>
        <w:rPr>
          <w:rFonts w:eastAsia="Times New Roman" w:cs="Arial"/>
          <w:color w:val="000000"/>
          <w:lang w:eastAsia="bg-BG"/>
        </w:rPr>
      </w:pPr>
    </w:p>
    <w:p w14:paraId="12350174" w14:textId="7EC54B99"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Вазопресорни симпатикомимегици и други вещества (напр, изопротеренол, добутамин, допамин, епинефрин), които могат да намалят антихипертензивния ефект на рамиприл: препоръчва се проследяване на артериалното налягане.</w:t>
      </w:r>
    </w:p>
    <w:p w14:paraId="5B829E91" w14:textId="77777777" w:rsidR="005B7C63" w:rsidRPr="005B7C63" w:rsidRDefault="005B7C63" w:rsidP="005B7C63">
      <w:pPr>
        <w:spacing w:line="240" w:lineRule="auto"/>
        <w:rPr>
          <w:rFonts w:eastAsia="Times New Roman" w:cs="Arial"/>
          <w:color w:val="000000"/>
          <w:lang w:eastAsia="bg-BG"/>
        </w:rPr>
      </w:pPr>
    </w:p>
    <w:p w14:paraId="16857BFC" w14:textId="718D79B2"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 повишена вероятност от поява на хематологични реакции (вж. точка 4.4).</w:t>
      </w:r>
    </w:p>
    <w:p w14:paraId="477136DC" w14:textId="77777777" w:rsidR="005B7C63" w:rsidRPr="005B7C63" w:rsidRDefault="005B7C63" w:rsidP="005B7C63">
      <w:pPr>
        <w:spacing w:line="240" w:lineRule="auto"/>
        <w:rPr>
          <w:rFonts w:eastAsia="Times New Roman" w:cs="Arial"/>
          <w:color w:val="000000"/>
          <w:lang w:eastAsia="bg-BG"/>
        </w:rPr>
      </w:pPr>
    </w:p>
    <w:p w14:paraId="19F238E8" w14:textId="3D0A1916"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Литиеви соли: екскрецията на лития може да бъде понижена от АСЕ инхибиторите и поради това токсичността на лития може да се увеличи. Нивата на лития трябва да се проследяват.</w:t>
      </w:r>
    </w:p>
    <w:p w14:paraId="3F8212E8" w14:textId="77777777" w:rsidR="005B7C63" w:rsidRPr="005B7C63" w:rsidRDefault="005B7C63" w:rsidP="005B7C63">
      <w:pPr>
        <w:spacing w:line="240" w:lineRule="auto"/>
        <w:rPr>
          <w:rFonts w:eastAsia="Times New Roman" w:cs="Arial"/>
          <w:color w:val="000000"/>
          <w:lang w:eastAsia="bg-BG"/>
        </w:rPr>
      </w:pPr>
    </w:p>
    <w:p w14:paraId="7711CE99" w14:textId="0000C019" w:rsidR="005B7C63" w:rsidRPr="005B7C63" w:rsidRDefault="005B7C63" w:rsidP="005B7C63">
      <w:pPr>
        <w:spacing w:line="240" w:lineRule="auto"/>
        <w:rPr>
          <w:rFonts w:eastAsia="Times New Roman" w:cs="Arial"/>
          <w:color w:val="000000"/>
          <w:lang w:eastAsia="bg-BG"/>
        </w:rPr>
      </w:pPr>
      <w:r w:rsidRPr="005B7C63">
        <w:rPr>
          <w:rFonts w:eastAsia="Times New Roman" w:cs="Arial"/>
          <w:color w:val="000000"/>
          <w:lang w:eastAsia="bg-BG"/>
        </w:rPr>
        <w:t xml:space="preserve">Антидиабетни средства, включително инсулин: могат да възникнат хипогликемични реакции. </w:t>
      </w:r>
    </w:p>
    <w:p w14:paraId="7C7DE542" w14:textId="3CFDFE4E"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Препоръчва се проследяване на стойностите на кръвната захар.</w:t>
      </w:r>
    </w:p>
    <w:p w14:paraId="2DF2C9FC" w14:textId="77777777" w:rsidR="005B7C63" w:rsidRPr="005B7C63" w:rsidRDefault="005B7C63" w:rsidP="005B7C63">
      <w:pPr>
        <w:spacing w:line="240" w:lineRule="auto"/>
        <w:rPr>
          <w:rFonts w:eastAsia="Times New Roman" w:cs="Arial"/>
          <w:color w:val="000000"/>
          <w:lang w:eastAsia="bg-BG"/>
        </w:rPr>
      </w:pPr>
    </w:p>
    <w:p w14:paraId="04D11209" w14:textId="37D62915"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Нестероидни противовъзпалителни средства и ацетилсалицилова киселина: може да се очаква намаляване на антихипертензивния ефект на рамиприл. Освен това, съпътстващото лечение с АСЕ инхибитори и НСПВС може да доведе до повишен риск от влошаване на бъбречната функция и да засили калиемията.</w:t>
      </w:r>
    </w:p>
    <w:p w14:paraId="4595A6E2" w14:textId="77777777" w:rsidR="005B7C63" w:rsidRPr="005B7C63" w:rsidRDefault="005B7C63" w:rsidP="005B7C63">
      <w:pPr>
        <w:spacing w:line="240" w:lineRule="auto"/>
        <w:rPr>
          <w:rFonts w:eastAsia="Times New Roman" w:cs="Arial"/>
          <w:color w:val="000000"/>
          <w:u w:val="single"/>
          <w:lang w:eastAsia="bg-BG"/>
        </w:rPr>
      </w:pPr>
    </w:p>
    <w:p w14:paraId="63AD9CE3" w14:textId="563B8CCE" w:rsidR="005B7C63" w:rsidRPr="005B7C63" w:rsidRDefault="005B7C63" w:rsidP="005B7C63">
      <w:pPr>
        <w:pStyle w:val="Heading3"/>
        <w:rPr>
          <w:rFonts w:eastAsia="Times New Roman"/>
          <w:u w:val="single"/>
          <w:lang w:eastAsia="bg-BG"/>
        </w:rPr>
      </w:pPr>
      <w:r w:rsidRPr="005B7C63">
        <w:rPr>
          <w:rFonts w:eastAsia="Times New Roman"/>
          <w:u w:val="single"/>
          <w:lang w:eastAsia="bg-BG"/>
        </w:rPr>
        <w:t>Свързани с амлодипин</w:t>
      </w:r>
    </w:p>
    <w:p w14:paraId="61F38523" w14:textId="77777777" w:rsidR="005B7C63" w:rsidRPr="005B7C63" w:rsidRDefault="005B7C63" w:rsidP="005B7C63">
      <w:pPr>
        <w:spacing w:line="240" w:lineRule="auto"/>
        <w:rPr>
          <w:rFonts w:eastAsia="Times New Roman" w:cs="Arial"/>
          <w:i/>
          <w:iCs/>
          <w:color w:val="000000"/>
          <w:u w:val="single"/>
          <w:lang w:eastAsia="bg-BG"/>
        </w:rPr>
      </w:pPr>
    </w:p>
    <w:p w14:paraId="1668A475" w14:textId="19300319" w:rsidR="005B7C63" w:rsidRPr="005B7C63" w:rsidRDefault="005B7C63" w:rsidP="005B7C63">
      <w:pPr>
        <w:spacing w:line="240" w:lineRule="auto"/>
        <w:rPr>
          <w:rFonts w:eastAsia="Times New Roman" w:cs="Arial"/>
          <w:lang w:eastAsia="bg-BG"/>
        </w:rPr>
      </w:pPr>
      <w:r w:rsidRPr="005B7C63">
        <w:rPr>
          <w:rFonts w:eastAsia="Times New Roman" w:cs="Arial"/>
          <w:i/>
          <w:iCs/>
          <w:color w:val="000000"/>
          <w:u w:val="single"/>
          <w:lang w:eastAsia="bg-BG"/>
        </w:rPr>
        <w:lastRenderedPageBreak/>
        <w:t>Ефект на други лекарствени продукти върху амлодипин</w:t>
      </w:r>
    </w:p>
    <w:p w14:paraId="4779D6DF" w14:textId="7777777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 xml:space="preserve">Инхибитори на </w:t>
      </w:r>
      <w:r w:rsidRPr="005B7C63">
        <w:rPr>
          <w:rFonts w:eastAsia="Times New Roman" w:cs="Arial"/>
          <w:color w:val="000000"/>
          <w:lang w:val="en-US"/>
        </w:rPr>
        <w:t xml:space="preserve">CYP3A4: </w:t>
      </w:r>
      <w:r w:rsidRPr="005B7C63">
        <w:rPr>
          <w:rFonts w:eastAsia="Times New Roman" w:cs="Arial"/>
          <w:color w:val="000000"/>
          <w:lang w:eastAsia="bg-BG"/>
        </w:rPr>
        <w:t xml:space="preserve">Едновременната употреба на амлодипин със силни или умерени инхибитори на </w:t>
      </w:r>
      <w:r w:rsidRPr="005B7C63">
        <w:rPr>
          <w:rFonts w:eastAsia="Times New Roman" w:cs="Arial"/>
          <w:color w:val="000000"/>
          <w:lang w:val="en-US"/>
        </w:rPr>
        <w:t xml:space="preserve">CYP3A4 </w:t>
      </w:r>
      <w:r w:rsidRPr="005B7C63">
        <w:rPr>
          <w:rFonts w:eastAsia="Times New Roman" w:cs="Arial"/>
          <w:color w:val="000000"/>
          <w:lang w:eastAsia="bg-BG"/>
        </w:rPr>
        <w:t>(протеазни инхибитори, азолови антимикотици, макролиди, като еритромицин или кларитромицин, верапамил или дилтиазем) може да доведе до значително увеличаване на експозицията на амлодипин. Клиничното значение на тези фармакокинетични вариации може да бъде по-силно изразено при пациенти в старческа възраст. Може да се наложи клинично наблюдение и коригиране на дозата.</w:t>
      </w:r>
    </w:p>
    <w:p w14:paraId="0D10B99B" w14:textId="77777777" w:rsidR="005B7C63" w:rsidRPr="005B7C63" w:rsidRDefault="005B7C63" w:rsidP="005B7C63">
      <w:pPr>
        <w:rPr>
          <w:rFonts w:eastAsia="Times New Roman" w:cs="Arial"/>
          <w:color w:val="000000"/>
          <w:lang w:eastAsia="bg-BG"/>
        </w:rPr>
      </w:pPr>
    </w:p>
    <w:p w14:paraId="5C82730D" w14:textId="78D9632C" w:rsidR="005B7C63" w:rsidRPr="005B7C63" w:rsidRDefault="005B7C63" w:rsidP="005B7C63">
      <w:pPr>
        <w:rPr>
          <w:rFonts w:eastAsia="Times New Roman" w:cs="Arial"/>
          <w:color w:val="000000"/>
          <w:lang w:eastAsia="bg-BG"/>
        </w:rPr>
      </w:pPr>
      <w:r w:rsidRPr="005B7C63">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46BE97BA" w14:textId="18CFA772" w:rsidR="005B7C63" w:rsidRPr="005B7C63" w:rsidRDefault="005B7C63" w:rsidP="005B7C63">
      <w:pPr>
        <w:rPr>
          <w:rFonts w:eastAsia="Times New Roman" w:cs="Arial"/>
          <w:color w:val="000000"/>
          <w:lang w:eastAsia="bg-BG"/>
        </w:rPr>
      </w:pPr>
    </w:p>
    <w:p w14:paraId="0F75BA30" w14:textId="77777777" w:rsidR="005B7C63" w:rsidRPr="005B7C63" w:rsidRDefault="005B7C63" w:rsidP="005B7C63">
      <w:pPr>
        <w:spacing w:line="240" w:lineRule="auto"/>
        <w:rPr>
          <w:rFonts w:eastAsia="Times New Roman" w:cs="Arial"/>
          <w:color w:val="000000"/>
          <w:lang w:eastAsia="bg-BG"/>
        </w:rPr>
      </w:pPr>
      <w:r w:rsidRPr="005B7C63">
        <w:rPr>
          <w:rFonts w:eastAsia="Times New Roman" w:cs="Arial"/>
          <w:color w:val="000000"/>
          <w:lang w:eastAsia="bg-BG"/>
        </w:rPr>
        <w:t xml:space="preserve">Индуктори на </w:t>
      </w:r>
      <w:r w:rsidRPr="005B7C63">
        <w:rPr>
          <w:rFonts w:eastAsia="Times New Roman" w:cs="Arial"/>
          <w:color w:val="000000"/>
          <w:lang w:val="en-US"/>
        </w:rPr>
        <w:t xml:space="preserve">CYP3A4: </w:t>
      </w:r>
      <w:r w:rsidRPr="005B7C63">
        <w:rPr>
          <w:rFonts w:eastAsia="Times New Roman" w:cs="Arial"/>
          <w:color w:val="000000"/>
          <w:lang w:eastAsia="bg-BG"/>
        </w:rPr>
        <w:t xml:space="preserve">При едновременно приложение на известни индуктори на </w:t>
      </w:r>
      <w:r w:rsidRPr="005B7C63">
        <w:rPr>
          <w:rFonts w:eastAsia="Times New Roman" w:cs="Arial"/>
          <w:color w:val="000000"/>
          <w:lang w:val="en-US"/>
        </w:rPr>
        <w:t xml:space="preserve">CYP3A4 </w:t>
      </w:r>
      <w:r w:rsidRPr="005B7C63">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w:t>
      </w:r>
    </w:p>
    <w:p w14:paraId="657AA97B" w14:textId="664C12AF"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 xml:space="preserve">прием, особено със силни </w:t>
      </w:r>
      <w:r w:rsidRPr="005B7C63">
        <w:rPr>
          <w:rFonts w:eastAsia="Times New Roman" w:cs="Arial"/>
          <w:color w:val="000000"/>
          <w:lang w:val="en-US"/>
        </w:rPr>
        <w:t xml:space="preserve">CYP3A4 </w:t>
      </w:r>
      <w:r w:rsidRPr="005B7C63">
        <w:rPr>
          <w:rFonts w:eastAsia="Times New Roman" w:cs="Arial"/>
          <w:color w:val="000000"/>
          <w:lang w:eastAsia="bg-BG"/>
        </w:rPr>
        <w:t>индуктори (напр. рифампицин, жълт кантарион).</w:t>
      </w:r>
    </w:p>
    <w:p w14:paraId="3C193D1E" w14:textId="77777777" w:rsidR="005B7C63" w:rsidRPr="005B7C63" w:rsidRDefault="005B7C63" w:rsidP="005B7C63">
      <w:pPr>
        <w:spacing w:line="240" w:lineRule="auto"/>
        <w:rPr>
          <w:rFonts w:eastAsia="Times New Roman" w:cs="Arial"/>
          <w:color w:val="000000"/>
          <w:lang w:eastAsia="bg-BG"/>
        </w:rPr>
      </w:pPr>
    </w:p>
    <w:p w14:paraId="2DC4B192" w14:textId="32748B85"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Приложението на амлодипин с грейпфрут или сок от грейпфрут не се препоръчва, тъй като при някои пациенти може да се увеличи бионаличностга, което води до повишен хипотензивен ефект.</w:t>
      </w:r>
    </w:p>
    <w:p w14:paraId="553285EE" w14:textId="77777777" w:rsidR="005B7C63" w:rsidRPr="005B7C63" w:rsidRDefault="005B7C63" w:rsidP="005B7C63">
      <w:pPr>
        <w:spacing w:line="240" w:lineRule="auto"/>
        <w:rPr>
          <w:rFonts w:eastAsia="Times New Roman" w:cs="Arial"/>
          <w:color w:val="000000"/>
          <w:lang w:eastAsia="bg-BG"/>
        </w:rPr>
      </w:pPr>
    </w:p>
    <w:p w14:paraId="6DDCF85E" w14:textId="2F4A6C89"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 xml:space="preserve">Дантролен (инфузия): При животни са наблюдавани летални камерни фибрилации и сърдечносъдов колапс, свързани с хиперкалиемия след прилагане на верапамил и на дантролен интравенозно. Поради риск от хиперкалиемия се препоръчва да се избягва едновременното приложение на блокери на калциевите канали, като амлодипин, при пациенти, податливи към малигнена хипертермия </w:t>
      </w:r>
      <w:r w:rsidRPr="005B7C63">
        <w:rPr>
          <w:rFonts w:eastAsia="Times New Roman" w:cs="Arial"/>
          <w:i/>
          <w:iCs/>
          <w:color w:val="000000"/>
          <w:lang w:eastAsia="bg-BG"/>
        </w:rPr>
        <w:t>и</w:t>
      </w:r>
      <w:r w:rsidRPr="005B7C63">
        <w:rPr>
          <w:rFonts w:eastAsia="Times New Roman" w:cs="Arial"/>
          <w:color w:val="000000"/>
          <w:lang w:eastAsia="bg-BG"/>
        </w:rPr>
        <w:t xml:space="preserve"> при овладяването на малигнена хипертермия.</w:t>
      </w:r>
    </w:p>
    <w:p w14:paraId="1D67C2E9" w14:textId="77777777" w:rsidR="005B7C63" w:rsidRPr="005B7C63" w:rsidRDefault="005B7C63" w:rsidP="005B7C63">
      <w:pPr>
        <w:spacing w:line="240" w:lineRule="auto"/>
        <w:rPr>
          <w:rFonts w:eastAsia="Times New Roman" w:cs="Arial"/>
          <w:color w:val="000000"/>
          <w:lang w:eastAsia="bg-BG"/>
        </w:rPr>
      </w:pPr>
    </w:p>
    <w:p w14:paraId="51310F2E" w14:textId="0E48E437"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Такролимус: При едновременно приложение с амлодипин съществува риск от повишаване на нивата на такролимус в кръвта. За да се избегне проява на токсичност от страна на такролимус, приложението на амлодипин при пациенти, лекувани с такролимус, изисква контрол на нивата на такролимус в кръвта и корекция на дозата на такролимус, ако е необходимо.</w:t>
      </w:r>
    </w:p>
    <w:p w14:paraId="6241FBD2" w14:textId="77777777" w:rsidR="005B7C63" w:rsidRPr="005B7C63" w:rsidRDefault="005B7C63" w:rsidP="005B7C63">
      <w:pPr>
        <w:spacing w:line="240" w:lineRule="auto"/>
        <w:rPr>
          <w:rFonts w:eastAsia="Times New Roman" w:cs="Arial"/>
          <w:i/>
          <w:iCs/>
          <w:color w:val="000000"/>
          <w:u w:val="single"/>
          <w:lang w:eastAsia="bg-BG"/>
        </w:rPr>
      </w:pPr>
    </w:p>
    <w:p w14:paraId="62203A3D" w14:textId="46C3D7FE" w:rsidR="005B7C63" w:rsidRPr="005B7C63" w:rsidRDefault="005B7C63" w:rsidP="005B7C63">
      <w:pPr>
        <w:spacing w:line="240" w:lineRule="auto"/>
        <w:rPr>
          <w:rFonts w:eastAsia="Times New Roman" w:cs="Arial"/>
          <w:lang w:eastAsia="bg-BG"/>
        </w:rPr>
      </w:pPr>
      <w:r w:rsidRPr="005B7C63">
        <w:rPr>
          <w:rFonts w:eastAsia="Times New Roman" w:cs="Arial"/>
          <w:i/>
          <w:iCs/>
          <w:color w:val="000000"/>
          <w:u w:val="single"/>
          <w:lang w:eastAsia="bg-BG"/>
        </w:rPr>
        <w:t>Влияние на амлодипин върху други лекарствени продукти</w:t>
      </w:r>
    </w:p>
    <w:p w14:paraId="096730E5" w14:textId="30AD2F93"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Антихипертензивният ефект на амлодипин засилва хипотензивния ефект на други лекарствени продукти с антихипертензивни свойства.</w:t>
      </w:r>
    </w:p>
    <w:p w14:paraId="30F8AF34" w14:textId="77777777" w:rsidR="005B7C63" w:rsidRPr="005B7C63" w:rsidRDefault="005B7C63" w:rsidP="005B7C63">
      <w:pPr>
        <w:spacing w:line="240" w:lineRule="auto"/>
        <w:rPr>
          <w:rFonts w:eastAsia="Times New Roman" w:cs="Arial"/>
          <w:color w:val="000000"/>
          <w:lang w:eastAsia="bg-BG"/>
        </w:rPr>
      </w:pPr>
    </w:p>
    <w:p w14:paraId="56CB88E6" w14:textId="18668B3F" w:rsidR="005B7C63" w:rsidRPr="005B7C63" w:rsidRDefault="005B7C63" w:rsidP="005B7C63">
      <w:pPr>
        <w:spacing w:line="240" w:lineRule="auto"/>
        <w:rPr>
          <w:rFonts w:eastAsia="Times New Roman" w:cs="Arial"/>
          <w:lang w:eastAsia="bg-BG"/>
        </w:rPr>
      </w:pPr>
      <w:r w:rsidRPr="005B7C63">
        <w:rPr>
          <w:rFonts w:eastAsia="Times New Roman" w:cs="Arial"/>
          <w:color w:val="000000"/>
          <w:lang w:eastAsia="bg-BG"/>
        </w:rPr>
        <w:t>В клинични изследвания за лекарствени взаимодействия, амлодипин не оказва влияние върху фармакокинетиката на аторвастатин, дигоксин, варфарин или циклоспорин.</w:t>
      </w:r>
    </w:p>
    <w:p w14:paraId="1C80D49F" w14:textId="77777777" w:rsidR="005B7C63" w:rsidRPr="005B7C63" w:rsidRDefault="005B7C63" w:rsidP="005B7C63">
      <w:pPr>
        <w:spacing w:line="240" w:lineRule="auto"/>
        <w:rPr>
          <w:rFonts w:eastAsia="Times New Roman" w:cs="Arial"/>
          <w:color w:val="000000"/>
          <w:lang w:eastAsia="bg-BG"/>
        </w:rPr>
      </w:pPr>
    </w:p>
    <w:p w14:paraId="594FB2E0" w14:textId="4F662406" w:rsidR="005B7C63" w:rsidRPr="005B7C63" w:rsidRDefault="005B7C63" w:rsidP="005B7C63">
      <w:pPr>
        <w:spacing w:line="240" w:lineRule="auto"/>
        <w:rPr>
          <w:rFonts w:ascii="Times New Roman" w:eastAsia="Times New Roman" w:hAnsi="Times New Roman" w:cs="Times New Roman"/>
          <w:sz w:val="24"/>
          <w:szCs w:val="24"/>
          <w:lang w:eastAsia="bg-BG"/>
        </w:rPr>
      </w:pPr>
      <w:r w:rsidRPr="005B7C63">
        <w:rPr>
          <w:rFonts w:eastAsia="Times New Roman" w:cs="Arial"/>
          <w:color w:val="000000"/>
          <w:lang w:eastAsia="bg-BG"/>
        </w:rPr>
        <w:t xml:space="preserve">Симвастатин: Едновременното приложение на многократни дози от 10 </w:t>
      </w:r>
      <w:r w:rsidRPr="005B7C63">
        <w:rPr>
          <w:rFonts w:eastAsia="Times New Roman" w:cs="Arial"/>
          <w:color w:val="000000"/>
          <w:lang w:val="en-US"/>
        </w:rPr>
        <w:t xml:space="preserve">mg </w:t>
      </w:r>
      <w:r w:rsidRPr="005B7C63">
        <w:rPr>
          <w:rFonts w:eastAsia="Times New Roman" w:cs="Arial"/>
          <w:color w:val="000000"/>
          <w:lang w:eastAsia="bg-BG"/>
        </w:rPr>
        <w:t xml:space="preserve">амлодипин с 80 </w:t>
      </w:r>
      <w:r w:rsidRPr="005B7C63">
        <w:rPr>
          <w:rFonts w:eastAsia="Times New Roman" w:cs="Arial"/>
          <w:color w:val="000000"/>
          <w:lang w:val="en-US"/>
        </w:rPr>
        <w:t xml:space="preserve">mg </w:t>
      </w:r>
      <w:r w:rsidRPr="005B7C63">
        <w:rPr>
          <w:rFonts w:eastAsia="Times New Roman" w:cs="Arial"/>
          <w:color w:val="000000"/>
          <w:lang w:eastAsia="bg-BG"/>
        </w:rPr>
        <w:t xml:space="preserve">симвастатин води до повишаване на експозицията на симвастатин със 77% в сравнение със самостоятелното приложение на симвастатин. При пациентите на терапия с амлодипин е необходимо дозата на симвастатин да се ограничи до 20 </w:t>
      </w:r>
      <w:r w:rsidRPr="005B7C63">
        <w:rPr>
          <w:rFonts w:eastAsia="Times New Roman" w:cs="Arial"/>
          <w:color w:val="000000"/>
          <w:lang w:val="en-US"/>
        </w:rPr>
        <w:t xml:space="preserve">mg </w:t>
      </w:r>
      <w:r w:rsidRPr="005B7C63">
        <w:rPr>
          <w:rFonts w:eastAsia="Times New Roman" w:cs="Arial"/>
          <w:color w:val="000000"/>
          <w:lang w:eastAsia="bg-BG"/>
        </w:rPr>
        <w:t>дневно.</w:t>
      </w:r>
    </w:p>
    <w:p w14:paraId="715770F7" w14:textId="77777777" w:rsidR="005B7C63" w:rsidRPr="005B7C63" w:rsidRDefault="005B7C63" w:rsidP="005B7C63"/>
    <w:p w14:paraId="15A75A66" w14:textId="5409AD87" w:rsidR="00A71DCF" w:rsidRDefault="002C50EE" w:rsidP="00A93499">
      <w:pPr>
        <w:pStyle w:val="Heading2"/>
      </w:pPr>
      <w:r>
        <w:t>4.6. Фертилитет, бременност и кърмене</w:t>
      </w:r>
    </w:p>
    <w:p w14:paraId="1252F3BB" w14:textId="135CFEB0" w:rsidR="005B7C63" w:rsidRDefault="005B7C63" w:rsidP="005B7C63"/>
    <w:p w14:paraId="6678D23A"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u w:val="single"/>
          <w:lang w:eastAsia="bg-BG"/>
        </w:rPr>
        <w:lastRenderedPageBreak/>
        <w:t>Като се имат предвид ефектите на отделните компоненти на този комбиниран продукт върху бременността и кърменето</w:t>
      </w:r>
      <w:r w:rsidRPr="005B7C63">
        <w:rPr>
          <w:rFonts w:eastAsia="Times New Roman" w:cs="Arial"/>
          <w:color w:val="000000"/>
          <w:lang w:eastAsia="bg-BG"/>
        </w:rPr>
        <w:t>:</w:t>
      </w:r>
    </w:p>
    <w:p w14:paraId="4425E70B"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Вивейс Дуо не се препоръчва за употреба по време на първия триместър на бременността и е противопоказан по време на втория и третия триместър на бременността.</w:t>
      </w:r>
    </w:p>
    <w:p w14:paraId="036B6F82" w14:textId="77777777" w:rsidR="005B7C63" w:rsidRPr="005B7C63" w:rsidRDefault="005B7C63" w:rsidP="005B7C63">
      <w:pPr>
        <w:spacing w:line="240" w:lineRule="auto"/>
        <w:rPr>
          <w:rFonts w:eastAsia="Times New Roman" w:cs="Arial"/>
          <w:color w:val="000000"/>
          <w:lang w:eastAsia="bg-BG"/>
        </w:rPr>
      </w:pPr>
    </w:p>
    <w:p w14:paraId="7D1D7805" w14:textId="7B5B94E1"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Вивейс Дуо не се препоръчва за употреба по време на кърмене. Трябва да се вземе решение дали да се продължи/преустанови кърменето или да се продължи/преустанови лечението с Вивейс Дуо, като се вземат предвид ползата от кърменето за детето и ползата от терапията с амлодипин за майката.</w:t>
      </w:r>
    </w:p>
    <w:p w14:paraId="0BE3001F" w14:textId="77777777" w:rsidR="005B7C63" w:rsidRPr="005B7C63" w:rsidRDefault="005B7C63" w:rsidP="005B7C63">
      <w:pPr>
        <w:spacing w:line="240" w:lineRule="auto"/>
        <w:rPr>
          <w:rFonts w:eastAsia="Times New Roman" w:cs="Arial"/>
          <w:color w:val="000000"/>
          <w:u w:val="single"/>
          <w:lang w:eastAsia="bg-BG"/>
        </w:rPr>
      </w:pPr>
    </w:p>
    <w:p w14:paraId="6E924EA6" w14:textId="4BA173C4" w:rsidR="005B7C63" w:rsidRPr="005B7C63" w:rsidRDefault="005B7C63" w:rsidP="005B7C63">
      <w:pPr>
        <w:pStyle w:val="Heading3"/>
        <w:rPr>
          <w:rFonts w:eastAsia="Times New Roman"/>
          <w:u w:val="single"/>
          <w:lang w:eastAsia="bg-BG"/>
        </w:rPr>
      </w:pPr>
      <w:r w:rsidRPr="005B7C63">
        <w:rPr>
          <w:rFonts w:eastAsia="Times New Roman"/>
          <w:u w:val="single"/>
          <w:lang w:eastAsia="bg-BG"/>
        </w:rPr>
        <w:t>Бременност</w:t>
      </w:r>
    </w:p>
    <w:p w14:paraId="6F931E66" w14:textId="77777777" w:rsidR="005B7C63" w:rsidRPr="005B7C63" w:rsidRDefault="005B7C63" w:rsidP="005B7C63">
      <w:pPr>
        <w:spacing w:line="240" w:lineRule="auto"/>
        <w:rPr>
          <w:rFonts w:eastAsia="Times New Roman" w:cs="Arial"/>
          <w:i/>
          <w:iCs/>
          <w:color w:val="000000"/>
          <w:u w:val="single"/>
          <w:lang w:eastAsia="bg-BG"/>
        </w:rPr>
      </w:pPr>
    </w:p>
    <w:p w14:paraId="7DE039CD" w14:textId="1E88578A" w:rsidR="005B7C63" w:rsidRPr="005B7C63" w:rsidRDefault="005B7C63" w:rsidP="005B7C63">
      <w:pPr>
        <w:spacing w:line="240" w:lineRule="auto"/>
        <w:rPr>
          <w:rFonts w:eastAsia="Times New Roman" w:cs="Arial"/>
          <w:sz w:val="24"/>
          <w:szCs w:val="24"/>
          <w:lang w:eastAsia="bg-BG"/>
        </w:rPr>
      </w:pPr>
      <w:r w:rsidRPr="005B7C63">
        <w:rPr>
          <w:rFonts w:eastAsia="Times New Roman" w:cs="Arial"/>
          <w:i/>
          <w:iCs/>
          <w:color w:val="000000"/>
          <w:u w:val="single"/>
          <w:lang w:eastAsia="bg-BG"/>
        </w:rPr>
        <w:t>Свързано с рамиприл</w:t>
      </w:r>
    </w:p>
    <w:p w14:paraId="71A370CA" w14:textId="4F4D6F05" w:rsidR="005B7C63" w:rsidRPr="005B7C63" w:rsidRDefault="005B7C63" w:rsidP="005B7C63">
      <w:pPr>
        <w:rPr>
          <w:rFonts w:eastAsia="Times New Roman" w:cs="Arial"/>
          <w:color w:val="000000"/>
          <w:lang w:eastAsia="bg-BG"/>
        </w:rPr>
      </w:pPr>
    </w:p>
    <w:tbl>
      <w:tblPr>
        <w:tblStyle w:val="TableGrid"/>
        <w:tblW w:w="0" w:type="auto"/>
        <w:tblLook w:val="04A0" w:firstRow="1" w:lastRow="0" w:firstColumn="1" w:lastColumn="0" w:noHBand="0" w:noVBand="1"/>
      </w:tblPr>
      <w:tblGrid>
        <w:gridCol w:w="9350"/>
      </w:tblGrid>
      <w:tr w:rsidR="005B7C63" w:rsidRPr="005B7C63" w14:paraId="243F0DF1" w14:textId="77777777" w:rsidTr="005B7C63">
        <w:tc>
          <w:tcPr>
            <w:tcW w:w="9500" w:type="dxa"/>
          </w:tcPr>
          <w:p w14:paraId="3CC9C95F" w14:textId="161A220D"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Вивейс Дуо не се препоръчва за употреба по време на първия триместър на бременността (вж. точка 4.4) и е противопоказан по време на втория и третия триместър на бременността (вж. точка 4.3).</w:t>
            </w:r>
          </w:p>
        </w:tc>
      </w:tr>
    </w:tbl>
    <w:p w14:paraId="68A8FA97" w14:textId="18701395" w:rsidR="005B7C63" w:rsidRPr="005B7C63" w:rsidRDefault="005B7C63" w:rsidP="005B7C63">
      <w:pPr>
        <w:rPr>
          <w:rFonts w:cs="Arial"/>
        </w:rPr>
      </w:pPr>
    </w:p>
    <w:p w14:paraId="52191CF9" w14:textId="77777777" w:rsidR="005B7C63" w:rsidRPr="005B7C63" w:rsidRDefault="005B7C63" w:rsidP="005B7C63">
      <w:pPr>
        <w:rPr>
          <w:rFonts w:eastAsia="Times New Roman" w:cs="Arial"/>
          <w:sz w:val="24"/>
          <w:szCs w:val="24"/>
          <w:lang w:eastAsia="bg-BG"/>
        </w:rPr>
      </w:pPr>
      <w:r w:rsidRPr="005B7C63">
        <w:rPr>
          <w:rFonts w:cs="Arial"/>
        </w:rPr>
        <w:t>Епидемиологичните данни относно риска от тератогенност след експозиция на АСЕ инхибитори по време на първия триместър от бременността не са убедителни; все пак слабо повишаване на риска не може да бъде изключено. Пациентки, планиращи бременност</w:t>
      </w:r>
      <w:r w:rsidRPr="005B7C63">
        <w:rPr>
          <w:rFonts w:cs="Arial"/>
        </w:rPr>
        <w:t xml:space="preserve">, </w:t>
      </w:r>
      <w:r w:rsidRPr="005B7C63">
        <w:rPr>
          <w:rFonts w:eastAsia="Times New Roman" w:cs="Arial"/>
          <w:color w:val="000000"/>
          <w:lang w:eastAsia="bg-BG"/>
        </w:rPr>
        <w:t>трябва да преминат на алтернативно антихипертензивно лечение, което има установен профил на безопасност при употреба по време на бременност, освен ако продължаването на терапията с АСЕ инхибитори не се счита за крайно необходима.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w:t>
      </w:r>
    </w:p>
    <w:p w14:paraId="4B96F8D1" w14:textId="77777777" w:rsidR="005B7C63" w:rsidRPr="005B7C63" w:rsidRDefault="005B7C63" w:rsidP="005B7C63">
      <w:pPr>
        <w:spacing w:line="240" w:lineRule="auto"/>
        <w:rPr>
          <w:rFonts w:eastAsia="Times New Roman" w:cs="Arial"/>
          <w:color w:val="000000"/>
          <w:lang w:eastAsia="bg-BG"/>
        </w:rPr>
      </w:pPr>
    </w:p>
    <w:p w14:paraId="28796DE6" w14:textId="6A75FDD0"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Известно е, че терапията с АСЕ инхибитор по време на втория и третия триместър причинява фетотоксичност при хора (понижена бъбречна функция, олигохидроамниоза, забавена осификация на черепа) и неонатална токсичност (бъбречна недостатъчност, хипотония, хиперкалиемия) (вж. точка 5.3). При експозиция на АСЕ инхибитор от втория триместър на бременността се препоръчва проверка на бъбречната функция и черепа чрез ултразвук. Новородени, чиито майки са приемали АСЕ инхибитори, трябва да бъдат стриктно наблюдавани за поява на хипотония, олигурия и хиперкалиемия (вж. също точки 4.3 и 4.4).</w:t>
      </w:r>
    </w:p>
    <w:p w14:paraId="5F6C458C" w14:textId="77777777" w:rsidR="005B7C63" w:rsidRPr="005B7C63" w:rsidRDefault="005B7C63" w:rsidP="005B7C63">
      <w:pPr>
        <w:spacing w:line="240" w:lineRule="auto"/>
        <w:rPr>
          <w:rFonts w:eastAsia="Times New Roman" w:cs="Arial"/>
          <w:i/>
          <w:iCs/>
          <w:color w:val="000000"/>
          <w:u w:val="single"/>
          <w:lang w:eastAsia="bg-BG"/>
        </w:rPr>
      </w:pPr>
    </w:p>
    <w:p w14:paraId="5579EA8B" w14:textId="79D4451C" w:rsidR="005B7C63" w:rsidRPr="005B7C63" w:rsidRDefault="005B7C63" w:rsidP="005B7C63">
      <w:pPr>
        <w:spacing w:line="240" w:lineRule="auto"/>
        <w:rPr>
          <w:rFonts w:eastAsia="Times New Roman" w:cs="Arial"/>
          <w:sz w:val="24"/>
          <w:szCs w:val="24"/>
          <w:lang w:eastAsia="bg-BG"/>
        </w:rPr>
      </w:pPr>
      <w:r w:rsidRPr="005B7C63">
        <w:rPr>
          <w:rFonts w:eastAsia="Times New Roman" w:cs="Arial"/>
          <w:i/>
          <w:iCs/>
          <w:color w:val="000000"/>
          <w:u w:val="single"/>
          <w:lang w:eastAsia="bg-BG"/>
        </w:rPr>
        <w:t>Свързано с амлодипин</w:t>
      </w:r>
    </w:p>
    <w:p w14:paraId="4127B61B"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Безопасността на амлодипин при бременни жени не е установена.</w:t>
      </w:r>
    </w:p>
    <w:p w14:paraId="2B81FAF5"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В проучвания върху животни след прилагане на високи дози е наблюдавана репродуктивна токсичност (вж. точка 5.3).</w:t>
      </w:r>
    </w:p>
    <w:p w14:paraId="348557FB"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Употреба по време на бременност се препоръчва само когато не съществува по-безопасна алтернатива и когато самото заболяване е с по-висок риск за майката и плода.</w:t>
      </w:r>
    </w:p>
    <w:p w14:paraId="522D5214" w14:textId="77777777" w:rsidR="005B7C63" w:rsidRPr="005B7C63" w:rsidRDefault="005B7C63" w:rsidP="005B7C63">
      <w:pPr>
        <w:spacing w:line="240" w:lineRule="auto"/>
        <w:rPr>
          <w:rFonts w:eastAsia="Times New Roman" w:cs="Arial"/>
          <w:color w:val="000000"/>
          <w:u w:val="single"/>
          <w:lang w:eastAsia="bg-BG"/>
        </w:rPr>
      </w:pPr>
    </w:p>
    <w:p w14:paraId="7A8CFCE4" w14:textId="57B4E7CC" w:rsidR="005B7C63" w:rsidRPr="005B7C63" w:rsidRDefault="005B7C63" w:rsidP="005B7C63">
      <w:pPr>
        <w:pStyle w:val="Heading3"/>
        <w:rPr>
          <w:rFonts w:eastAsia="Times New Roman"/>
          <w:u w:val="single"/>
          <w:lang w:eastAsia="bg-BG"/>
        </w:rPr>
      </w:pPr>
      <w:r w:rsidRPr="005B7C63">
        <w:rPr>
          <w:rFonts w:eastAsia="Times New Roman"/>
          <w:u w:val="single"/>
          <w:lang w:eastAsia="bg-BG"/>
        </w:rPr>
        <w:t>Кърмене</w:t>
      </w:r>
    </w:p>
    <w:p w14:paraId="730B55C5" w14:textId="77777777" w:rsidR="005B7C63" w:rsidRPr="005B7C63" w:rsidRDefault="005B7C63" w:rsidP="005B7C63">
      <w:pPr>
        <w:spacing w:line="240" w:lineRule="auto"/>
        <w:rPr>
          <w:rFonts w:eastAsia="Times New Roman" w:cs="Arial"/>
          <w:i/>
          <w:iCs/>
          <w:color w:val="000000"/>
          <w:u w:val="single"/>
          <w:lang w:eastAsia="bg-BG"/>
        </w:rPr>
      </w:pPr>
    </w:p>
    <w:p w14:paraId="0DCEA653" w14:textId="2FB2A25B" w:rsidR="005B7C63" w:rsidRPr="005B7C63" w:rsidRDefault="005B7C63" w:rsidP="005B7C63">
      <w:pPr>
        <w:spacing w:line="240" w:lineRule="auto"/>
        <w:rPr>
          <w:rFonts w:eastAsia="Times New Roman" w:cs="Arial"/>
          <w:sz w:val="24"/>
          <w:szCs w:val="24"/>
          <w:lang w:eastAsia="bg-BG"/>
        </w:rPr>
      </w:pPr>
      <w:r w:rsidRPr="005B7C63">
        <w:rPr>
          <w:rFonts w:eastAsia="Times New Roman" w:cs="Arial"/>
          <w:i/>
          <w:iCs/>
          <w:color w:val="000000"/>
          <w:u w:val="single"/>
          <w:lang w:eastAsia="bg-BG"/>
        </w:rPr>
        <w:t>Свързано с рамиприл</w:t>
      </w:r>
    </w:p>
    <w:p w14:paraId="4BCF7C6B"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 xml:space="preserve">Рамиприл не се препоръчва за употреба, тъй като няма достатъчно информация относно употребата му по време на кърмене (вж. точка 5.2) и е за предпочитане алтернативно </w:t>
      </w:r>
      <w:r w:rsidRPr="005B7C63">
        <w:rPr>
          <w:rFonts w:eastAsia="Times New Roman" w:cs="Arial"/>
          <w:color w:val="000000"/>
          <w:lang w:eastAsia="bg-BG"/>
        </w:rPr>
        <w:lastRenderedPageBreak/>
        <w:t>лечение с по-добре установен профил на безопасност по време на кърмене, особено при кърмене на новородено или недоносено кърмаче.</w:t>
      </w:r>
    </w:p>
    <w:p w14:paraId="665D612C" w14:textId="77777777" w:rsidR="005B7C63" w:rsidRPr="005B7C63" w:rsidRDefault="005B7C63" w:rsidP="005B7C63">
      <w:pPr>
        <w:spacing w:line="240" w:lineRule="auto"/>
        <w:rPr>
          <w:rFonts w:eastAsia="Times New Roman" w:cs="Arial"/>
          <w:i/>
          <w:iCs/>
          <w:color w:val="000000"/>
          <w:u w:val="single"/>
          <w:lang w:eastAsia="bg-BG"/>
        </w:rPr>
      </w:pPr>
    </w:p>
    <w:p w14:paraId="71E4EC89" w14:textId="14E6692B" w:rsidR="005B7C63" w:rsidRPr="005B7C63" w:rsidRDefault="005B7C63" w:rsidP="005B7C63">
      <w:pPr>
        <w:spacing w:line="240" w:lineRule="auto"/>
        <w:rPr>
          <w:rFonts w:eastAsia="Times New Roman" w:cs="Arial"/>
          <w:sz w:val="24"/>
          <w:szCs w:val="24"/>
          <w:lang w:eastAsia="bg-BG"/>
        </w:rPr>
      </w:pPr>
      <w:r w:rsidRPr="005B7C63">
        <w:rPr>
          <w:rFonts w:eastAsia="Times New Roman" w:cs="Arial"/>
          <w:i/>
          <w:iCs/>
          <w:color w:val="000000"/>
          <w:u w:val="single"/>
          <w:lang w:eastAsia="bg-BG"/>
        </w:rPr>
        <w:t>Свързано с амлодипин</w:t>
      </w:r>
    </w:p>
    <w:p w14:paraId="76533189" w14:textId="77777777"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3 - 7%, с максимум 15%. Ефектът на амлодипин върху кърмачетата е неизвестен. Трябва да се вземе решение дали да се продължи/прекрати кърменето или да се продължи/прекрати терапията с амлодипин, като се вземат предвид ползата от кърменето за детето и ползата от терапията за майката.</w:t>
      </w:r>
    </w:p>
    <w:p w14:paraId="072695D5" w14:textId="77777777" w:rsidR="005B7C63" w:rsidRPr="005B7C63" w:rsidRDefault="005B7C63" w:rsidP="005B7C63">
      <w:pPr>
        <w:spacing w:line="240" w:lineRule="auto"/>
        <w:rPr>
          <w:rFonts w:eastAsia="Times New Roman" w:cs="Arial"/>
          <w:color w:val="000000"/>
          <w:u w:val="single"/>
          <w:lang w:eastAsia="bg-BG"/>
        </w:rPr>
      </w:pPr>
    </w:p>
    <w:p w14:paraId="70A05904" w14:textId="2765CAEC" w:rsidR="005B7C63" w:rsidRPr="005B7C63" w:rsidRDefault="005B7C63" w:rsidP="005B7C63">
      <w:pPr>
        <w:pStyle w:val="Heading3"/>
        <w:rPr>
          <w:rFonts w:eastAsia="Times New Roman"/>
          <w:u w:val="single"/>
          <w:lang w:eastAsia="bg-BG"/>
        </w:rPr>
      </w:pPr>
      <w:r w:rsidRPr="005B7C63">
        <w:rPr>
          <w:rFonts w:eastAsia="Times New Roman"/>
          <w:u w:val="single"/>
          <w:lang w:eastAsia="bg-BG"/>
        </w:rPr>
        <w:t>Фертилитет</w:t>
      </w:r>
    </w:p>
    <w:p w14:paraId="5C70F9C2" w14:textId="77777777" w:rsidR="005B7C63" w:rsidRPr="005B7C63" w:rsidRDefault="005B7C63" w:rsidP="005B7C63">
      <w:pPr>
        <w:spacing w:line="240" w:lineRule="auto"/>
        <w:rPr>
          <w:rFonts w:eastAsia="Times New Roman" w:cs="Arial"/>
          <w:color w:val="000000"/>
          <w:lang w:eastAsia="bg-BG"/>
        </w:rPr>
      </w:pPr>
    </w:p>
    <w:p w14:paraId="5283DF38" w14:textId="6E4EB48A" w:rsidR="005B7C63" w:rsidRPr="005B7C63" w:rsidRDefault="005B7C63" w:rsidP="005B7C63">
      <w:pPr>
        <w:spacing w:line="240" w:lineRule="auto"/>
        <w:rPr>
          <w:rFonts w:eastAsia="Times New Roman" w:cs="Arial"/>
          <w:sz w:val="24"/>
          <w:szCs w:val="24"/>
          <w:lang w:eastAsia="bg-BG"/>
        </w:rPr>
      </w:pPr>
      <w:r w:rsidRPr="005B7C63">
        <w:rPr>
          <w:rFonts w:eastAsia="Times New Roman" w:cs="Arial"/>
          <w:color w:val="000000"/>
          <w:lang w:eastAsia="bg-BG"/>
        </w:rPr>
        <w:t>При някои пациенти, лекувани с блокери на калциевите канали са наблюдавани обратими биохимични промени в главичката на сперматозоидите. Клиничните данни за потенциалния ефект на амлодипин върху фертилитета са недостатъчни. В едно проучване върху плъхове, са наблюдавани нежелани лекарствени реакции върху мъжкия фертилитет (вж. точка 5.3).</w:t>
      </w:r>
    </w:p>
    <w:p w14:paraId="21F12458" w14:textId="28174F6C" w:rsidR="005B7C63" w:rsidRPr="005B7C63" w:rsidRDefault="005B7C63" w:rsidP="005B7C63"/>
    <w:p w14:paraId="6201597D" w14:textId="07BAC742" w:rsidR="00EE6C97" w:rsidRDefault="002C50EE" w:rsidP="00A93499">
      <w:pPr>
        <w:pStyle w:val="Heading2"/>
      </w:pPr>
      <w:r>
        <w:t>4.7. Ефекти върху способността за шофиране и работа с машини</w:t>
      </w:r>
    </w:p>
    <w:p w14:paraId="237AEAFF" w14:textId="3D95FF12" w:rsidR="005B7C63" w:rsidRDefault="005B7C63" w:rsidP="005B7C63"/>
    <w:p w14:paraId="1D7DDF9E" w14:textId="77777777" w:rsidR="005B7C63" w:rsidRPr="005B7C63" w:rsidRDefault="005B7C63" w:rsidP="005B7C63">
      <w:pPr>
        <w:rPr>
          <w:sz w:val="24"/>
          <w:szCs w:val="24"/>
          <w:lang w:eastAsia="bg-BG"/>
        </w:rPr>
      </w:pPr>
      <w:r w:rsidRPr="005B7C63">
        <w:rPr>
          <w:lang w:eastAsia="bg-BG"/>
        </w:rPr>
        <w:t>Вивейс Дуо може да повлияе в слаба до умерена степен способността за шофиране и работа с машини. Някои нежелани лекарствени реакции (напр. симптоми при понижаване на артериалното налягане, като замайване, главоболие, умора) могат да нарушат способността на пациента да се концентрира и да реагира и следователно са свързани с риск в ситуации, при които тези способности са от особено значение (напр. шофиране и работа с машини).</w:t>
      </w:r>
    </w:p>
    <w:p w14:paraId="3E67257D" w14:textId="727C9105" w:rsidR="005B7C63" w:rsidRDefault="005B7C63" w:rsidP="005B7C63">
      <w:pPr>
        <w:rPr>
          <w:lang w:eastAsia="bg-BG"/>
        </w:rPr>
      </w:pPr>
      <w:r w:rsidRPr="005B7C63">
        <w:rPr>
          <w:lang w:eastAsia="bg-BG"/>
        </w:rPr>
        <w:t>Това може да се случи особено в началото на лечението или при преминаване от лечение с други продукти. Препоръчва се повишено внимание особено в началото на лечението.</w:t>
      </w:r>
    </w:p>
    <w:p w14:paraId="2FD45438" w14:textId="77777777" w:rsidR="005B7C63" w:rsidRPr="005B7C63" w:rsidRDefault="005B7C63" w:rsidP="005B7C63"/>
    <w:p w14:paraId="389A90F4" w14:textId="72476B55" w:rsidR="00BA5B74" w:rsidRDefault="002C50EE" w:rsidP="00A93499">
      <w:pPr>
        <w:pStyle w:val="Heading2"/>
      </w:pPr>
      <w:r>
        <w:t>4.8. Нежелани лекарствени реакции</w:t>
      </w:r>
    </w:p>
    <w:p w14:paraId="38ED921E" w14:textId="0D0B54A8" w:rsidR="005B7C63" w:rsidRDefault="005B7C63" w:rsidP="005B7C63"/>
    <w:p w14:paraId="0412AB20" w14:textId="77777777" w:rsidR="0059764A" w:rsidRPr="0059764A" w:rsidRDefault="005B7C63" w:rsidP="0059764A">
      <w:pPr>
        <w:rPr>
          <w:rFonts w:eastAsia="Times New Roman" w:cs="Arial"/>
          <w:sz w:val="24"/>
          <w:szCs w:val="24"/>
          <w:lang w:eastAsia="bg-BG"/>
        </w:rPr>
      </w:pPr>
      <w:r w:rsidRPr="005B7C63">
        <w:rPr>
          <w:rFonts w:eastAsia="Times New Roman" w:cs="Arial"/>
          <w:color w:val="000000"/>
          <w:lang w:eastAsia="bg-BG"/>
        </w:rPr>
        <w:t>Профилът на безопасност на рамиприл включва поява на персистираща суха кашлица и реакции, дължащи се на хипотонията. Сериозните нежелани лекарствени реакции са инсулт</w:t>
      </w:r>
      <w:r w:rsidR="0059764A" w:rsidRPr="0059764A">
        <w:rPr>
          <w:rFonts w:eastAsia="Times New Roman" w:cs="Arial"/>
          <w:color w:val="000000"/>
          <w:lang w:eastAsia="bg-BG"/>
        </w:rPr>
        <w:t xml:space="preserve"> </w:t>
      </w:r>
      <w:r w:rsidR="0059764A" w:rsidRPr="0059764A">
        <w:rPr>
          <w:rFonts w:eastAsia="Times New Roman" w:cs="Arial"/>
          <w:color w:val="000000"/>
          <w:lang w:eastAsia="bg-BG"/>
        </w:rPr>
        <w:t>миокарден инфаркт, ангиоедем, хиперкалиемия, бъбречно или чернодробно увреждане, панкреатит, тежки кожни реакции и неутропения/агранулоцитоза.</w:t>
      </w:r>
    </w:p>
    <w:p w14:paraId="23DD5C61" w14:textId="77777777" w:rsidR="0059764A" w:rsidRPr="0059764A" w:rsidRDefault="0059764A" w:rsidP="0059764A">
      <w:pPr>
        <w:spacing w:line="240" w:lineRule="auto"/>
        <w:rPr>
          <w:rFonts w:eastAsia="Times New Roman" w:cs="Arial"/>
          <w:color w:val="000000"/>
          <w:lang w:eastAsia="bg-BG"/>
        </w:rPr>
      </w:pPr>
    </w:p>
    <w:p w14:paraId="5B3BA67E" w14:textId="63D6007B" w:rsidR="0059764A" w:rsidRPr="0059764A" w:rsidRDefault="0059764A" w:rsidP="0059764A">
      <w:pPr>
        <w:spacing w:line="240" w:lineRule="auto"/>
        <w:rPr>
          <w:rFonts w:eastAsia="Times New Roman" w:cs="Arial"/>
          <w:sz w:val="24"/>
          <w:szCs w:val="24"/>
          <w:lang w:eastAsia="bg-BG"/>
        </w:rPr>
      </w:pPr>
      <w:r w:rsidRPr="0059764A">
        <w:rPr>
          <w:rFonts w:eastAsia="Times New Roman" w:cs="Arial"/>
          <w:color w:val="000000"/>
          <w:lang w:eastAsia="bg-BG"/>
        </w:rPr>
        <w:t>По време на лечение с амлодипин най-често наблюдаваните нежелани лекарствени реакции са: сомнолентност, замаяност, главоболие, палпитации, зачервяване, болка в областта на корема, гадене, оток на глезените, едем и умора.</w:t>
      </w:r>
    </w:p>
    <w:p w14:paraId="3DFB091C" w14:textId="77777777" w:rsidR="0059764A" w:rsidRPr="0059764A" w:rsidRDefault="0059764A" w:rsidP="0059764A">
      <w:pPr>
        <w:spacing w:line="240" w:lineRule="auto"/>
        <w:rPr>
          <w:rFonts w:eastAsia="Times New Roman" w:cs="Arial"/>
          <w:color w:val="000000"/>
          <w:lang w:eastAsia="bg-BG"/>
        </w:rPr>
      </w:pPr>
    </w:p>
    <w:p w14:paraId="1A6F0EA3" w14:textId="7E2DCC14" w:rsidR="0059764A" w:rsidRPr="0059764A" w:rsidRDefault="0059764A" w:rsidP="0059764A">
      <w:pPr>
        <w:spacing w:line="240" w:lineRule="auto"/>
        <w:rPr>
          <w:rFonts w:eastAsia="Times New Roman" w:cs="Arial"/>
          <w:sz w:val="24"/>
          <w:szCs w:val="24"/>
          <w:lang w:eastAsia="bg-BG"/>
        </w:rPr>
      </w:pPr>
      <w:r w:rsidRPr="0059764A">
        <w:rPr>
          <w:rFonts w:eastAsia="Times New Roman" w:cs="Arial"/>
          <w:color w:val="000000"/>
          <w:lang w:eastAsia="bg-BG"/>
        </w:rPr>
        <w:t>Честотата на нежеланите реакции е определена, като е използвана следната конвенция: много чести (≥1/10); чести (≥1/100 до&lt; 1/10); нечести (≥1/1 000 до &lt; 1/100); редки (≥1/10 000 до &lt; 1/1 000); много редки (&lt; 1/10 000), с неизвестна честота (от наличните данни не може да бъде направена оценка).</w:t>
      </w:r>
    </w:p>
    <w:p w14:paraId="306F1E9F" w14:textId="77777777" w:rsidR="0059764A" w:rsidRPr="0059764A" w:rsidRDefault="0059764A" w:rsidP="0059764A">
      <w:pPr>
        <w:spacing w:line="240" w:lineRule="auto"/>
        <w:rPr>
          <w:rFonts w:eastAsia="Times New Roman" w:cs="Arial"/>
          <w:color w:val="000000"/>
          <w:lang w:eastAsia="bg-BG"/>
        </w:rPr>
      </w:pPr>
    </w:p>
    <w:p w14:paraId="3191350B" w14:textId="6E178CE9" w:rsidR="0059764A" w:rsidRDefault="0059764A" w:rsidP="0059764A">
      <w:pPr>
        <w:spacing w:line="240" w:lineRule="auto"/>
        <w:rPr>
          <w:rFonts w:eastAsia="Times New Roman" w:cs="Arial"/>
          <w:color w:val="000000"/>
          <w:lang w:eastAsia="bg-BG"/>
        </w:rPr>
      </w:pPr>
      <w:r w:rsidRPr="0059764A">
        <w:rPr>
          <w:rFonts w:eastAsia="Times New Roman" w:cs="Arial"/>
          <w:color w:val="000000"/>
          <w:lang w:eastAsia="bg-BG"/>
        </w:rPr>
        <w:t>Следните нежелани лекарствени реакции са наблюдавани по време на самостоятелно лечение с рамиприл и амлодипин:</w:t>
      </w:r>
    </w:p>
    <w:p w14:paraId="1885AFFF" w14:textId="5BBD8C19" w:rsidR="0059764A" w:rsidRDefault="0059764A" w:rsidP="0059764A">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2333"/>
        <w:gridCol w:w="2273"/>
        <w:gridCol w:w="2372"/>
        <w:gridCol w:w="2372"/>
      </w:tblGrid>
      <w:tr w:rsidR="0059764A" w14:paraId="768E9482" w14:textId="77777777" w:rsidTr="0059764A">
        <w:tc>
          <w:tcPr>
            <w:tcW w:w="2375" w:type="dxa"/>
          </w:tcPr>
          <w:p w14:paraId="47EBF728" w14:textId="0436B7DA" w:rsidR="0059764A" w:rsidRDefault="0059764A" w:rsidP="0059764A">
            <w:pPr>
              <w:spacing w:line="240" w:lineRule="auto"/>
              <w:rPr>
                <w:rFonts w:eastAsia="Times New Roman" w:cs="Arial"/>
                <w:sz w:val="24"/>
                <w:szCs w:val="24"/>
                <w:lang w:eastAsia="bg-BG"/>
              </w:rPr>
            </w:pPr>
            <w:r>
              <w:rPr>
                <w:b/>
                <w:bCs/>
              </w:rPr>
              <w:t>Системо-органни класове</w:t>
            </w:r>
          </w:p>
        </w:tc>
        <w:tc>
          <w:tcPr>
            <w:tcW w:w="2375" w:type="dxa"/>
          </w:tcPr>
          <w:p w14:paraId="4275A521" w14:textId="4237C6CA" w:rsidR="0059764A" w:rsidRDefault="0059764A" w:rsidP="0059764A">
            <w:pPr>
              <w:spacing w:line="240" w:lineRule="auto"/>
              <w:rPr>
                <w:rFonts w:eastAsia="Times New Roman" w:cs="Arial"/>
                <w:sz w:val="24"/>
                <w:szCs w:val="24"/>
                <w:lang w:eastAsia="bg-BG"/>
              </w:rPr>
            </w:pPr>
            <w:r>
              <w:rPr>
                <w:b/>
                <w:bCs/>
              </w:rPr>
              <w:t>Честота</w:t>
            </w:r>
          </w:p>
        </w:tc>
        <w:tc>
          <w:tcPr>
            <w:tcW w:w="2375" w:type="dxa"/>
          </w:tcPr>
          <w:p w14:paraId="364CB689" w14:textId="70D20DBE" w:rsidR="0059764A" w:rsidRDefault="0059764A" w:rsidP="0059764A">
            <w:pPr>
              <w:spacing w:line="240" w:lineRule="auto"/>
              <w:rPr>
                <w:rFonts w:eastAsia="Times New Roman" w:cs="Arial"/>
                <w:sz w:val="24"/>
                <w:szCs w:val="24"/>
                <w:lang w:eastAsia="bg-BG"/>
              </w:rPr>
            </w:pPr>
            <w:r>
              <w:rPr>
                <w:b/>
                <w:bCs/>
              </w:rPr>
              <w:t>Рамиприл</w:t>
            </w:r>
          </w:p>
        </w:tc>
        <w:tc>
          <w:tcPr>
            <w:tcW w:w="2375" w:type="dxa"/>
          </w:tcPr>
          <w:p w14:paraId="38036D8D" w14:textId="45663479" w:rsidR="0059764A" w:rsidRDefault="0059764A" w:rsidP="0059764A">
            <w:pPr>
              <w:spacing w:line="240" w:lineRule="auto"/>
              <w:rPr>
                <w:rFonts w:eastAsia="Times New Roman" w:cs="Arial"/>
                <w:sz w:val="24"/>
                <w:szCs w:val="24"/>
                <w:lang w:eastAsia="bg-BG"/>
              </w:rPr>
            </w:pPr>
            <w:r>
              <w:rPr>
                <w:b/>
                <w:bCs/>
              </w:rPr>
              <w:t>Амлодипин</w:t>
            </w:r>
          </w:p>
        </w:tc>
      </w:tr>
      <w:tr w:rsidR="0059764A" w14:paraId="395C5942" w14:textId="77777777" w:rsidTr="0059764A">
        <w:tc>
          <w:tcPr>
            <w:tcW w:w="2375" w:type="dxa"/>
            <w:vMerge w:val="restart"/>
          </w:tcPr>
          <w:p w14:paraId="56E43AB5" w14:textId="7CF7E8EF" w:rsidR="0059764A" w:rsidRDefault="0059764A" w:rsidP="0059764A">
            <w:pPr>
              <w:spacing w:line="240" w:lineRule="auto"/>
              <w:rPr>
                <w:rFonts w:eastAsia="Times New Roman" w:cs="Arial"/>
                <w:sz w:val="24"/>
                <w:szCs w:val="24"/>
                <w:lang w:eastAsia="bg-BG"/>
              </w:rPr>
            </w:pPr>
            <w:r>
              <w:t>Нарушения на кръвта и лимфната система</w:t>
            </w:r>
          </w:p>
        </w:tc>
        <w:tc>
          <w:tcPr>
            <w:tcW w:w="2375" w:type="dxa"/>
          </w:tcPr>
          <w:p w14:paraId="0CAD18C9" w14:textId="4DB01701" w:rsidR="0059764A" w:rsidRDefault="0059764A" w:rsidP="0059764A">
            <w:pPr>
              <w:spacing w:line="240" w:lineRule="auto"/>
              <w:rPr>
                <w:rFonts w:eastAsia="Times New Roman" w:cs="Arial"/>
                <w:sz w:val="24"/>
                <w:szCs w:val="24"/>
                <w:lang w:eastAsia="bg-BG"/>
              </w:rPr>
            </w:pPr>
            <w:r>
              <w:t>Нечести</w:t>
            </w:r>
          </w:p>
        </w:tc>
        <w:tc>
          <w:tcPr>
            <w:tcW w:w="2375" w:type="dxa"/>
          </w:tcPr>
          <w:p w14:paraId="679C8121" w14:textId="776F56B4" w:rsidR="0059764A" w:rsidRDefault="0059764A" w:rsidP="0059764A">
            <w:pPr>
              <w:spacing w:line="240" w:lineRule="auto"/>
              <w:rPr>
                <w:rFonts w:eastAsia="Times New Roman" w:cs="Arial"/>
                <w:sz w:val="24"/>
                <w:szCs w:val="24"/>
                <w:lang w:eastAsia="bg-BG"/>
              </w:rPr>
            </w:pPr>
            <w:r>
              <w:t>Еозинофилия</w:t>
            </w:r>
          </w:p>
        </w:tc>
        <w:tc>
          <w:tcPr>
            <w:tcW w:w="2375" w:type="dxa"/>
          </w:tcPr>
          <w:p w14:paraId="7A12ABF9" w14:textId="77777777" w:rsidR="0059764A" w:rsidRDefault="0059764A" w:rsidP="0059764A">
            <w:pPr>
              <w:spacing w:line="240" w:lineRule="auto"/>
              <w:rPr>
                <w:rFonts w:eastAsia="Times New Roman" w:cs="Arial"/>
                <w:sz w:val="24"/>
                <w:szCs w:val="24"/>
                <w:lang w:eastAsia="bg-BG"/>
              </w:rPr>
            </w:pPr>
          </w:p>
        </w:tc>
      </w:tr>
      <w:tr w:rsidR="0059764A" w14:paraId="18602B4F" w14:textId="77777777" w:rsidTr="0059764A">
        <w:tc>
          <w:tcPr>
            <w:tcW w:w="2375" w:type="dxa"/>
            <w:vMerge/>
          </w:tcPr>
          <w:p w14:paraId="26D8FEBD" w14:textId="77777777" w:rsidR="0059764A" w:rsidRDefault="0059764A" w:rsidP="0059764A">
            <w:pPr>
              <w:spacing w:line="240" w:lineRule="auto"/>
              <w:rPr>
                <w:rFonts w:eastAsia="Times New Roman" w:cs="Arial"/>
                <w:sz w:val="24"/>
                <w:szCs w:val="24"/>
                <w:lang w:eastAsia="bg-BG"/>
              </w:rPr>
            </w:pPr>
          </w:p>
        </w:tc>
        <w:tc>
          <w:tcPr>
            <w:tcW w:w="2375" w:type="dxa"/>
          </w:tcPr>
          <w:p w14:paraId="6DB15041" w14:textId="055E3353" w:rsidR="0059764A" w:rsidRDefault="0059764A" w:rsidP="0059764A">
            <w:pPr>
              <w:spacing w:line="240" w:lineRule="auto"/>
              <w:rPr>
                <w:rFonts w:eastAsia="Times New Roman" w:cs="Arial"/>
                <w:sz w:val="24"/>
                <w:szCs w:val="24"/>
                <w:lang w:eastAsia="bg-BG"/>
              </w:rPr>
            </w:pPr>
            <w:r>
              <w:t>Редки</w:t>
            </w:r>
          </w:p>
        </w:tc>
        <w:tc>
          <w:tcPr>
            <w:tcW w:w="2375" w:type="dxa"/>
          </w:tcPr>
          <w:p w14:paraId="4660C546" w14:textId="09E3BB6A" w:rsidR="0059764A" w:rsidRDefault="0059764A" w:rsidP="0059764A">
            <w:pPr>
              <w:spacing w:line="240" w:lineRule="auto"/>
              <w:rPr>
                <w:rFonts w:eastAsia="Times New Roman" w:cs="Arial"/>
                <w:sz w:val="24"/>
                <w:szCs w:val="24"/>
                <w:lang w:eastAsia="bg-BG"/>
              </w:rPr>
            </w:pPr>
            <w:r>
              <w:t>Намален брой бели кръвни клетки (вкл. неутропения или агранулоцитоза), намален брой червени кръвни клетки, намален хемоглобин, намален брой тромбоцити</w:t>
            </w:r>
          </w:p>
        </w:tc>
        <w:tc>
          <w:tcPr>
            <w:tcW w:w="2375" w:type="dxa"/>
          </w:tcPr>
          <w:p w14:paraId="097CEB6B" w14:textId="77777777" w:rsidR="0059764A" w:rsidRDefault="0059764A" w:rsidP="0059764A">
            <w:pPr>
              <w:spacing w:line="240" w:lineRule="auto"/>
              <w:rPr>
                <w:rFonts w:eastAsia="Times New Roman" w:cs="Arial"/>
                <w:sz w:val="24"/>
                <w:szCs w:val="24"/>
                <w:lang w:eastAsia="bg-BG"/>
              </w:rPr>
            </w:pPr>
          </w:p>
        </w:tc>
      </w:tr>
      <w:tr w:rsidR="0059764A" w14:paraId="6EFE4D78" w14:textId="77777777" w:rsidTr="0059764A">
        <w:tc>
          <w:tcPr>
            <w:tcW w:w="2375" w:type="dxa"/>
            <w:vMerge/>
          </w:tcPr>
          <w:p w14:paraId="3C6A3B75" w14:textId="77777777" w:rsidR="0059764A" w:rsidRDefault="0059764A" w:rsidP="0059764A">
            <w:pPr>
              <w:spacing w:line="240" w:lineRule="auto"/>
              <w:rPr>
                <w:rFonts w:eastAsia="Times New Roman" w:cs="Arial"/>
                <w:sz w:val="24"/>
                <w:szCs w:val="24"/>
                <w:lang w:eastAsia="bg-BG"/>
              </w:rPr>
            </w:pPr>
          </w:p>
        </w:tc>
        <w:tc>
          <w:tcPr>
            <w:tcW w:w="2375" w:type="dxa"/>
          </w:tcPr>
          <w:p w14:paraId="5277D577" w14:textId="00999732" w:rsidR="0059764A" w:rsidRDefault="0059764A" w:rsidP="0059764A">
            <w:pPr>
              <w:spacing w:line="240" w:lineRule="auto"/>
              <w:rPr>
                <w:rFonts w:eastAsia="Times New Roman" w:cs="Arial"/>
                <w:sz w:val="24"/>
                <w:szCs w:val="24"/>
                <w:lang w:eastAsia="bg-BG"/>
              </w:rPr>
            </w:pPr>
            <w:r>
              <w:t>Много редки</w:t>
            </w:r>
          </w:p>
        </w:tc>
        <w:tc>
          <w:tcPr>
            <w:tcW w:w="2375" w:type="dxa"/>
          </w:tcPr>
          <w:p w14:paraId="5A450787" w14:textId="77777777" w:rsidR="0059764A" w:rsidRDefault="0059764A" w:rsidP="0059764A">
            <w:pPr>
              <w:spacing w:line="240" w:lineRule="auto"/>
              <w:rPr>
                <w:rFonts w:eastAsia="Times New Roman" w:cs="Arial"/>
                <w:sz w:val="24"/>
                <w:szCs w:val="24"/>
                <w:lang w:eastAsia="bg-BG"/>
              </w:rPr>
            </w:pPr>
          </w:p>
        </w:tc>
        <w:tc>
          <w:tcPr>
            <w:tcW w:w="2375" w:type="dxa"/>
          </w:tcPr>
          <w:p w14:paraId="253EA2F5" w14:textId="1F4A09CB" w:rsidR="0059764A" w:rsidRDefault="0059764A" w:rsidP="0059764A">
            <w:pPr>
              <w:spacing w:line="240" w:lineRule="auto"/>
              <w:rPr>
                <w:rFonts w:eastAsia="Times New Roman" w:cs="Arial"/>
                <w:sz w:val="24"/>
                <w:szCs w:val="24"/>
                <w:lang w:eastAsia="bg-BG"/>
              </w:rPr>
            </w:pPr>
            <w:r>
              <w:t>Левкопения, тромбоцитопения</w:t>
            </w:r>
          </w:p>
        </w:tc>
      </w:tr>
      <w:tr w:rsidR="0059764A" w14:paraId="162DAC0F" w14:textId="77777777" w:rsidTr="0059764A">
        <w:tc>
          <w:tcPr>
            <w:tcW w:w="2375" w:type="dxa"/>
            <w:vMerge/>
          </w:tcPr>
          <w:p w14:paraId="2CEEE4D6" w14:textId="77777777" w:rsidR="0059764A" w:rsidRDefault="0059764A" w:rsidP="0059764A">
            <w:pPr>
              <w:spacing w:line="240" w:lineRule="auto"/>
              <w:rPr>
                <w:rFonts w:eastAsia="Times New Roman" w:cs="Arial"/>
                <w:sz w:val="24"/>
                <w:szCs w:val="24"/>
                <w:lang w:eastAsia="bg-BG"/>
              </w:rPr>
            </w:pPr>
          </w:p>
        </w:tc>
        <w:tc>
          <w:tcPr>
            <w:tcW w:w="2375" w:type="dxa"/>
          </w:tcPr>
          <w:p w14:paraId="63CDC37A" w14:textId="7666862A" w:rsidR="0059764A" w:rsidRDefault="0059764A" w:rsidP="0059764A">
            <w:pPr>
              <w:spacing w:line="240" w:lineRule="auto"/>
              <w:rPr>
                <w:rFonts w:eastAsia="Times New Roman" w:cs="Arial"/>
                <w:sz w:val="24"/>
                <w:szCs w:val="24"/>
                <w:lang w:eastAsia="bg-BG"/>
              </w:rPr>
            </w:pPr>
            <w:r>
              <w:t>С неизвестна честота</w:t>
            </w:r>
          </w:p>
        </w:tc>
        <w:tc>
          <w:tcPr>
            <w:tcW w:w="2375" w:type="dxa"/>
          </w:tcPr>
          <w:p w14:paraId="67D10213" w14:textId="5635E14B" w:rsidR="0059764A" w:rsidRDefault="0059764A" w:rsidP="0059764A">
            <w:pPr>
              <w:spacing w:line="240" w:lineRule="auto"/>
              <w:rPr>
                <w:rFonts w:eastAsia="Times New Roman" w:cs="Arial"/>
                <w:sz w:val="24"/>
                <w:szCs w:val="24"/>
                <w:lang w:eastAsia="bg-BG"/>
              </w:rPr>
            </w:pPr>
            <w:r>
              <w:t>Костномозъчна недостатъчност, панцитопения, хемолитична анемия</w:t>
            </w:r>
          </w:p>
        </w:tc>
        <w:tc>
          <w:tcPr>
            <w:tcW w:w="2375" w:type="dxa"/>
          </w:tcPr>
          <w:p w14:paraId="58497C2D" w14:textId="77777777" w:rsidR="0059764A" w:rsidRDefault="0059764A" w:rsidP="0059764A">
            <w:pPr>
              <w:spacing w:line="240" w:lineRule="auto"/>
              <w:rPr>
                <w:rFonts w:eastAsia="Times New Roman" w:cs="Arial"/>
                <w:sz w:val="24"/>
                <w:szCs w:val="24"/>
                <w:lang w:eastAsia="bg-BG"/>
              </w:rPr>
            </w:pPr>
          </w:p>
        </w:tc>
      </w:tr>
      <w:tr w:rsidR="0059764A" w14:paraId="414E7A66" w14:textId="77777777" w:rsidTr="0059764A">
        <w:tc>
          <w:tcPr>
            <w:tcW w:w="2375" w:type="dxa"/>
            <w:vMerge w:val="restart"/>
          </w:tcPr>
          <w:p w14:paraId="712E6987" w14:textId="6C10EF5B" w:rsidR="0059764A" w:rsidRDefault="0059764A" w:rsidP="0059764A">
            <w:pPr>
              <w:spacing w:line="240" w:lineRule="auto"/>
              <w:rPr>
                <w:rFonts w:eastAsia="Times New Roman" w:cs="Arial"/>
                <w:sz w:val="24"/>
                <w:szCs w:val="24"/>
                <w:lang w:eastAsia="bg-BG"/>
              </w:rPr>
            </w:pPr>
            <w:r>
              <w:t>Нарушения на имунната система</w:t>
            </w:r>
          </w:p>
        </w:tc>
        <w:tc>
          <w:tcPr>
            <w:tcW w:w="2375" w:type="dxa"/>
          </w:tcPr>
          <w:p w14:paraId="1C935515" w14:textId="60BB7296" w:rsidR="0059764A" w:rsidRDefault="0059764A" w:rsidP="0059764A">
            <w:pPr>
              <w:spacing w:line="240" w:lineRule="auto"/>
              <w:rPr>
                <w:rFonts w:eastAsia="Times New Roman" w:cs="Arial"/>
                <w:sz w:val="24"/>
                <w:szCs w:val="24"/>
                <w:lang w:eastAsia="bg-BG"/>
              </w:rPr>
            </w:pPr>
            <w:r>
              <w:t>Много редки</w:t>
            </w:r>
          </w:p>
        </w:tc>
        <w:tc>
          <w:tcPr>
            <w:tcW w:w="2375" w:type="dxa"/>
          </w:tcPr>
          <w:p w14:paraId="5B33D5FA" w14:textId="77777777" w:rsidR="0059764A" w:rsidRDefault="0059764A" w:rsidP="0059764A">
            <w:pPr>
              <w:spacing w:line="240" w:lineRule="auto"/>
              <w:rPr>
                <w:rFonts w:eastAsia="Times New Roman" w:cs="Arial"/>
                <w:sz w:val="24"/>
                <w:szCs w:val="24"/>
                <w:lang w:eastAsia="bg-BG"/>
              </w:rPr>
            </w:pPr>
          </w:p>
        </w:tc>
        <w:tc>
          <w:tcPr>
            <w:tcW w:w="2375" w:type="dxa"/>
          </w:tcPr>
          <w:p w14:paraId="6EA4BF5E" w14:textId="1227E080" w:rsidR="0059764A" w:rsidRDefault="0059764A" w:rsidP="0059764A">
            <w:pPr>
              <w:spacing w:line="240" w:lineRule="auto"/>
              <w:rPr>
                <w:rFonts w:eastAsia="Times New Roman" w:cs="Arial"/>
                <w:sz w:val="24"/>
                <w:szCs w:val="24"/>
                <w:lang w:eastAsia="bg-BG"/>
              </w:rPr>
            </w:pPr>
            <w:r>
              <w:t>Алергични реакции</w:t>
            </w:r>
          </w:p>
        </w:tc>
      </w:tr>
      <w:tr w:rsidR="0059764A" w14:paraId="4584E562" w14:textId="77777777" w:rsidTr="0059764A">
        <w:tc>
          <w:tcPr>
            <w:tcW w:w="2375" w:type="dxa"/>
            <w:vMerge/>
          </w:tcPr>
          <w:p w14:paraId="7ABA81A1" w14:textId="77777777" w:rsidR="0059764A" w:rsidRDefault="0059764A" w:rsidP="0059764A">
            <w:pPr>
              <w:spacing w:line="240" w:lineRule="auto"/>
              <w:rPr>
                <w:rFonts w:eastAsia="Times New Roman" w:cs="Arial"/>
                <w:sz w:val="24"/>
                <w:szCs w:val="24"/>
                <w:lang w:eastAsia="bg-BG"/>
              </w:rPr>
            </w:pPr>
          </w:p>
        </w:tc>
        <w:tc>
          <w:tcPr>
            <w:tcW w:w="2375" w:type="dxa"/>
          </w:tcPr>
          <w:p w14:paraId="600BF0E0" w14:textId="1EDC5995" w:rsidR="0059764A" w:rsidRDefault="0059764A" w:rsidP="0059764A">
            <w:pPr>
              <w:spacing w:line="240" w:lineRule="auto"/>
              <w:rPr>
                <w:rFonts w:eastAsia="Times New Roman" w:cs="Arial"/>
                <w:sz w:val="24"/>
                <w:szCs w:val="24"/>
                <w:lang w:eastAsia="bg-BG"/>
              </w:rPr>
            </w:pPr>
            <w:r>
              <w:t>С неизвестна честота</w:t>
            </w:r>
          </w:p>
        </w:tc>
        <w:tc>
          <w:tcPr>
            <w:tcW w:w="2375" w:type="dxa"/>
          </w:tcPr>
          <w:p w14:paraId="4524B716" w14:textId="06655CC2" w:rsidR="0059764A" w:rsidRDefault="0059764A" w:rsidP="0059764A">
            <w:pPr>
              <w:spacing w:line="240" w:lineRule="auto"/>
              <w:rPr>
                <w:rFonts w:eastAsia="Times New Roman" w:cs="Arial"/>
                <w:sz w:val="24"/>
                <w:szCs w:val="24"/>
                <w:lang w:eastAsia="bg-BG"/>
              </w:rPr>
            </w:pPr>
            <w:r>
              <w:t>Анафилактични или анафилактоидни реакции, увеличени антинуклеарни антитела</w:t>
            </w:r>
          </w:p>
        </w:tc>
        <w:tc>
          <w:tcPr>
            <w:tcW w:w="2375" w:type="dxa"/>
          </w:tcPr>
          <w:p w14:paraId="2C90AE8B" w14:textId="77777777" w:rsidR="0059764A" w:rsidRDefault="0059764A" w:rsidP="0059764A">
            <w:pPr>
              <w:spacing w:line="240" w:lineRule="auto"/>
              <w:rPr>
                <w:rFonts w:eastAsia="Times New Roman" w:cs="Arial"/>
                <w:sz w:val="24"/>
                <w:szCs w:val="24"/>
                <w:lang w:eastAsia="bg-BG"/>
              </w:rPr>
            </w:pPr>
          </w:p>
        </w:tc>
      </w:tr>
      <w:tr w:rsidR="0059764A" w14:paraId="4F1E2963" w14:textId="77777777" w:rsidTr="0059764A">
        <w:tc>
          <w:tcPr>
            <w:tcW w:w="2375" w:type="dxa"/>
          </w:tcPr>
          <w:p w14:paraId="1660C71B" w14:textId="79A437B8" w:rsidR="0059764A" w:rsidRDefault="0059764A" w:rsidP="0059764A">
            <w:pPr>
              <w:spacing w:line="240" w:lineRule="auto"/>
              <w:rPr>
                <w:rFonts w:eastAsia="Times New Roman" w:cs="Arial"/>
                <w:sz w:val="24"/>
                <w:szCs w:val="24"/>
                <w:lang w:eastAsia="bg-BG"/>
              </w:rPr>
            </w:pPr>
            <w:r>
              <w:t>Нарушения на ендокринната система</w:t>
            </w:r>
          </w:p>
        </w:tc>
        <w:tc>
          <w:tcPr>
            <w:tcW w:w="2375" w:type="dxa"/>
          </w:tcPr>
          <w:p w14:paraId="19C31CDF" w14:textId="2BFA855B" w:rsidR="0059764A" w:rsidRDefault="0059764A" w:rsidP="0059764A">
            <w:pPr>
              <w:spacing w:line="240" w:lineRule="auto"/>
              <w:rPr>
                <w:rFonts w:eastAsia="Times New Roman" w:cs="Arial"/>
                <w:sz w:val="24"/>
                <w:szCs w:val="24"/>
                <w:lang w:eastAsia="bg-BG"/>
              </w:rPr>
            </w:pPr>
            <w:r>
              <w:t>С неизвестна честота</w:t>
            </w:r>
          </w:p>
        </w:tc>
        <w:tc>
          <w:tcPr>
            <w:tcW w:w="2375" w:type="dxa"/>
          </w:tcPr>
          <w:p w14:paraId="6D37441E" w14:textId="44DAC31C" w:rsidR="0059764A" w:rsidRDefault="0059764A" w:rsidP="0059764A">
            <w:pPr>
              <w:spacing w:line="240" w:lineRule="auto"/>
              <w:rPr>
                <w:rFonts w:eastAsia="Times New Roman" w:cs="Arial"/>
                <w:sz w:val="24"/>
                <w:szCs w:val="24"/>
                <w:lang w:eastAsia="bg-BG"/>
              </w:rPr>
            </w:pPr>
            <w:r>
              <w:t>Синдром на неадекватна секреция на антидиуретичен хормон (СНСАХ)</w:t>
            </w:r>
          </w:p>
        </w:tc>
        <w:tc>
          <w:tcPr>
            <w:tcW w:w="2375" w:type="dxa"/>
          </w:tcPr>
          <w:p w14:paraId="7C3D1A12" w14:textId="77777777" w:rsidR="0059764A" w:rsidRDefault="0059764A" w:rsidP="0059764A">
            <w:pPr>
              <w:spacing w:line="240" w:lineRule="auto"/>
              <w:rPr>
                <w:rFonts w:eastAsia="Times New Roman" w:cs="Arial"/>
                <w:sz w:val="24"/>
                <w:szCs w:val="24"/>
                <w:lang w:eastAsia="bg-BG"/>
              </w:rPr>
            </w:pPr>
          </w:p>
        </w:tc>
      </w:tr>
      <w:tr w:rsidR="0059764A" w14:paraId="05C88C7A" w14:textId="77777777" w:rsidTr="0059764A">
        <w:tc>
          <w:tcPr>
            <w:tcW w:w="2375" w:type="dxa"/>
            <w:vMerge w:val="restart"/>
          </w:tcPr>
          <w:p w14:paraId="532696C0" w14:textId="18A9CDC1" w:rsidR="0059764A" w:rsidRDefault="0059764A" w:rsidP="0059764A">
            <w:pPr>
              <w:spacing w:line="240" w:lineRule="auto"/>
              <w:rPr>
                <w:rFonts w:eastAsia="Times New Roman" w:cs="Arial"/>
                <w:sz w:val="24"/>
                <w:szCs w:val="24"/>
                <w:lang w:eastAsia="bg-BG"/>
              </w:rPr>
            </w:pPr>
            <w:r>
              <w:t>Нарушения на метаболизма и храненето</w:t>
            </w:r>
          </w:p>
        </w:tc>
        <w:tc>
          <w:tcPr>
            <w:tcW w:w="2375" w:type="dxa"/>
          </w:tcPr>
          <w:p w14:paraId="0A723126" w14:textId="45472D32" w:rsidR="0059764A" w:rsidRDefault="0059764A" w:rsidP="0059764A">
            <w:pPr>
              <w:spacing w:line="240" w:lineRule="auto"/>
              <w:rPr>
                <w:rFonts w:eastAsia="Times New Roman" w:cs="Arial"/>
                <w:sz w:val="24"/>
                <w:szCs w:val="24"/>
                <w:lang w:eastAsia="bg-BG"/>
              </w:rPr>
            </w:pPr>
            <w:r>
              <w:t>Чести</w:t>
            </w:r>
          </w:p>
        </w:tc>
        <w:tc>
          <w:tcPr>
            <w:tcW w:w="2375" w:type="dxa"/>
          </w:tcPr>
          <w:p w14:paraId="59D439C6" w14:textId="569DA6F6" w:rsidR="0059764A" w:rsidRDefault="0059764A" w:rsidP="0059764A">
            <w:pPr>
              <w:spacing w:line="240" w:lineRule="auto"/>
              <w:rPr>
                <w:rFonts w:eastAsia="Times New Roman" w:cs="Arial"/>
                <w:sz w:val="24"/>
                <w:szCs w:val="24"/>
                <w:lang w:eastAsia="bg-BG"/>
              </w:rPr>
            </w:pPr>
            <w:r>
              <w:t>Повишено ниво на калий в кръвта</w:t>
            </w:r>
          </w:p>
        </w:tc>
        <w:tc>
          <w:tcPr>
            <w:tcW w:w="2375" w:type="dxa"/>
          </w:tcPr>
          <w:p w14:paraId="3DB938E5" w14:textId="77777777" w:rsidR="0059764A" w:rsidRDefault="0059764A" w:rsidP="0059764A">
            <w:pPr>
              <w:spacing w:line="240" w:lineRule="auto"/>
              <w:rPr>
                <w:rFonts w:eastAsia="Times New Roman" w:cs="Arial"/>
                <w:sz w:val="24"/>
                <w:szCs w:val="24"/>
                <w:lang w:eastAsia="bg-BG"/>
              </w:rPr>
            </w:pPr>
          </w:p>
        </w:tc>
      </w:tr>
      <w:tr w:rsidR="0059764A" w14:paraId="20427B84" w14:textId="77777777" w:rsidTr="0059764A">
        <w:tc>
          <w:tcPr>
            <w:tcW w:w="2375" w:type="dxa"/>
            <w:vMerge/>
          </w:tcPr>
          <w:p w14:paraId="79C1CB48" w14:textId="77777777" w:rsidR="0059764A" w:rsidRDefault="0059764A" w:rsidP="0059764A">
            <w:pPr>
              <w:spacing w:line="240" w:lineRule="auto"/>
              <w:rPr>
                <w:rFonts w:eastAsia="Times New Roman" w:cs="Arial"/>
                <w:sz w:val="24"/>
                <w:szCs w:val="24"/>
                <w:lang w:eastAsia="bg-BG"/>
              </w:rPr>
            </w:pPr>
          </w:p>
        </w:tc>
        <w:tc>
          <w:tcPr>
            <w:tcW w:w="2375" w:type="dxa"/>
          </w:tcPr>
          <w:p w14:paraId="1AA07462" w14:textId="791B165D" w:rsidR="0059764A" w:rsidRDefault="0059764A" w:rsidP="0059764A">
            <w:pPr>
              <w:spacing w:line="240" w:lineRule="auto"/>
              <w:rPr>
                <w:rFonts w:eastAsia="Times New Roman" w:cs="Arial"/>
                <w:sz w:val="24"/>
                <w:szCs w:val="24"/>
                <w:lang w:eastAsia="bg-BG"/>
              </w:rPr>
            </w:pPr>
            <w:r>
              <w:t>Нечести</w:t>
            </w:r>
          </w:p>
        </w:tc>
        <w:tc>
          <w:tcPr>
            <w:tcW w:w="2375" w:type="dxa"/>
          </w:tcPr>
          <w:p w14:paraId="189D8462" w14:textId="1F35D650" w:rsidR="0059764A" w:rsidRDefault="0059764A" w:rsidP="0059764A">
            <w:pPr>
              <w:spacing w:line="240" w:lineRule="auto"/>
              <w:rPr>
                <w:rFonts w:eastAsia="Times New Roman" w:cs="Arial"/>
                <w:sz w:val="24"/>
                <w:szCs w:val="24"/>
                <w:lang w:eastAsia="bg-BG"/>
              </w:rPr>
            </w:pPr>
            <w:r>
              <w:t>Анорексия, намален апетит</w:t>
            </w:r>
          </w:p>
        </w:tc>
        <w:tc>
          <w:tcPr>
            <w:tcW w:w="2375" w:type="dxa"/>
          </w:tcPr>
          <w:p w14:paraId="6DEC6097" w14:textId="77777777" w:rsidR="0059764A" w:rsidRDefault="0059764A" w:rsidP="0059764A">
            <w:pPr>
              <w:spacing w:line="240" w:lineRule="auto"/>
              <w:rPr>
                <w:rFonts w:eastAsia="Times New Roman" w:cs="Arial"/>
                <w:sz w:val="24"/>
                <w:szCs w:val="24"/>
                <w:lang w:eastAsia="bg-BG"/>
              </w:rPr>
            </w:pPr>
          </w:p>
        </w:tc>
      </w:tr>
      <w:tr w:rsidR="0059764A" w14:paraId="31FAD421" w14:textId="77777777" w:rsidTr="0059764A">
        <w:tc>
          <w:tcPr>
            <w:tcW w:w="2375" w:type="dxa"/>
            <w:vMerge/>
          </w:tcPr>
          <w:p w14:paraId="318937C4" w14:textId="77777777" w:rsidR="0059764A" w:rsidRDefault="0059764A" w:rsidP="0059764A">
            <w:pPr>
              <w:spacing w:line="240" w:lineRule="auto"/>
              <w:rPr>
                <w:rFonts w:eastAsia="Times New Roman" w:cs="Arial"/>
                <w:sz w:val="24"/>
                <w:szCs w:val="24"/>
                <w:lang w:eastAsia="bg-BG"/>
              </w:rPr>
            </w:pPr>
          </w:p>
        </w:tc>
        <w:tc>
          <w:tcPr>
            <w:tcW w:w="2375" w:type="dxa"/>
          </w:tcPr>
          <w:p w14:paraId="782D389C" w14:textId="6F6B7D85" w:rsidR="0059764A" w:rsidRDefault="0059764A" w:rsidP="0059764A">
            <w:pPr>
              <w:spacing w:line="240" w:lineRule="auto"/>
              <w:rPr>
                <w:rFonts w:eastAsia="Times New Roman" w:cs="Arial"/>
                <w:sz w:val="24"/>
                <w:szCs w:val="24"/>
                <w:lang w:eastAsia="bg-BG"/>
              </w:rPr>
            </w:pPr>
            <w:r>
              <w:t>Много редки</w:t>
            </w:r>
          </w:p>
        </w:tc>
        <w:tc>
          <w:tcPr>
            <w:tcW w:w="2375" w:type="dxa"/>
          </w:tcPr>
          <w:p w14:paraId="79E1B3C7" w14:textId="77777777" w:rsidR="0059764A" w:rsidRDefault="0059764A" w:rsidP="0059764A">
            <w:pPr>
              <w:spacing w:line="240" w:lineRule="auto"/>
              <w:rPr>
                <w:rFonts w:eastAsia="Times New Roman" w:cs="Arial"/>
                <w:sz w:val="24"/>
                <w:szCs w:val="24"/>
                <w:lang w:eastAsia="bg-BG"/>
              </w:rPr>
            </w:pPr>
          </w:p>
        </w:tc>
        <w:tc>
          <w:tcPr>
            <w:tcW w:w="2375" w:type="dxa"/>
          </w:tcPr>
          <w:p w14:paraId="62BAC3EA" w14:textId="09BB5BF1" w:rsidR="0059764A" w:rsidRDefault="0059764A" w:rsidP="0059764A">
            <w:pPr>
              <w:spacing w:line="240" w:lineRule="auto"/>
              <w:rPr>
                <w:rFonts w:eastAsia="Times New Roman" w:cs="Arial"/>
                <w:sz w:val="24"/>
                <w:szCs w:val="24"/>
                <w:lang w:eastAsia="bg-BG"/>
              </w:rPr>
            </w:pPr>
            <w:r>
              <w:t>Хипергликемия</w:t>
            </w:r>
          </w:p>
        </w:tc>
      </w:tr>
      <w:tr w:rsidR="0059764A" w14:paraId="1318F5F7" w14:textId="77777777" w:rsidTr="0059764A">
        <w:tc>
          <w:tcPr>
            <w:tcW w:w="2375" w:type="dxa"/>
            <w:vMerge/>
          </w:tcPr>
          <w:p w14:paraId="7EA8D3F2" w14:textId="77777777" w:rsidR="0059764A" w:rsidRDefault="0059764A" w:rsidP="0059764A">
            <w:pPr>
              <w:spacing w:line="240" w:lineRule="auto"/>
              <w:rPr>
                <w:rFonts w:eastAsia="Times New Roman" w:cs="Arial"/>
                <w:sz w:val="24"/>
                <w:szCs w:val="24"/>
                <w:lang w:eastAsia="bg-BG"/>
              </w:rPr>
            </w:pPr>
          </w:p>
        </w:tc>
        <w:tc>
          <w:tcPr>
            <w:tcW w:w="2375" w:type="dxa"/>
          </w:tcPr>
          <w:p w14:paraId="2DD7E293" w14:textId="73C2F381" w:rsidR="0059764A" w:rsidRDefault="0059764A" w:rsidP="0059764A">
            <w:pPr>
              <w:spacing w:line="240" w:lineRule="auto"/>
              <w:rPr>
                <w:rFonts w:eastAsia="Times New Roman" w:cs="Arial"/>
                <w:sz w:val="24"/>
                <w:szCs w:val="24"/>
                <w:lang w:eastAsia="bg-BG"/>
              </w:rPr>
            </w:pPr>
            <w:r>
              <w:t>С неизвестна честота</w:t>
            </w:r>
          </w:p>
        </w:tc>
        <w:tc>
          <w:tcPr>
            <w:tcW w:w="2375" w:type="dxa"/>
          </w:tcPr>
          <w:p w14:paraId="4E1BFE63" w14:textId="19049C98" w:rsidR="0059764A" w:rsidRDefault="0059764A" w:rsidP="0059764A">
            <w:pPr>
              <w:spacing w:line="240" w:lineRule="auto"/>
              <w:rPr>
                <w:rFonts w:eastAsia="Times New Roman" w:cs="Arial"/>
                <w:sz w:val="24"/>
                <w:szCs w:val="24"/>
                <w:lang w:eastAsia="bg-BG"/>
              </w:rPr>
            </w:pPr>
            <w:r>
              <w:t>Намалено ниво на натрий в кръвта</w:t>
            </w:r>
          </w:p>
        </w:tc>
        <w:tc>
          <w:tcPr>
            <w:tcW w:w="2375" w:type="dxa"/>
          </w:tcPr>
          <w:p w14:paraId="22FB05C4" w14:textId="77777777" w:rsidR="0059764A" w:rsidRDefault="0059764A" w:rsidP="0059764A">
            <w:pPr>
              <w:spacing w:line="240" w:lineRule="auto"/>
              <w:rPr>
                <w:rFonts w:eastAsia="Times New Roman" w:cs="Arial"/>
                <w:sz w:val="24"/>
                <w:szCs w:val="24"/>
                <w:lang w:eastAsia="bg-BG"/>
              </w:rPr>
            </w:pPr>
          </w:p>
        </w:tc>
      </w:tr>
      <w:tr w:rsidR="0059764A" w14:paraId="42564A43" w14:textId="77777777" w:rsidTr="0059764A">
        <w:tc>
          <w:tcPr>
            <w:tcW w:w="2375" w:type="dxa"/>
            <w:vMerge w:val="restart"/>
          </w:tcPr>
          <w:p w14:paraId="3FA0BC54" w14:textId="60F82917" w:rsidR="0059764A" w:rsidRDefault="0059764A" w:rsidP="0059764A">
            <w:pPr>
              <w:spacing w:line="240" w:lineRule="auto"/>
              <w:rPr>
                <w:rFonts w:eastAsia="Times New Roman" w:cs="Arial"/>
                <w:sz w:val="24"/>
                <w:szCs w:val="24"/>
                <w:lang w:eastAsia="bg-BG"/>
              </w:rPr>
            </w:pPr>
            <w:r>
              <w:t>Психични нарушения</w:t>
            </w:r>
          </w:p>
        </w:tc>
        <w:tc>
          <w:tcPr>
            <w:tcW w:w="2375" w:type="dxa"/>
          </w:tcPr>
          <w:p w14:paraId="1465B3D1" w14:textId="2B4D4833" w:rsidR="0059764A" w:rsidRDefault="0059764A" w:rsidP="0059764A">
            <w:pPr>
              <w:spacing w:line="240" w:lineRule="auto"/>
              <w:rPr>
                <w:rFonts w:eastAsia="Times New Roman" w:cs="Arial"/>
                <w:sz w:val="24"/>
                <w:szCs w:val="24"/>
                <w:lang w:eastAsia="bg-BG"/>
              </w:rPr>
            </w:pPr>
            <w:r>
              <w:t>Нечести</w:t>
            </w:r>
          </w:p>
        </w:tc>
        <w:tc>
          <w:tcPr>
            <w:tcW w:w="2375" w:type="dxa"/>
          </w:tcPr>
          <w:p w14:paraId="1CB00F7A" w14:textId="4ED79522" w:rsidR="0059764A" w:rsidRDefault="0059764A" w:rsidP="0059764A">
            <w:pPr>
              <w:spacing w:line="240" w:lineRule="auto"/>
              <w:rPr>
                <w:rFonts w:eastAsia="Times New Roman" w:cs="Arial"/>
                <w:sz w:val="24"/>
                <w:szCs w:val="24"/>
                <w:lang w:eastAsia="bg-BG"/>
              </w:rPr>
            </w:pPr>
            <w:r>
              <w:t>Потиснато настроение, тревожност, нервност, безпокойство, нарушения на съня, вкл. сомнолентност</w:t>
            </w:r>
          </w:p>
        </w:tc>
        <w:tc>
          <w:tcPr>
            <w:tcW w:w="2375" w:type="dxa"/>
          </w:tcPr>
          <w:p w14:paraId="294E77CA" w14:textId="3F811391" w:rsidR="0059764A" w:rsidRDefault="0059764A" w:rsidP="0059764A">
            <w:pPr>
              <w:spacing w:line="240" w:lineRule="auto"/>
              <w:rPr>
                <w:rFonts w:eastAsia="Times New Roman" w:cs="Arial"/>
                <w:sz w:val="24"/>
                <w:szCs w:val="24"/>
                <w:lang w:eastAsia="bg-BG"/>
              </w:rPr>
            </w:pPr>
            <w:r>
              <w:t>Безсъние, промени в настроението (включително тревожност), депресия</w:t>
            </w:r>
          </w:p>
        </w:tc>
      </w:tr>
      <w:tr w:rsidR="0059764A" w14:paraId="4037ACB4" w14:textId="77777777" w:rsidTr="0059764A">
        <w:tc>
          <w:tcPr>
            <w:tcW w:w="2375" w:type="dxa"/>
            <w:vMerge/>
          </w:tcPr>
          <w:p w14:paraId="036BC9EE" w14:textId="77777777" w:rsidR="0059764A" w:rsidRDefault="0059764A" w:rsidP="0059764A">
            <w:pPr>
              <w:spacing w:line="240" w:lineRule="auto"/>
              <w:rPr>
                <w:rFonts w:eastAsia="Times New Roman" w:cs="Arial"/>
                <w:sz w:val="24"/>
                <w:szCs w:val="24"/>
                <w:lang w:eastAsia="bg-BG"/>
              </w:rPr>
            </w:pPr>
          </w:p>
        </w:tc>
        <w:tc>
          <w:tcPr>
            <w:tcW w:w="2375" w:type="dxa"/>
          </w:tcPr>
          <w:p w14:paraId="592E5DEA" w14:textId="55D86FD3" w:rsidR="0059764A" w:rsidRDefault="0059764A" w:rsidP="0059764A">
            <w:pPr>
              <w:spacing w:line="240" w:lineRule="auto"/>
              <w:rPr>
                <w:rFonts w:eastAsia="Times New Roman" w:cs="Arial"/>
                <w:sz w:val="24"/>
                <w:szCs w:val="24"/>
                <w:lang w:eastAsia="bg-BG"/>
              </w:rPr>
            </w:pPr>
            <w:r>
              <w:t>Редки</w:t>
            </w:r>
          </w:p>
        </w:tc>
        <w:tc>
          <w:tcPr>
            <w:tcW w:w="2375" w:type="dxa"/>
          </w:tcPr>
          <w:p w14:paraId="62D5CB86" w14:textId="6B46DCCC" w:rsidR="0059764A" w:rsidRDefault="0059764A" w:rsidP="0059764A">
            <w:pPr>
              <w:spacing w:line="240" w:lineRule="auto"/>
              <w:rPr>
                <w:rFonts w:eastAsia="Times New Roman" w:cs="Arial"/>
                <w:sz w:val="24"/>
                <w:szCs w:val="24"/>
                <w:lang w:eastAsia="bg-BG"/>
              </w:rPr>
            </w:pPr>
            <w:r>
              <w:t>Състояние на обърканост</w:t>
            </w:r>
          </w:p>
        </w:tc>
        <w:tc>
          <w:tcPr>
            <w:tcW w:w="2375" w:type="dxa"/>
          </w:tcPr>
          <w:p w14:paraId="3EEDB4A3" w14:textId="18917493" w:rsidR="0059764A" w:rsidRDefault="0059764A" w:rsidP="0059764A">
            <w:pPr>
              <w:spacing w:line="240" w:lineRule="auto"/>
              <w:rPr>
                <w:rFonts w:eastAsia="Times New Roman" w:cs="Arial"/>
                <w:sz w:val="24"/>
                <w:szCs w:val="24"/>
                <w:lang w:eastAsia="bg-BG"/>
              </w:rPr>
            </w:pPr>
            <w:r>
              <w:t>Обърканост</w:t>
            </w:r>
          </w:p>
        </w:tc>
      </w:tr>
      <w:tr w:rsidR="0059764A" w14:paraId="3CD158E9" w14:textId="77777777" w:rsidTr="006762E4">
        <w:tc>
          <w:tcPr>
            <w:tcW w:w="2375" w:type="dxa"/>
            <w:vMerge/>
          </w:tcPr>
          <w:p w14:paraId="32E946EA"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3A524A76" w14:textId="22A0C256" w:rsidR="0059764A" w:rsidRDefault="0059764A" w:rsidP="0059764A">
            <w:pPr>
              <w:spacing w:line="240" w:lineRule="auto"/>
              <w:rPr>
                <w:rFonts w:eastAsia="Times New Roman" w:cs="Arial"/>
                <w:sz w:val="24"/>
                <w:szCs w:val="24"/>
                <w:lang w:eastAsia="bg-BG"/>
              </w:rPr>
            </w:pPr>
            <w:r>
              <w:t>С неизвестна честота</w:t>
            </w:r>
          </w:p>
        </w:tc>
        <w:tc>
          <w:tcPr>
            <w:tcW w:w="2375" w:type="dxa"/>
            <w:vAlign w:val="bottom"/>
          </w:tcPr>
          <w:p w14:paraId="01FF6757" w14:textId="0C4C1884" w:rsidR="0059764A" w:rsidRDefault="0059764A" w:rsidP="0059764A">
            <w:pPr>
              <w:spacing w:line="240" w:lineRule="auto"/>
              <w:rPr>
                <w:rFonts w:eastAsia="Times New Roman" w:cs="Arial"/>
                <w:sz w:val="24"/>
                <w:szCs w:val="24"/>
                <w:lang w:eastAsia="bg-BG"/>
              </w:rPr>
            </w:pPr>
            <w:r>
              <w:t>Нарушение на вниманието</w:t>
            </w:r>
          </w:p>
        </w:tc>
        <w:tc>
          <w:tcPr>
            <w:tcW w:w="2375" w:type="dxa"/>
          </w:tcPr>
          <w:p w14:paraId="3E2C193F" w14:textId="77777777" w:rsidR="0059764A" w:rsidRDefault="0059764A" w:rsidP="0059764A">
            <w:pPr>
              <w:spacing w:line="240" w:lineRule="auto"/>
              <w:rPr>
                <w:rFonts w:eastAsia="Times New Roman" w:cs="Arial"/>
                <w:sz w:val="24"/>
                <w:szCs w:val="24"/>
                <w:lang w:eastAsia="bg-BG"/>
              </w:rPr>
            </w:pPr>
          </w:p>
        </w:tc>
      </w:tr>
      <w:tr w:rsidR="0059764A" w14:paraId="6E72A9FE" w14:textId="77777777" w:rsidTr="006762E4">
        <w:tc>
          <w:tcPr>
            <w:tcW w:w="2375" w:type="dxa"/>
            <w:vMerge w:val="restart"/>
          </w:tcPr>
          <w:p w14:paraId="464CB704" w14:textId="5E552710" w:rsidR="0059764A" w:rsidRDefault="0059764A" w:rsidP="0059764A">
            <w:pPr>
              <w:spacing w:line="240" w:lineRule="auto"/>
              <w:rPr>
                <w:rFonts w:eastAsia="Times New Roman" w:cs="Arial"/>
                <w:sz w:val="24"/>
                <w:szCs w:val="24"/>
                <w:lang w:eastAsia="bg-BG"/>
              </w:rPr>
            </w:pPr>
            <w:r>
              <w:lastRenderedPageBreak/>
              <w:t>Нарушения на нервната система</w:t>
            </w:r>
          </w:p>
        </w:tc>
        <w:tc>
          <w:tcPr>
            <w:tcW w:w="2375" w:type="dxa"/>
          </w:tcPr>
          <w:p w14:paraId="0815DC2A" w14:textId="03C889FA" w:rsidR="0059764A" w:rsidRDefault="0059764A" w:rsidP="0059764A">
            <w:pPr>
              <w:spacing w:line="240" w:lineRule="auto"/>
              <w:rPr>
                <w:rFonts w:eastAsia="Times New Roman" w:cs="Arial"/>
                <w:sz w:val="24"/>
                <w:szCs w:val="24"/>
                <w:lang w:eastAsia="bg-BG"/>
              </w:rPr>
            </w:pPr>
            <w:r>
              <w:t>Чести</w:t>
            </w:r>
          </w:p>
        </w:tc>
        <w:tc>
          <w:tcPr>
            <w:tcW w:w="2375" w:type="dxa"/>
          </w:tcPr>
          <w:p w14:paraId="49ABE437" w14:textId="3F61E448" w:rsidR="0059764A" w:rsidRDefault="0059764A" w:rsidP="0059764A">
            <w:pPr>
              <w:spacing w:line="240" w:lineRule="auto"/>
              <w:rPr>
                <w:rFonts w:eastAsia="Times New Roman" w:cs="Arial"/>
                <w:sz w:val="24"/>
                <w:szCs w:val="24"/>
                <w:lang w:eastAsia="bg-BG"/>
              </w:rPr>
            </w:pPr>
            <w:r>
              <w:t>Главоболие, замаяност</w:t>
            </w:r>
          </w:p>
        </w:tc>
        <w:tc>
          <w:tcPr>
            <w:tcW w:w="2375" w:type="dxa"/>
            <w:vAlign w:val="bottom"/>
          </w:tcPr>
          <w:p w14:paraId="625EEB38" w14:textId="297F7B4B" w:rsidR="0059764A" w:rsidRDefault="0059764A" w:rsidP="0059764A">
            <w:pPr>
              <w:spacing w:line="240" w:lineRule="auto"/>
              <w:rPr>
                <w:rFonts w:eastAsia="Times New Roman" w:cs="Arial"/>
                <w:sz w:val="24"/>
                <w:szCs w:val="24"/>
                <w:lang w:eastAsia="bg-BG"/>
              </w:rPr>
            </w:pPr>
            <w:r>
              <w:t>Сомнолентност, замаяност, главоболие (особено в началото на лечението)</w:t>
            </w:r>
          </w:p>
        </w:tc>
      </w:tr>
      <w:tr w:rsidR="0059764A" w14:paraId="6D72FECB" w14:textId="77777777" w:rsidTr="006762E4">
        <w:tc>
          <w:tcPr>
            <w:tcW w:w="2375" w:type="dxa"/>
            <w:vMerge/>
          </w:tcPr>
          <w:p w14:paraId="3FF06FA2" w14:textId="77777777" w:rsidR="0059764A" w:rsidRDefault="0059764A" w:rsidP="0059764A">
            <w:pPr>
              <w:spacing w:line="240" w:lineRule="auto"/>
              <w:rPr>
                <w:rFonts w:eastAsia="Times New Roman" w:cs="Arial"/>
                <w:sz w:val="24"/>
                <w:szCs w:val="24"/>
                <w:lang w:eastAsia="bg-BG"/>
              </w:rPr>
            </w:pPr>
          </w:p>
        </w:tc>
        <w:tc>
          <w:tcPr>
            <w:tcW w:w="2375" w:type="dxa"/>
          </w:tcPr>
          <w:p w14:paraId="05F76529" w14:textId="1AA9BD9F" w:rsidR="0059764A" w:rsidRDefault="0059764A" w:rsidP="0059764A">
            <w:pPr>
              <w:spacing w:line="240" w:lineRule="auto"/>
              <w:rPr>
                <w:rFonts w:eastAsia="Times New Roman" w:cs="Arial"/>
                <w:sz w:val="24"/>
                <w:szCs w:val="24"/>
                <w:lang w:eastAsia="bg-BG"/>
              </w:rPr>
            </w:pPr>
            <w:r>
              <w:t>Нечести</w:t>
            </w:r>
          </w:p>
        </w:tc>
        <w:tc>
          <w:tcPr>
            <w:tcW w:w="2375" w:type="dxa"/>
          </w:tcPr>
          <w:p w14:paraId="7EF0780F" w14:textId="7CDC3A46" w:rsidR="0059764A" w:rsidRDefault="0059764A" w:rsidP="0059764A">
            <w:pPr>
              <w:spacing w:line="240" w:lineRule="auto"/>
              <w:rPr>
                <w:rFonts w:eastAsia="Times New Roman" w:cs="Arial"/>
                <w:sz w:val="24"/>
                <w:szCs w:val="24"/>
                <w:lang w:eastAsia="bg-BG"/>
              </w:rPr>
            </w:pPr>
            <w:r>
              <w:t>Вертиго, парестезия, агеузия, дисгеузия</w:t>
            </w:r>
          </w:p>
        </w:tc>
        <w:tc>
          <w:tcPr>
            <w:tcW w:w="2375" w:type="dxa"/>
            <w:vAlign w:val="bottom"/>
          </w:tcPr>
          <w:p w14:paraId="6A3AD10E" w14:textId="27B49481" w:rsidR="0059764A" w:rsidRDefault="0059764A" w:rsidP="0059764A">
            <w:pPr>
              <w:spacing w:line="240" w:lineRule="auto"/>
              <w:rPr>
                <w:rFonts w:eastAsia="Times New Roman" w:cs="Arial"/>
                <w:sz w:val="24"/>
                <w:szCs w:val="24"/>
                <w:lang w:eastAsia="bg-BG"/>
              </w:rPr>
            </w:pPr>
            <w:r>
              <w:t>Тремор, дисгеузия, синкоп, хипоестезия, парестезия</w:t>
            </w:r>
          </w:p>
        </w:tc>
      </w:tr>
      <w:tr w:rsidR="0059764A" w14:paraId="66B0072A" w14:textId="77777777" w:rsidTr="006762E4">
        <w:tc>
          <w:tcPr>
            <w:tcW w:w="2375" w:type="dxa"/>
            <w:vMerge/>
          </w:tcPr>
          <w:p w14:paraId="6FA5A37C" w14:textId="77777777" w:rsidR="0059764A" w:rsidRDefault="0059764A" w:rsidP="0059764A">
            <w:pPr>
              <w:spacing w:line="240" w:lineRule="auto"/>
              <w:rPr>
                <w:rFonts w:eastAsia="Times New Roman" w:cs="Arial"/>
                <w:sz w:val="24"/>
                <w:szCs w:val="24"/>
                <w:lang w:eastAsia="bg-BG"/>
              </w:rPr>
            </w:pPr>
          </w:p>
        </w:tc>
        <w:tc>
          <w:tcPr>
            <w:tcW w:w="2375" w:type="dxa"/>
          </w:tcPr>
          <w:p w14:paraId="407DC20F" w14:textId="55B1E31E" w:rsidR="0059764A" w:rsidRDefault="0059764A" w:rsidP="0059764A">
            <w:pPr>
              <w:spacing w:line="240" w:lineRule="auto"/>
              <w:rPr>
                <w:rFonts w:eastAsia="Times New Roman" w:cs="Arial"/>
                <w:sz w:val="24"/>
                <w:szCs w:val="24"/>
                <w:lang w:eastAsia="bg-BG"/>
              </w:rPr>
            </w:pPr>
            <w:r>
              <w:t>Редки</w:t>
            </w:r>
          </w:p>
        </w:tc>
        <w:tc>
          <w:tcPr>
            <w:tcW w:w="2375" w:type="dxa"/>
            <w:vAlign w:val="bottom"/>
          </w:tcPr>
          <w:p w14:paraId="338A9696" w14:textId="2462CFF7" w:rsidR="0059764A" w:rsidRDefault="0059764A" w:rsidP="0059764A">
            <w:pPr>
              <w:spacing w:line="240" w:lineRule="auto"/>
              <w:rPr>
                <w:rFonts w:eastAsia="Times New Roman" w:cs="Arial"/>
                <w:sz w:val="24"/>
                <w:szCs w:val="24"/>
                <w:lang w:eastAsia="bg-BG"/>
              </w:rPr>
            </w:pPr>
            <w:r>
              <w:t>Тремор, нарушено равновесие</w:t>
            </w:r>
          </w:p>
        </w:tc>
        <w:tc>
          <w:tcPr>
            <w:tcW w:w="2375" w:type="dxa"/>
          </w:tcPr>
          <w:p w14:paraId="66BFC9DD" w14:textId="77777777" w:rsidR="0059764A" w:rsidRDefault="0059764A" w:rsidP="0059764A">
            <w:pPr>
              <w:spacing w:line="240" w:lineRule="auto"/>
              <w:rPr>
                <w:rFonts w:eastAsia="Times New Roman" w:cs="Arial"/>
                <w:sz w:val="24"/>
                <w:szCs w:val="24"/>
                <w:lang w:eastAsia="bg-BG"/>
              </w:rPr>
            </w:pPr>
          </w:p>
        </w:tc>
      </w:tr>
      <w:tr w:rsidR="0059764A" w14:paraId="3D73D118" w14:textId="77777777" w:rsidTr="006762E4">
        <w:tc>
          <w:tcPr>
            <w:tcW w:w="2375" w:type="dxa"/>
            <w:vMerge/>
          </w:tcPr>
          <w:p w14:paraId="0A0FB4F9" w14:textId="77777777" w:rsidR="0059764A" w:rsidRDefault="0059764A" w:rsidP="0059764A">
            <w:pPr>
              <w:spacing w:line="240" w:lineRule="auto"/>
              <w:rPr>
                <w:rFonts w:eastAsia="Times New Roman" w:cs="Arial"/>
                <w:sz w:val="24"/>
                <w:szCs w:val="24"/>
                <w:lang w:eastAsia="bg-BG"/>
              </w:rPr>
            </w:pPr>
          </w:p>
        </w:tc>
        <w:tc>
          <w:tcPr>
            <w:tcW w:w="2375" w:type="dxa"/>
          </w:tcPr>
          <w:p w14:paraId="179E585A" w14:textId="7DD0F6F1" w:rsidR="0059764A" w:rsidRDefault="0059764A" w:rsidP="0059764A">
            <w:pPr>
              <w:spacing w:line="240" w:lineRule="auto"/>
              <w:rPr>
                <w:rFonts w:eastAsia="Times New Roman" w:cs="Arial"/>
                <w:sz w:val="24"/>
                <w:szCs w:val="24"/>
                <w:lang w:eastAsia="bg-BG"/>
              </w:rPr>
            </w:pPr>
            <w:r>
              <w:t>Много редки</w:t>
            </w:r>
          </w:p>
        </w:tc>
        <w:tc>
          <w:tcPr>
            <w:tcW w:w="2375" w:type="dxa"/>
          </w:tcPr>
          <w:p w14:paraId="30B02866"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710A9144" w14:textId="549E6EF0" w:rsidR="0059764A" w:rsidRDefault="0059764A" w:rsidP="0059764A">
            <w:pPr>
              <w:spacing w:line="240" w:lineRule="auto"/>
              <w:rPr>
                <w:rFonts w:eastAsia="Times New Roman" w:cs="Arial"/>
                <w:sz w:val="24"/>
                <w:szCs w:val="24"/>
                <w:lang w:eastAsia="bg-BG"/>
              </w:rPr>
            </w:pPr>
            <w:r>
              <w:t>Хипертония, Периферна невропатия</w:t>
            </w:r>
          </w:p>
        </w:tc>
      </w:tr>
      <w:tr w:rsidR="0059764A" w14:paraId="37F813C9" w14:textId="77777777" w:rsidTr="006762E4">
        <w:tc>
          <w:tcPr>
            <w:tcW w:w="2375" w:type="dxa"/>
            <w:vMerge/>
          </w:tcPr>
          <w:p w14:paraId="1F295512" w14:textId="77777777" w:rsidR="0059764A" w:rsidRDefault="0059764A" w:rsidP="0059764A">
            <w:pPr>
              <w:spacing w:line="240" w:lineRule="auto"/>
              <w:rPr>
                <w:rFonts w:eastAsia="Times New Roman" w:cs="Arial"/>
                <w:sz w:val="24"/>
                <w:szCs w:val="24"/>
                <w:lang w:eastAsia="bg-BG"/>
              </w:rPr>
            </w:pPr>
          </w:p>
        </w:tc>
        <w:tc>
          <w:tcPr>
            <w:tcW w:w="2375" w:type="dxa"/>
          </w:tcPr>
          <w:p w14:paraId="0FB154BB" w14:textId="5D12E2E6" w:rsidR="0059764A" w:rsidRDefault="0059764A" w:rsidP="0059764A">
            <w:pPr>
              <w:spacing w:line="240" w:lineRule="auto"/>
              <w:rPr>
                <w:rFonts w:eastAsia="Times New Roman" w:cs="Arial"/>
                <w:sz w:val="24"/>
                <w:szCs w:val="24"/>
                <w:lang w:eastAsia="bg-BG"/>
              </w:rPr>
            </w:pPr>
            <w:r>
              <w:t>С неизвестна честота</w:t>
            </w:r>
          </w:p>
        </w:tc>
        <w:tc>
          <w:tcPr>
            <w:tcW w:w="2375" w:type="dxa"/>
            <w:vAlign w:val="bottom"/>
          </w:tcPr>
          <w:p w14:paraId="210C3E76" w14:textId="3897791B" w:rsidR="0059764A" w:rsidRDefault="0059764A" w:rsidP="0059764A">
            <w:pPr>
              <w:spacing w:line="240" w:lineRule="auto"/>
              <w:rPr>
                <w:rFonts w:eastAsia="Times New Roman" w:cs="Arial"/>
                <w:sz w:val="24"/>
                <w:szCs w:val="24"/>
                <w:lang w:eastAsia="bg-BG"/>
              </w:rPr>
            </w:pPr>
            <w:r>
              <w:t>Мозъчна исхемия, вкл. исхемичен инсулт и преходен исхемичен пристъп, увредени психомоторни умения, чувство на парене, паросмия</w:t>
            </w:r>
          </w:p>
        </w:tc>
        <w:tc>
          <w:tcPr>
            <w:tcW w:w="2375" w:type="dxa"/>
          </w:tcPr>
          <w:p w14:paraId="6DC4F501" w14:textId="260DDBB3" w:rsidR="0059764A" w:rsidRDefault="0059764A" w:rsidP="0059764A">
            <w:pPr>
              <w:spacing w:line="240" w:lineRule="auto"/>
              <w:rPr>
                <w:rFonts w:eastAsia="Times New Roman" w:cs="Arial"/>
                <w:sz w:val="24"/>
                <w:szCs w:val="24"/>
                <w:lang w:eastAsia="bg-BG"/>
              </w:rPr>
            </w:pPr>
            <w:r>
              <w:t>Екстрапирамидни нарушения</w:t>
            </w:r>
          </w:p>
        </w:tc>
      </w:tr>
      <w:tr w:rsidR="0059764A" w14:paraId="7DE0EA4F" w14:textId="77777777" w:rsidTr="006762E4">
        <w:tc>
          <w:tcPr>
            <w:tcW w:w="2375" w:type="dxa"/>
            <w:vMerge w:val="restart"/>
          </w:tcPr>
          <w:p w14:paraId="431BD991" w14:textId="7CB2222A" w:rsidR="0059764A" w:rsidRDefault="0059764A" w:rsidP="0059764A">
            <w:pPr>
              <w:spacing w:line="240" w:lineRule="auto"/>
              <w:rPr>
                <w:rFonts w:eastAsia="Times New Roman" w:cs="Arial"/>
                <w:sz w:val="24"/>
                <w:szCs w:val="24"/>
                <w:lang w:eastAsia="bg-BG"/>
              </w:rPr>
            </w:pPr>
            <w:r>
              <w:t>Нарушения на очите</w:t>
            </w:r>
          </w:p>
        </w:tc>
        <w:tc>
          <w:tcPr>
            <w:tcW w:w="2375" w:type="dxa"/>
          </w:tcPr>
          <w:p w14:paraId="1E765776" w14:textId="58D591AE" w:rsidR="0059764A" w:rsidRDefault="0059764A" w:rsidP="0059764A">
            <w:pPr>
              <w:spacing w:line="240" w:lineRule="auto"/>
              <w:rPr>
                <w:rFonts w:eastAsia="Times New Roman" w:cs="Arial"/>
                <w:sz w:val="24"/>
                <w:szCs w:val="24"/>
                <w:lang w:eastAsia="bg-BG"/>
              </w:rPr>
            </w:pPr>
            <w:r>
              <w:t>Нечести</w:t>
            </w:r>
          </w:p>
        </w:tc>
        <w:tc>
          <w:tcPr>
            <w:tcW w:w="2375" w:type="dxa"/>
            <w:vAlign w:val="bottom"/>
          </w:tcPr>
          <w:p w14:paraId="3D05FDCB" w14:textId="144293C2" w:rsidR="0059764A" w:rsidRDefault="0059764A" w:rsidP="0059764A">
            <w:pPr>
              <w:spacing w:line="240" w:lineRule="auto"/>
              <w:rPr>
                <w:rFonts w:eastAsia="Times New Roman" w:cs="Arial"/>
                <w:sz w:val="24"/>
                <w:szCs w:val="24"/>
                <w:lang w:eastAsia="bg-BG"/>
              </w:rPr>
            </w:pPr>
            <w:r>
              <w:t>Зрителни увреждания, вкл. замъглено зрение</w:t>
            </w:r>
          </w:p>
        </w:tc>
        <w:tc>
          <w:tcPr>
            <w:tcW w:w="2375" w:type="dxa"/>
            <w:vAlign w:val="bottom"/>
          </w:tcPr>
          <w:p w14:paraId="29E629DE" w14:textId="592B4142" w:rsidR="0059764A" w:rsidRDefault="0059764A" w:rsidP="0059764A">
            <w:pPr>
              <w:spacing w:line="240" w:lineRule="auto"/>
              <w:rPr>
                <w:rFonts w:eastAsia="Times New Roman" w:cs="Arial"/>
                <w:sz w:val="24"/>
                <w:szCs w:val="24"/>
                <w:lang w:eastAsia="bg-BG"/>
              </w:rPr>
            </w:pPr>
            <w:r>
              <w:t>Зрителни увреждания (вкл. диплопия)</w:t>
            </w:r>
          </w:p>
        </w:tc>
      </w:tr>
      <w:tr w:rsidR="0059764A" w14:paraId="4192CBA5" w14:textId="77777777" w:rsidTr="006762E4">
        <w:tc>
          <w:tcPr>
            <w:tcW w:w="2375" w:type="dxa"/>
            <w:vMerge/>
          </w:tcPr>
          <w:p w14:paraId="3889CF89"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19EB97E8" w14:textId="6B735B43" w:rsidR="0059764A" w:rsidRDefault="0059764A" w:rsidP="0059764A">
            <w:pPr>
              <w:spacing w:line="240" w:lineRule="auto"/>
              <w:rPr>
                <w:rFonts w:eastAsia="Times New Roman" w:cs="Arial"/>
                <w:sz w:val="24"/>
                <w:szCs w:val="24"/>
                <w:lang w:eastAsia="bg-BG"/>
              </w:rPr>
            </w:pPr>
            <w:r>
              <w:t>Редки</w:t>
            </w:r>
          </w:p>
        </w:tc>
        <w:tc>
          <w:tcPr>
            <w:tcW w:w="2375" w:type="dxa"/>
            <w:vAlign w:val="bottom"/>
          </w:tcPr>
          <w:p w14:paraId="7E2F70A6" w14:textId="438114D2" w:rsidR="0059764A" w:rsidRDefault="0059764A" w:rsidP="0059764A">
            <w:pPr>
              <w:spacing w:line="240" w:lineRule="auto"/>
              <w:rPr>
                <w:rFonts w:eastAsia="Times New Roman" w:cs="Arial"/>
                <w:sz w:val="24"/>
                <w:szCs w:val="24"/>
                <w:lang w:eastAsia="bg-BG"/>
              </w:rPr>
            </w:pPr>
            <w:r>
              <w:t>Конюнктивит</w:t>
            </w:r>
          </w:p>
        </w:tc>
        <w:tc>
          <w:tcPr>
            <w:tcW w:w="2375" w:type="dxa"/>
          </w:tcPr>
          <w:p w14:paraId="7D019A8B" w14:textId="77777777" w:rsidR="0059764A" w:rsidRDefault="0059764A" w:rsidP="0059764A">
            <w:pPr>
              <w:spacing w:line="240" w:lineRule="auto"/>
              <w:rPr>
                <w:rFonts w:eastAsia="Times New Roman" w:cs="Arial"/>
                <w:sz w:val="24"/>
                <w:szCs w:val="24"/>
                <w:lang w:eastAsia="bg-BG"/>
              </w:rPr>
            </w:pPr>
          </w:p>
        </w:tc>
      </w:tr>
      <w:tr w:rsidR="0059764A" w14:paraId="0DD173EB" w14:textId="77777777" w:rsidTr="006762E4">
        <w:tc>
          <w:tcPr>
            <w:tcW w:w="2375" w:type="dxa"/>
            <w:vMerge w:val="restart"/>
            <w:vAlign w:val="bottom"/>
          </w:tcPr>
          <w:p w14:paraId="379B4A3D" w14:textId="4A08A351" w:rsidR="0059764A" w:rsidRDefault="0059764A" w:rsidP="0059764A">
            <w:pPr>
              <w:spacing w:line="240" w:lineRule="auto"/>
              <w:rPr>
                <w:rFonts w:eastAsia="Times New Roman" w:cs="Arial"/>
                <w:sz w:val="24"/>
                <w:szCs w:val="24"/>
                <w:lang w:eastAsia="bg-BG"/>
              </w:rPr>
            </w:pPr>
            <w:r>
              <w:t>Нарушения на ухото и лабиринта</w:t>
            </w:r>
          </w:p>
        </w:tc>
        <w:tc>
          <w:tcPr>
            <w:tcW w:w="2375" w:type="dxa"/>
            <w:vAlign w:val="bottom"/>
          </w:tcPr>
          <w:p w14:paraId="5B7BE312" w14:textId="486E2AE6" w:rsidR="0059764A" w:rsidRDefault="0059764A" w:rsidP="0059764A">
            <w:pPr>
              <w:spacing w:line="240" w:lineRule="auto"/>
              <w:rPr>
                <w:rFonts w:eastAsia="Times New Roman" w:cs="Arial"/>
                <w:sz w:val="24"/>
                <w:szCs w:val="24"/>
                <w:lang w:eastAsia="bg-BG"/>
              </w:rPr>
            </w:pPr>
            <w:r>
              <w:t>Нечести</w:t>
            </w:r>
          </w:p>
        </w:tc>
        <w:tc>
          <w:tcPr>
            <w:tcW w:w="2375" w:type="dxa"/>
          </w:tcPr>
          <w:p w14:paraId="3AC30C5F"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67BE6264" w14:textId="4570968A" w:rsidR="0059764A" w:rsidRDefault="0059764A" w:rsidP="0059764A">
            <w:pPr>
              <w:spacing w:line="240" w:lineRule="auto"/>
              <w:rPr>
                <w:rFonts w:eastAsia="Times New Roman" w:cs="Arial"/>
                <w:sz w:val="24"/>
                <w:szCs w:val="24"/>
                <w:lang w:eastAsia="bg-BG"/>
              </w:rPr>
            </w:pPr>
            <w:r>
              <w:t>Тинитус</w:t>
            </w:r>
          </w:p>
        </w:tc>
      </w:tr>
      <w:tr w:rsidR="0059764A" w14:paraId="42D37223" w14:textId="77777777" w:rsidTr="006762E4">
        <w:tc>
          <w:tcPr>
            <w:tcW w:w="2375" w:type="dxa"/>
            <w:vMerge/>
            <w:vAlign w:val="bottom"/>
          </w:tcPr>
          <w:p w14:paraId="3758ACD4"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5FEB0C2B" w14:textId="0B4C15EF" w:rsidR="0059764A" w:rsidRDefault="0059764A" w:rsidP="0059764A">
            <w:pPr>
              <w:spacing w:line="240" w:lineRule="auto"/>
              <w:rPr>
                <w:rFonts w:eastAsia="Times New Roman" w:cs="Arial"/>
                <w:sz w:val="24"/>
                <w:szCs w:val="24"/>
                <w:lang w:eastAsia="bg-BG"/>
              </w:rPr>
            </w:pPr>
            <w:r>
              <w:t>Редки</w:t>
            </w:r>
          </w:p>
        </w:tc>
        <w:tc>
          <w:tcPr>
            <w:tcW w:w="2375" w:type="dxa"/>
            <w:vAlign w:val="bottom"/>
          </w:tcPr>
          <w:p w14:paraId="573EAE94" w14:textId="00F23796" w:rsidR="0059764A" w:rsidRDefault="0059764A" w:rsidP="0059764A">
            <w:pPr>
              <w:spacing w:line="240" w:lineRule="auto"/>
              <w:rPr>
                <w:rFonts w:eastAsia="Times New Roman" w:cs="Arial"/>
                <w:sz w:val="24"/>
                <w:szCs w:val="24"/>
                <w:lang w:eastAsia="bg-BG"/>
              </w:rPr>
            </w:pPr>
            <w:r>
              <w:t>Увреден слух, тинитус</w:t>
            </w:r>
          </w:p>
        </w:tc>
        <w:tc>
          <w:tcPr>
            <w:tcW w:w="2375" w:type="dxa"/>
          </w:tcPr>
          <w:p w14:paraId="1ABC3F41" w14:textId="77777777" w:rsidR="0059764A" w:rsidRDefault="0059764A" w:rsidP="0059764A">
            <w:pPr>
              <w:spacing w:line="240" w:lineRule="auto"/>
              <w:rPr>
                <w:rFonts w:eastAsia="Times New Roman" w:cs="Arial"/>
                <w:sz w:val="24"/>
                <w:szCs w:val="24"/>
                <w:lang w:eastAsia="bg-BG"/>
              </w:rPr>
            </w:pPr>
          </w:p>
        </w:tc>
      </w:tr>
      <w:tr w:rsidR="0059764A" w14:paraId="53927FC8" w14:textId="77777777" w:rsidTr="001665D1">
        <w:tc>
          <w:tcPr>
            <w:tcW w:w="2375" w:type="dxa"/>
            <w:vMerge w:val="restart"/>
          </w:tcPr>
          <w:p w14:paraId="44CE742B" w14:textId="3FB0AA24" w:rsidR="0059764A" w:rsidRDefault="0059764A" w:rsidP="0059764A">
            <w:pPr>
              <w:spacing w:line="240" w:lineRule="auto"/>
              <w:rPr>
                <w:rFonts w:eastAsia="Times New Roman" w:cs="Arial"/>
                <w:sz w:val="24"/>
                <w:szCs w:val="24"/>
                <w:lang w:eastAsia="bg-BG"/>
              </w:rPr>
            </w:pPr>
            <w:r>
              <w:t>Сърдечни нарушения</w:t>
            </w:r>
          </w:p>
        </w:tc>
        <w:tc>
          <w:tcPr>
            <w:tcW w:w="2375" w:type="dxa"/>
            <w:vAlign w:val="bottom"/>
          </w:tcPr>
          <w:p w14:paraId="3F4B6C17" w14:textId="777C0051" w:rsidR="0059764A" w:rsidRDefault="0059764A" w:rsidP="0059764A">
            <w:pPr>
              <w:spacing w:line="240" w:lineRule="auto"/>
              <w:rPr>
                <w:rFonts w:eastAsia="Times New Roman" w:cs="Arial"/>
                <w:sz w:val="24"/>
                <w:szCs w:val="24"/>
                <w:lang w:eastAsia="bg-BG"/>
              </w:rPr>
            </w:pPr>
            <w:r>
              <w:t>Чести</w:t>
            </w:r>
          </w:p>
        </w:tc>
        <w:tc>
          <w:tcPr>
            <w:tcW w:w="2375" w:type="dxa"/>
          </w:tcPr>
          <w:p w14:paraId="4B7E795C"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4E029171" w14:textId="6B250A13" w:rsidR="0059764A" w:rsidRDefault="0059764A" w:rsidP="0059764A">
            <w:pPr>
              <w:spacing w:line="240" w:lineRule="auto"/>
              <w:rPr>
                <w:rFonts w:eastAsia="Times New Roman" w:cs="Arial"/>
                <w:sz w:val="24"/>
                <w:szCs w:val="24"/>
                <w:lang w:eastAsia="bg-BG"/>
              </w:rPr>
            </w:pPr>
            <w:r>
              <w:t>Палпитации</w:t>
            </w:r>
          </w:p>
        </w:tc>
      </w:tr>
      <w:tr w:rsidR="0059764A" w14:paraId="243908CF" w14:textId="77777777" w:rsidTr="0059764A">
        <w:tc>
          <w:tcPr>
            <w:tcW w:w="2375" w:type="dxa"/>
            <w:vMerge/>
          </w:tcPr>
          <w:p w14:paraId="363CEC6E" w14:textId="77777777" w:rsidR="0059764A" w:rsidRDefault="0059764A" w:rsidP="0059764A">
            <w:pPr>
              <w:spacing w:line="240" w:lineRule="auto"/>
              <w:rPr>
                <w:rFonts w:eastAsia="Times New Roman" w:cs="Arial"/>
                <w:sz w:val="24"/>
                <w:szCs w:val="24"/>
                <w:lang w:eastAsia="bg-BG"/>
              </w:rPr>
            </w:pPr>
          </w:p>
        </w:tc>
        <w:tc>
          <w:tcPr>
            <w:tcW w:w="2375" w:type="dxa"/>
          </w:tcPr>
          <w:p w14:paraId="5A470A75" w14:textId="0700756A" w:rsidR="0059764A" w:rsidRDefault="0059764A" w:rsidP="0059764A">
            <w:pPr>
              <w:spacing w:line="240" w:lineRule="auto"/>
              <w:rPr>
                <w:rFonts w:eastAsia="Times New Roman" w:cs="Arial"/>
                <w:sz w:val="24"/>
                <w:szCs w:val="24"/>
                <w:lang w:eastAsia="bg-BG"/>
              </w:rPr>
            </w:pPr>
            <w:r>
              <w:t>Нечести</w:t>
            </w:r>
          </w:p>
        </w:tc>
        <w:tc>
          <w:tcPr>
            <w:tcW w:w="2375" w:type="dxa"/>
          </w:tcPr>
          <w:p w14:paraId="726903D1" w14:textId="37A51663" w:rsidR="0059764A" w:rsidRDefault="0059764A" w:rsidP="0059764A">
            <w:pPr>
              <w:spacing w:line="240" w:lineRule="auto"/>
              <w:rPr>
                <w:rFonts w:eastAsia="Times New Roman" w:cs="Arial"/>
                <w:sz w:val="24"/>
                <w:szCs w:val="24"/>
                <w:lang w:eastAsia="bg-BG"/>
              </w:rPr>
            </w:pPr>
            <w:r>
              <w:t>Миокардна исхемия, вкл. стенокардия или миокарден инфаркт, тахикардия, аритмия, палпитации, периферен оток</w:t>
            </w:r>
          </w:p>
        </w:tc>
        <w:tc>
          <w:tcPr>
            <w:tcW w:w="2375" w:type="dxa"/>
          </w:tcPr>
          <w:p w14:paraId="41C4568C" w14:textId="77777777" w:rsidR="0059764A" w:rsidRDefault="0059764A" w:rsidP="0059764A">
            <w:pPr>
              <w:spacing w:line="240" w:lineRule="auto"/>
              <w:rPr>
                <w:rFonts w:eastAsia="Times New Roman" w:cs="Arial"/>
                <w:sz w:val="24"/>
                <w:szCs w:val="24"/>
                <w:lang w:eastAsia="bg-BG"/>
              </w:rPr>
            </w:pPr>
          </w:p>
        </w:tc>
      </w:tr>
      <w:tr w:rsidR="0059764A" w14:paraId="23DD3912" w14:textId="77777777" w:rsidTr="001665D1">
        <w:tc>
          <w:tcPr>
            <w:tcW w:w="2375" w:type="dxa"/>
            <w:vMerge/>
          </w:tcPr>
          <w:p w14:paraId="3B13BFC5" w14:textId="77777777" w:rsidR="0059764A" w:rsidRDefault="0059764A" w:rsidP="0059764A">
            <w:pPr>
              <w:spacing w:line="240" w:lineRule="auto"/>
              <w:rPr>
                <w:rFonts w:eastAsia="Times New Roman" w:cs="Arial"/>
                <w:sz w:val="24"/>
                <w:szCs w:val="24"/>
                <w:lang w:eastAsia="bg-BG"/>
              </w:rPr>
            </w:pPr>
          </w:p>
        </w:tc>
        <w:tc>
          <w:tcPr>
            <w:tcW w:w="2375" w:type="dxa"/>
          </w:tcPr>
          <w:p w14:paraId="7FB0C8D8" w14:textId="53589441" w:rsidR="0059764A" w:rsidRDefault="0059764A" w:rsidP="0059764A">
            <w:pPr>
              <w:spacing w:line="240" w:lineRule="auto"/>
              <w:rPr>
                <w:rFonts w:eastAsia="Times New Roman" w:cs="Arial"/>
                <w:sz w:val="24"/>
                <w:szCs w:val="24"/>
                <w:lang w:eastAsia="bg-BG"/>
              </w:rPr>
            </w:pPr>
            <w:r>
              <w:t>Много редки</w:t>
            </w:r>
          </w:p>
        </w:tc>
        <w:tc>
          <w:tcPr>
            <w:tcW w:w="2375" w:type="dxa"/>
          </w:tcPr>
          <w:p w14:paraId="3C161655"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36638B21" w14:textId="083C559D" w:rsidR="0059764A" w:rsidRDefault="0059764A" w:rsidP="0059764A">
            <w:pPr>
              <w:spacing w:line="240" w:lineRule="auto"/>
              <w:rPr>
                <w:rFonts w:eastAsia="Times New Roman" w:cs="Arial"/>
                <w:sz w:val="24"/>
                <w:szCs w:val="24"/>
                <w:lang w:eastAsia="bg-BG"/>
              </w:rPr>
            </w:pPr>
            <w:r>
              <w:t>Миокарден инфаркт, аритмия, (вкл. брадикардия, камерна тахикардия и предсърдно мъждене)</w:t>
            </w:r>
          </w:p>
        </w:tc>
      </w:tr>
      <w:tr w:rsidR="0059764A" w14:paraId="3D99FA98" w14:textId="77777777" w:rsidTr="001665D1">
        <w:tc>
          <w:tcPr>
            <w:tcW w:w="2375" w:type="dxa"/>
            <w:vMerge w:val="restart"/>
          </w:tcPr>
          <w:p w14:paraId="78E33756" w14:textId="0DAD0CE7" w:rsidR="0059764A" w:rsidRDefault="0059764A" w:rsidP="0059764A">
            <w:pPr>
              <w:spacing w:line="240" w:lineRule="auto"/>
              <w:rPr>
                <w:rFonts w:eastAsia="Times New Roman" w:cs="Arial"/>
                <w:sz w:val="24"/>
                <w:szCs w:val="24"/>
                <w:lang w:eastAsia="bg-BG"/>
              </w:rPr>
            </w:pPr>
            <w:r>
              <w:t>Съдови нарушения</w:t>
            </w:r>
          </w:p>
        </w:tc>
        <w:tc>
          <w:tcPr>
            <w:tcW w:w="2375" w:type="dxa"/>
          </w:tcPr>
          <w:p w14:paraId="3FCEC93D" w14:textId="42D4BB7B" w:rsidR="0059764A" w:rsidRDefault="0059764A" w:rsidP="0059764A">
            <w:pPr>
              <w:spacing w:line="240" w:lineRule="auto"/>
              <w:rPr>
                <w:rFonts w:eastAsia="Times New Roman" w:cs="Arial"/>
                <w:sz w:val="24"/>
                <w:szCs w:val="24"/>
                <w:lang w:eastAsia="bg-BG"/>
              </w:rPr>
            </w:pPr>
            <w:r>
              <w:t>Чести</w:t>
            </w:r>
          </w:p>
        </w:tc>
        <w:tc>
          <w:tcPr>
            <w:tcW w:w="2375" w:type="dxa"/>
            <w:vAlign w:val="bottom"/>
          </w:tcPr>
          <w:p w14:paraId="7B0B11AF" w14:textId="7629350C" w:rsidR="0059764A" w:rsidRDefault="0059764A" w:rsidP="0059764A">
            <w:pPr>
              <w:spacing w:line="240" w:lineRule="auto"/>
              <w:rPr>
                <w:rFonts w:eastAsia="Times New Roman" w:cs="Arial"/>
                <w:sz w:val="24"/>
                <w:szCs w:val="24"/>
                <w:lang w:eastAsia="bg-BG"/>
              </w:rPr>
            </w:pPr>
            <w:r>
              <w:t>Хипотония, ортостатична хипотония, синкоп</w:t>
            </w:r>
          </w:p>
        </w:tc>
        <w:tc>
          <w:tcPr>
            <w:tcW w:w="2375" w:type="dxa"/>
          </w:tcPr>
          <w:p w14:paraId="72B24F52" w14:textId="25E5059F" w:rsidR="0059764A" w:rsidRDefault="0059764A" w:rsidP="0059764A">
            <w:pPr>
              <w:spacing w:line="240" w:lineRule="auto"/>
              <w:rPr>
                <w:rFonts w:eastAsia="Times New Roman" w:cs="Arial"/>
                <w:sz w:val="24"/>
                <w:szCs w:val="24"/>
                <w:lang w:eastAsia="bg-BG"/>
              </w:rPr>
            </w:pPr>
            <w:r>
              <w:t>Зачервяване</w:t>
            </w:r>
          </w:p>
        </w:tc>
      </w:tr>
      <w:tr w:rsidR="0059764A" w14:paraId="67322E84" w14:textId="77777777" w:rsidTr="001665D1">
        <w:tc>
          <w:tcPr>
            <w:tcW w:w="2375" w:type="dxa"/>
            <w:vMerge/>
          </w:tcPr>
          <w:p w14:paraId="572F7228"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523B59AC" w14:textId="5E156CC4" w:rsidR="0059764A" w:rsidRDefault="0059764A" w:rsidP="0059764A">
            <w:pPr>
              <w:spacing w:line="240" w:lineRule="auto"/>
              <w:rPr>
                <w:rFonts w:eastAsia="Times New Roman" w:cs="Arial"/>
                <w:sz w:val="24"/>
                <w:szCs w:val="24"/>
                <w:lang w:eastAsia="bg-BG"/>
              </w:rPr>
            </w:pPr>
            <w:r>
              <w:t>Нечести</w:t>
            </w:r>
          </w:p>
        </w:tc>
        <w:tc>
          <w:tcPr>
            <w:tcW w:w="2375" w:type="dxa"/>
            <w:vAlign w:val="bottom"/>
          </w:tcPr>
          <w:p w14:paraId="49EBFFF7" w14:textId="76FA8A65" w:rsidR="0059764A" w:rsidRDefault="0059764A" w:rsidP="0059764A">
            <w:pPr>
              <w:spacing w:line="240" w:lineRule="auto"/>
              <w:rPr>
                <w:rFonts w:eastAsia="Times New Roman" w:cs="Arial"/>
                <w:sz w:val="24"/>
                <w:szCs w:val="24"/>
                <w:lang w:eastAsia="bg-BG"/>
              </w:rPr>
            </w:pPr>
            <w:r>
              <w:t>Зачервяване</w:t>
            </w:r>
          </w:p>
        </w:tc>
        <w:tc>
          <w:tcPr>
            <w:tcW w:w="2375" w:type="dxa"/>
            <w:vAlign w:val="bottom"/>
          </w:tcPr>
          <w:p w14:paraId="7DC77075" w14:textId="049C33D0" w:rsidR="0059764A" w:rsidRDefault="0059764A" w:rsidP="0059764A">
            <w:pPr>
              <w:spacing w:line="240" w:lineRule="auto"/>
              <w:rPr>
                <w:rFonts w:eastAsia="Times New Roman" w:cs="Arial"/>
                <w:sz w:val="24"/>
                <w:szCs w:val="24"/>
                <w:lang w:eastAsia="bg-BG"/>
              </w:rPr>
            </w:pPr>
            <w:r>
              <w:t>Хипотония</w:t>
            </w:r>
          </w:p>
        </w:tc>
      </w:tr>
      <w:tr w:rsidR="0059764A" w14:paraId="58D2ACAA" w14:textId="77777777" w:rsidTr="001665D1">
        <w:tc>
          <w:tcPr>
            <w:tcW w:w="2375" w:type="dxa"/>
            <w:vMerge/>
          </w:tcPr>
          <w:p w14:paraId="0B2F5B18" w14:textId="77777777" w:rsidR="0059764A" w:rsidRDefault="0059764A" w:rsidP="0059764A">
            <w:pPr>
              <w:spacing w:line="240" w:lineRule="auto"/>
              <w:rPr>
                <w:rFonts w:eastAsia="Times New Roman" w:cs="Arial"/>
                <w:sz w:val="24"/>
                <w:szCs w:val="24"/>
                <w:lang w:eastAsia="bg-BG"/>
              </w:rPr>
            </w:pPr>
          </w:p>
        </w:tc>
        <w:tc>
          <w:tcPr>
            <w:tcW w:w="2375" w:type="dxa"/>
          </w:tcPr>
          <w:p w14:paraId="32C652BB" w14:textId="777C746C" w:rsidR="0059764A" w:rsidRDefault="0059764A" w:rsidP="0059764A">
            <w:pPr>
              <w:spacing w:line="240" w:lineRule="auto"/>
              <w:rPr>
                <w:rFonts w:eastAsia="Times New Roman" w:cs="Arial"/>
                <w:sz w:val="24"/>
                <w:szCs w:val="24"/>
                <w:lang w:eastAsia="bg-BG"/>
              </w:rPr>
            </w:pPr>
            <w:r>
              <w:t>Редки</w:t>
            </w:r>
          </w:p>
        </w:tc>
        <w:tc>
          <w:tcPr>
            <w:tcW w:w="2375" w:type="dxa"/>
            <w:vAlign w:val="bottom"/>
          </w:tcPr>
          <w:p w14:paraId="7D608D72" w14:textId="7C8B4679" w:rsidR="0059764A" w:rsidRDefault="0059764A" w:rsidP="0059764A">
            <w:pPr>
              <w:spacing w:line="240" w:lineRule="auto"/>
              <w:rPr>
                <w:rFonts w:eastAsia="Times New Roman" w:cs="Arial"/>
                <w:sz w:val="24"/>
                <w:szCs w:val="24"/>
                <w:lang w:eastAsia="bg-BG"/>
              </w:rPr>
            </w:pPr>
            <w:r>
              <w:t xml:space="preserve">Стеноза на съдовете, </w:t>
            </w:r>
            <w:r>
              <w:lastRenderedPageBreak/>
              <w:t>хипоперфузия, васкулит</w:t>
            </w:r>
          </w:p>
        </w:tc>
        <w:tc>
          <w:tcPr>
            <w:tcW w:w="2375" w:type="dxa"/>
          </w:tcPr>
          <w:p w14:paraId="7C1F537C" w14:textId="77777777" w:rsidR="0059764A" w:rsidRDefault="0059764A" w:rsidP="0059764A">
            <w:pPr>
              <w:spacing w:line="240" w:lineRule="auto"/>
              <w:rPr>
                <w:rFonts w:eastAsia="Times New Roman" w:cs="Arial"/>
                <w:sz w:val="24"/>
                <w:szCs w:val="24"/>
                <w:lang w:eastAsia="bg-BG"/>
              </w:rPr>
            </w:pPr>
          </w:p>
        </w:tc>
      </w:tr>
      <w:tr w:rsidR="0059764A" w14:paraId="41BDB716" w14:textId="77777777" w:rsidTr="001665D1">
        <w:tc>
          <w:tcPr>
            <w:tcW w:w="2375" w:type="dxa"/>
            <w:vMerge/>
          </w:tcPr>
          <w:p w14:paraId="2536CFE6"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42D271BD" w14:textId="061B77E3" w:rsidR="0059764A" w:rsidRDefault="0059764A" w:rsidP="0059764A">
            <w:pPr>
              <w:spacing w:line="240" w:lineRule="auto"/>
              <w:rPr>
                <w:rFonts w:eastAsia="Times New Roman" w:cs="Arial"/>
                <w:sz w:val="24"/>
                <w:szCs w:val="24"/>
                <w:lang w:eastAsia="bg-BG"/>
              </w:rPr>
            </w:pPr>
            <w:r>
              <w:t>Много редки</w:t>
            </w:r>
          </w:p>
        </w:tc>
        <w:tc>
          <w:tcPr>
            <w:tcW w:w="2375" w:type="dxa"/>
          </w:tcPr>
          <w:p w14:paraId="1E622891"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36BB1266" w14:textId="66D2F08A" w:rsidR="0059764A" w:rsidRDefault="0059764A" w:rsidP="0059764A">
            <w:pPr>
              <w:spacing w:line="240" w:lineRule="auto"/>
              <w:rPr>
                <w:rFonts w:eastAsia="Times New Roman" w:cs="Arial"/>
                <w:sz w:val="24"/>
                <w:szCs w:val="24"/>
                <w:lang w:eastAsia="bg-BG"/>
              </w:rPr>
            </w:pPr>
            <w:r>
              <w:t>Васкулит</w:t>
            </w:r>
          </w:p>
        </w:tc>
      </w:tr>
      <w:tr w:rsidR="0059764A" w14:paraId="23E6BC49" w14:textId="77777777" w:rsidTr="001665D1">
        <w:tc>
          <w:tcPr>
            <w:tcW w:w="2375" w:type="dxa"/>
            <w:vMerge/>
          </w:tcPr>
          <w:p w14:paraId="26258D47"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09A99ECF" w14:textId="4562DD5C" w:rsidR="0059764A" w:rsidRDefault="0059764A" w:rsidP="0059764A">
            <w:pPr>
              <w:spacing w:line="240" w:lineRule="auto"/>
              <w:rPr>
                <w:rFonts w:eastAsia="Times New Roman" w:cs="Arial"/>
                <w:sz w:val="24"/>
                <w:szCs w:val="24"/>
                <w:lang w:eastAsia="bg-BG"/>
              </w:rPr>
            </w:pPr>
            <w:r>
              <w:t>С неизвестна честота</w:t>
            </w:r>
          </w:p>
        </w:tc>
        <w:tc>
          <w:tcPr>
            <w:tcW w:w="2375" w:type="dxa"/>
          </w:tcPr>
          <w:p w14:paraId="4B3E1FA6" w14:textId="7CD2FC98" w:rsidR="0059764A" w:rsidRDefault="0059764A" w:rsidP="0059764A">
            <w:pPr>
              <w:spacing w:line="240" w:lineRule="auto"/>
              <w:rPr>
                <w:rFonts w:eastAsia="Times New Roman" w:cs="Arial"/>
                <w:sz w:val="24"/>
                <w:szCs w:val="24"/>
                <w:lang w:eastAsia="bg-BG"/>
              </w:rPr>
            </w:pPr>
            <w:r>
              <w:t>Феномен на Рейно</w:t>
            </w:r>
          </w:p>
        </w:tc>
        <w:tc>
          <w:tcPr>
            <w:tcW w:w="2375" w:type="dxa"/>
          </w:tcPr>
          <w:p w14:paraId="295102D7" w14:textId="77777777" w:rsidR="0059764A" w:rsidRDefault="0059764A" w:rsidP="0059764A">
            <w:pPr>
              <w:spacing w:line="240" w:lineRule="auto"/>
              <w:rPr>
                <w:rFonts w:eastAsia="Times New Roman" w:cs="Arial"/>
                <w:sz w:val="24"/>
                <w:szCs w:val="24"/>
                <w:lang w:eastAsia="bg-BG"/>
              </w:rPr>
            </w:pPr>
          </w:p>
        </w:tc>
      </w:tr>
      <w:tr w:rsidR="0059764A" w14:paraId="0CCBDC9A" w14:textId="77777777" w:rsidTr="001665D1">
        <w:tc>
          <w:tcPr>
            <w:tcW w:w="2375" w:type="dxa"/>
            <w:vMerge w:val="restart"/>
          </w:tcPr>
          <w:p w14:paraId="65D20F9D" w14:textId="45313BD2" w:rsidR="0059764A" w:rsidRDefault="0059764A" w:rsidP="0059764A">
            <w:pPr>
              <w:spacing w:line="240" w:lineRule="auto"/>
              <w:rPr>
                <w:rFonts w:eastAsia="Times New Roman" w:cs="Arial"/>
                <w:sz w:val="24"/>
                <w:szCs w:val="24"/>
                <w:lang w:eastAsia="bg-BG"/>
              </w:rPr>
            </w:pPr>
            <w:r>
              <w:t>Респираторни, гръдни и медиастинални нарушения</w:t>
            </w:r>
          </w:p>
        </w:tc>
        <w:tc>
          <w:tcPr>
            <w:tcW w:w="2375" w:type="dxa"/>
          </w:tcPr>
          <w:p w14:paraId="46ADE4BC" w14:textId="0CD0B0A6" w:rsidR="0059764A" w:rsidRDefault="0059764A" w:rsidP="0059764A">
            <w:pPr>
              <w:spacing w:line="240" w:lineRule="auto"/>
              <w:rPr>
                <w:rFonts w:eastAsia="Times New Roman" w:cs="Arial"/>
                <w:sz w:val="24"/>
                <w:szCs w:val="24"/>
                <w:lang w:eastAsia="bg-BG"/>
              </w:rPr>
            </w:pPr>
            <w:r>
              <w:t>Чести</w:t>
            </w:r>
          </w:p>
        </w:tc>
        <w:tc>
          <w:tcPr>
            <w:tcW w:w="2375" w:type="dxa"/>
            <w:vAlign w:val="bottom"/>
          </w:tcPr>
          <w:p w14:paraId="182CCCF4" w14:textId="3D157D1D" w:rsidR="0059764A" w:rsidRDefault="0059764A" w:rsidP="0059764A">
            <w:pPr>
              <w:spacing w:line="240" w:lineRule="auto"/>
              <w:rPr>
                <w:rFonts w:eastAsia="Times New Roman" w:cs="Arial"/>
                <w:sz w:val="24"/>
                <w:szCs w:val="24"/>
                <w:lang w:eastAsia="bg-BG"/>
              </w:rPr>
            </w:pPr>
            <w:r>
              <w:t>Непродуктивна, дразнеща кашлица, бронхит, синузит, диспнея</w:t>
            </w:r>
          </w:p>
        </w:tc>
        <w:tc>
          <w:tcPr>
            <w:tcW w:w="2375" w:type="dxa"/>
          </w:tcPr>
          <w:p w14:paraId="09BF5927" w14:textId="77777777" w:rsidR="0059764A" w:rsidRDefault="0059764A" w:rsidP="0059764A">
            <w:pPr>
              <w:spacing w:line="240" w:lineRule="auto"/>
              <w:rPr>
                <w:rFonts w:eastAsia="Times New Roman" w:cs="Arial"/>
                <w:sz w:val="24"/>
                <w:szCs w:val="24"/>
                <w:lang w:eastAsia="bg-BG"/>
              </w:rPr>
            </w:pPr>
          </w:p>
        </w:tc>
      </w:tr>
      <w:tr w:rsidR="0059764A" w14:paraId="3EADBC8D" w14:textId="77777777" w:rsidTr="0059764A">
        <w:tc>
          <w:tcPr>
            <w:tcW w:w="2375" w:type="dxa"/>
            <w:vMerge/>
          </w:tcPr>
          <w:p w14:paraId="03DAB29A" w14:textId="77777777" w:rsidR="0059764A" w:rsidRDefault="0059764A" w:rsidP="0059764A">
            <w:pPr>
              <w:spacing w:line="240" w:lineRule="auto"/>
              <w:rPr>
                <w:rFonts w:eastAsia="Times New Roman" w:cs="Arial"/>
                <w:sz w:val="24"/>
                <w:szCs w:val="24"/>
                <w:lang w:eastAsia="bg-BG"/>
              </w:rPr>
            </w:pPr>
          </w:p>
        </w:tc>
        <w:tc>
          <w:tcPr>
            <w:tcW w:w="2375" w:type="dxa"/>
          </w:tcPr>
          <w:p w14:paraId="78026953" w14:textId="7C6D8CD6" w:rsidR="0059764A" w:rsidRDefault="0059764A" w:rsidP="0059764A">
            <w:pPr>
              <w:spacing w:line="240" w:lineRule="auto"/>
              <w:rPr>
                <w:rFonts w:eastAsia="Times New Roman" w:cs="Arial"/>
                <w:sz w:val="24"/>
                <w:szCs w:val="24"/>
                <w:lang w:eastAsia="bg-BG"/>
              </w:rPr>
            </w:pPr>
            <w:r>
              <w:t>Нечести</w:t>
            </w:r>
          </w:p>
        </w:tc>
        <w:tc>
          <w:tcPr>
            <w:tcW w:w="2375" w:type="dxa"/>
          </w:tcPr>
          <w:p w14:paraId="0F8F9BE0" w14:textId="11C0DCA4" w:rsidR="0059764A" w:rsidRDefault="0059764A" w:rsidP="0059764A">
            <w:pPr>
              <w:spacing w:line="240" w:lineRule="auto"/>
              <w:rPr>
                <w:rFonts w:eastAsia="Times New Roman" w:cs="Arial"/>
                <w:sz w:val="24"/>
                <w:szCs w:val="24"/>
                <w:lang w:eastAsia="bg-BG"/>
              </w:rPr>
            </w:pPr>
            <w:r>
              <w:t>Бронхоспазъм, вкл, обострена астма, назална конгестия</w:t>
            </w:r>
          </w:p>
        </w:tc>
        <w:tc>
          <w:tcPr>
            <w:tcW w:w="2375" w:type="dxa"/>
          </w:tcPr>
          <w:p w14:paraId="135BAAA2" w14:textId="2EDD2C76" w:rsidR="0059764A" w:rsidRDefault="0059764A" w:rsidP="0059764A">
            <w:pPr>
              <w:spacing w:line="240" w:lineRule="auto"/>
              <w:rPr>
                <w:rFonts w:eastAsia="Times New Roman" w:cs="Arial"/>
                <w:sz w:val="24"/>
                <w:szCs w:val="24"/>
                <w:lang w:eastAsia="bg-BG"/>
              </w:rPr>
            </w:pPr>
            <w:r>
              <w:t>Диспнея, ренит</w:t>
            </w:r>
          </w:p>
        </w:tc>
      </w:tr>
      <w:tr w:rsidR="0059764A" w14:paraId="28CBC7A4" w14:textId="77777777" w:rsidTr="00E01DBE">
        <w:tc>
          <w:tcPr>
            <w:tcW w:w="2375" w:type="dxa"/>
            <w:vMerge/>
          </w:tcPr>
          <w:p w14:paraId="2A2753CD"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41C6AC80" w14:textId="3183911D" w:rsidR="0059764A" w:rsidRDefault="0059764A" w:rsidP="0059764A">
            <w:pPr>
              <w:spacing w:line="240" w:lineRule="auto"/>
              <w:rPr>
                <w:rFonts w:eastAsia="Times New Roman" w:cs="Arial"/>
                <w:sz w:val="24"/>
                <w:szCs w:val="24"/>
                <w:lang w:eastAsia="bg-BG"/>
              </w:rPr>
            </w:pPr>
            <w:r>
              <w:t>Много редки</w:t>
            </w:r>
          </w:p>
        </w:tc>
        <w:tc>
          <w:tcPr>
            <w:tcW w:w="2375" w:type="dxa"/>
          </w:tcPr>
          <w:p w14:paraId="7DD479D8"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5B536162" w14:textId="1F62DA22" w:rsidR="0059764A" w:rsidRDefault="0059764A" w:rsidP="0059764A">
            <w:pPr>
              <w:spacing w:line="240" w:lineRule="auto"/>
              <w:rPr>
                <w:rFonts w:eastAsia="Times New Roman" w:cs="Arial"/>
                <w:sz w:val="24"/>
                <w:szCs w:val="24"/>
                <w:lang w:eastAsia="bg-BG"/>
              </w:rPr>
            </w:pPr>
            <w:r>
              <w:t>Кашлица</w:t>
            </w:r>
          </w:p>
        </w:tc>
      </w:tr>
      <w:tr w:rsidR="0059764A" w14:paraId="5FEFD61F" w14:textId="77777777" w:rsidTr="00E01DBE">
        <w:tc>
          <w:tcPr>
            <w:tcW w:w="2375" w:type="dxa"/>
            <w:vMerge w:val="restart"/>
          </w:tcPr>
          <w:p w14:paraId="2CB6ACA8" w14:textId="2E57009A" w:rsidR="0059764A" w:rsidRDefault="0059764A" w:rsidP="0059764A">
            <w:pPr>
              <w:spacing w:line="240" w:lineRule="auto"/>
              <w:rPr>
                <w:rFonts w:eastAsia="Times New Roman" w:cs="Arial"/>
                <w:sz w:val="24"/>
                <w:szCs w:val="24"/>
                <w:lang w:eastAsia="bg-BG"/>
              </w:rPr>
            </w:pPr>
            <w:r>
              <w:t>Стомашно-чревни нарушения</w:t>
            </w:r>
          </w:p>
        </w:tc>
        <w:tc>
          <w:tcPr>
            <w:tcW w:w="2375" w:type="dxa"/>
            <w:vAlign w:val="bottom"/>
          </w:tcPr>
          <w:p w14:paraId="770A66D8" w14:textId="5ABEDAE7" w:rsidR="0059764A" w:rsidRDefault="0059764A" w:rsidP="0059764A">
            <w:pPr>
              <w:spacing w:line="240" w:lineRule="auto"/>
              <w:rPr>
                <w:rFonts w:eastAsia="Times New Roman" w:cs="Arial"/>
                <w:sz w:val="24"/>
                <w:szCs w:val="24"/>
                <w:lang w:eastAsia="bg-BG"/>
              </w:rPr>
            </w:pPr>
            <w:r>
              <w:t>Чести</w:t>
            </w:r>
          </w:p>
        </w:tc>
        <w:tc>
          <w:tcPr>
            <w:tcW w:w="2375" w:type="dxa"/>
            <w:vAlign w:val="bottom"/>
          </w:tcPr>
          <w:p w14:paraId="6518670D" w14:textId="66E0AA48" w:rsidR="0059764A" w:rsidRDefault="0059764A" w:rsidP="0059764A">
            <w:pPr>
              <w:spacing w:line="240" w:lineRule="auto"/>
              <w:rPr>
                <w:rFonts w:eastAsia="Times New Roman" w:cs="Arial"/>
                <w:sz w:val="24"/>
                <w:szCs w:val="24"/>
                <w:lang w:eastAsia="bg-BG"/>
              </w:rPr>
            </w:pPr>
            <w:r>
              <w:t>Стомашно-чревно възпаление, нарушено храносмилане, абдоминален дискомфорт, диспепсия, диария, гадене, повръщане</w:t>
            </w:r>
          </w:p>
        </w:tc>
        <w:tc>
          <w:tcPr>
            <w:tcW w:w="2375" w:type="dxa"/>
          </w:tcPr>
          <w:p w14:paraId="74363DDA" w14:textId="53F1683E" w:rsidR="0059764A" w:rsidRDefault="0059764A" w:rsidP="0059764A">
            <w:pPr>
              <w:spacing w:line="240" w:lineRule="auto"/>
              <w:rPr>
                <w:rFonts w:eastAsia="Times New Roman" w:cs="Arial"/>
                <w:sz w:val="24"/>
                <w:szCs w:val="24"/>
                <w:lang w:eastAsia="bg-BG"/>
              </w:rPr>
            </w:pPr>
            <w:r>
              <w:t>Абдоминална болка, гадене</w:t>
            </w:r>
          </w:p>
        </w:tc>
      </w:tr>
      <w:tr w:rsidR="0059764A" w14:paraId="20243106" w14:textId="77777777" w:rsidTr="00E01DBE">
        <w:tc>
          <w:tcPr>
            <w:tcW w:w="2375" w:type="dxa"/>
            <w:vMerge/>
          </w:tcPr>
          <w:p w14:paraId="0EF63BE8" w14:textId="77777777" w:rsidR="0059764A" w:rsidRDefault="0059764A" w:rsidP="0059764A">
            <w:pPr>
              <w:spacing w:line="240" w:lineRule="auto"/>
              <w:rPr>
                <w:rFonts w:eastAsia="Times New Roman" w:cs="Arial"/>
                <w:sz w:val="24"/>
                <w:szCs w:val="24"/>
                <w:lang w:eastAsia="bg-BG"/>
              </w:rPr>
            </w:pPr>
          </w:p>
        </w:tc>
        <w:tc>
          <w:tcPr>
            <w:tcW w:w="2375" w:type="dxa"/>
          </w:tcPr>
          <w:p w14:paraId="1764E230" w14:textId="6F38F56D" w:rsidR="0059764A" w:rsidRDefault="0059764A" w:rsidP="0059764A">
            <w:pPr>
              <w:spacing w:line="240" w:lineRule="auto"/>
              <w:rPr>
                <w:rFonts w:eastAsia="Times New Roman" w:cs="Arial"/>
                <w:sz w:val="24"/>
                <w:szCs w:val="24"/>
                <w:lang w:eastAsia="bg-BG"/>
              </w:rPr>
            </w:pPr>
            <w:r>
              <w:t>Нечести</w:t>
            </w:r>
          </w:p>
        </w:tc>
        <w:tc>
          <w:tcPr>
            <w:tcW w:w="2375" w:type="dxa"/>
            <w:vAlign w:val="bottom"/>
          </w:tcPr>
          <w:p w14:paraId="14461A0A" w14:textId="772C4DCE" w:rsidR="0059764A" w:rsidRDefault="0059764A" w:rsidP="0059764A">
            <w:pPr>
              <w:spacing w:line="240" w:lineRule="auto"/>
              <w:rPr>
                <w:rFonts w:eastAsia="Times New Roman" w:cs="Arial"/>
                <w:sz w:val="24"/>
                <w:szCs w:val="24"/>
                <w:lang w:eastAsia="bg-BG"/>
              </w:rPr>
            </w:pPr>
            <w:r>
              <w:t>Панкреатит (случаи с фатален изход са съобщавани изключително рядко с АСЕ-инхибитори), повишаване на панкреасните ензими, ангиоедем на тънкото черво, болка в горната част на корема, включително гастрит, запек, сухота в устата</w:t>
            </w:r>
          </w:p>
        </w:tc>
        <w:tc>
          <w:tcPr>
            <w:tcW w:w="2375" w:type="dxa"/>
          </w:tcPr>
          <w:p w14:paraId="6061B9DD" w14:textId="79B1D7BC" w:rsidR="0059764A" w:rsidRDefault="0059764A" w:rsidP="0059764A">
            <w:pPr>
              <w:spacing w:line="240" w:lineRule="auto"/>
              <w:rPr>
                <w:rFonts w:eastAsia="Times New Roman" w:cs="Arial"/>
                <w:sz w:val="24"/>
                <w:szCs w:val="24"/>
                <w:lang w:eastAsia="bg-BG"/>
              </w:rPr>
            </w:pPr>
            <w:r>
              <w:t>Повръщане, диспепсия, променена чревна перисталтика (включително диария и запек), сухота в устата</w:t>
            </w:r>
          </w:p>
        </w:tc>
      </w:tr>
      <w:tr w:rsidR="0059764A" w14:paraId="3082D2C4" w14:textId="77777777" w:rsidTr="00E01DBE">
        <w:tc>
          <w:tcPr>
            <w:tcW w:w="2375" w:type="dxa"/>
            <w:vMerge/>
          </w:tcPr>
          <w:p w14:paraId="27796F93"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78BA1D4F" w14:textId="36AE49E6" w:rsidR="0059764A" w:rsidRDefault="0059764A" w:rsidP="0059764A">
            <w:pPr>
              <w:spacing w:line="240" w:lineRule="auto"/>
              <w:rPr>
                <w:rFonts w:eastAsia="Times New Roman" w:cs="Arial"/>
                <w:sz w:val="24"/>
                <w:szCs w:val="24"/>
                <w:lang w:eastAsia="bg-BG"/>
              </w:rPr>
            </w:pPr>
            <w:r>
              <w:t>Редки</w:t>
            </w:r>
          </w:p>
        </w:tc>
        <w:tc>
          <w:tcPr>
            <w:tcW w:w="2375" w:type="dxa"/>
            <w:vAlign w:val="bottom"/>
          </w:tcPr>
          <w:p w14:paraId="170367C6" w14:textId="5755C71B" w:rsidR="0059764A" w:rsidRDefault="0059764A" w:rsidP="0059764A">
            <w:pPr>
              <w:spacing w:line="240" w:lineRule="auto"/>
              <w:rPr>
                <w:rFonts w:eastAsia="Times New Roman" w:cs="Arial"/>
                <w:sz w:val="24"/>
                <w:szCs w:val="24"/>
                <w:lang w:eastAsia="bg-BG"/>
              </w:rPr>
            </w:pPr>
            <w:r>
              <w:t>Глосит</w:t>
            </w:r>
          </w:p>
        </w:tc>
        <w:tc>
          <w:tcPr>
            <w:tcW w:w="2375" w:type="dxa"/>
          </w:tcPr>
          <w:p w14:paraId="78B0C502" w14:textId="77777777" w:rsidR="0059764A" w:rsidRDefault="0059764A" w:rsidP="0059764A">
            <w:pPr>
              <w:spacing w:line="240" w:lineRule="auto"/>
              <w:rPr>
                <w:rFonts w:eastAsia="Times New Roman" w:cs="Arial"/>
                <w:sz w:val="24"/>
                <w:szCs w:val="24"/>
                <w:lang w:eastAsia="bg-BG"/>
              </w:rPr>
            </w:pPr>
          </w:p>
        </w:tc>
      </w:tr>
      <w:tr w:rsidR="0059764A" w14:paraId="10FEF006" w14:textId="77777777" w:rsidTr="00E01DBE">
        <w:tc>
          <w:tcPr>
            <w:tcW w:w="2375" w:type="dxa"/>
            <w:vMerge/>
          </w:tcPr>
          <w:p w14:paraId="25DC788E" w14:textId="77777777" w:rsidR="0059764A" w:rsidRDefault="0059764A" w:rsidP="0059764A">
            <w:pPr>
              <w:spacing w:line="240" w:lineRule="auto"/>
              <w:rPr>
                <w:rFonts w:eastAsia="Times New Roman" w:cs="Arial"/>
                <w:sz w:val="24"/>
                <w:szCs w:val="24"/>
                <w:lang w:eastAsia="bg-BG"/>
              </w:rPr>
            </w:pPr>
          </w:p>
        </w:tc>
        <w:tc>
          <w:tcPr>
            <w:tcW w:w="2375" w:type="dxa"/>
          </w:tcPr>
          <w:p w14:paraId="1609A0C7" w14:textId="10C44CC0" w:rsidR="0059764A" w:rsidRDefault="0059764A" w:rsidP="0059764A">
            <w:pPr>
              <w:spacing w:line="240" w:lineRule="auto"/>
              <w:rPr>
                <w:rFonts w:eastAsia="Times New Roman" w:cs="Arial"/>
                <w:sz w:val="24"/>
                <w:szCs w:val="24"/>
                <w:lang w:eastAsia="bg-BG"/>
              </w:rPr>
            </w:pPr>
            <w:r>
              <w:t>Много редки</w:t>
            </w:r>
          </w:p>
        </w:tc>
        <w:tc>
          <w:tcPr>
            <w:tcW w:w="2375" w:type="dxa"/>
          </w:tcPr>
          <w:p w14:paraId="0A69A6D2"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1231866E" w14:textId="55C1117A" w:rsidR="0059764A" w:rsidRDefault="0059764A" w:rsidP="0059764A">
            <w:pPr>
              <w:spacing w:line="240" w:lineRule="auto"/>
              <w:rPr>
                <w:rFonts w:eastAsia="Times New Roman" w:cs="Arial"/>
                <w:sz w:val="24"/>
                <w:szCs w:val="24"/>
                <w:lang w:eastAsia="bg-BG"/>
              </w:rPr>
            </w:pPr>
            <w:r>
              <w:t>Панкреатит, гастрит, хиперплазия на венците</w:t>
            </w:r>
          </w:p>
        </w:tc>
      </w:tr>
      <w:tr w:rsidR="0059764A" w14:paraId="591E067D" w14:textId="77777777" w:rsidTr="0059764A">
        <w:tc>
          <w:tcPr>
            <w:tcW w:w="2375" w:type="dxa"/>
            <w:vMerge/>
          </w:tcPr>
          <w:p w14:paraId="1F4AC34A" w14:textId="77777777" w:rsidR="0059764A" w:rsidRDefault="0059764A" w:rsidP="0059764A">
            <w:pPr>
              <w:spacing w:line="240" w:lineRule="auto"/>
              <w:rPr>
                <w:rFonts w:eastAsia="Times New Roman" w:cs="Arial"/>
                <w:sz w:val="24"/>
                <w:szCs w:val="24"/>
                <w:lang w:eastAsia="bg-BG"/>
              </w:rPr>
            </w:pPr>
          </w:p>
        </w:tc>
        <w:tc>
          <w:tcPr>
            <w:tcW w:w="2375" w:type="dxa"/>
          </w:tcPr>
          <w:p w14:paraId="1232AEB3" w14:textId="6AC86A35" w:rsidR="0059764A" w:rsidRDefault="0059764A" w:rsidP="0059764A">
            <w:pPr>
              <w:spacing w:line="240" w:lineRule="auto"/>
              <w:rPr>
                <w:rFonts w:eastAsia="Times New Roman" w:cs="Arial"/>
                <w:sz w:val="24"/>
                <w:szCs w:val="24"/>
                <w:lang w:eastAsia="bg-BG"/>
              </w:rPr>
            </w:pPr>
            <w:r>
              <w:t>С неизвестна честота</w:t>
            </w:r>
          </w:p>
        </w:tc>
        <w:tc>
          <w:tcPr>
            <w:tcW w:w="2375" w:type="dxa"/>
          </w:tcPr>
          <w:p w14:paraId="3D64C113" w14:textId="259F5AE2" w:rsidR="0059764A" w:rsidRDefault="0059764A" w:rsidP="0059764A">
            <w:pPr>
              <w:spacing w:line="240" w:lineRule="auto"/>
              <w:rPr>
                <w:rFonts w:eastAsia="Times New Roman" w:cs="Arial"/>
                <w:sz w:val="24"/>
                <w:szCs w:val="24"/>
                <w:lang w:eastAsia="bg-BG"/>
              </w:rPr>
            </w:pPr>
            <w:r>
              <w:t>Афтозен стоматит</w:t>
            </w:r>
          </w:p>
        </w:tc>
        <w:tc>
          <w:tcPr>
            <w:tcW w:w="2375" w:type="dxa"/>
          </w:tcPr>
          <w:p w14:paraId="5D4FCAA5" w14:textId="77777777" w:rsidR="0059764A" w:rsidRDefault="0059764A" w:rsidP="0059764A">
            <w:pPr>
              <w:spacing w:line="240" w:lineRule="auto"/>
              <w:rPr>
                <w:rFonts w:eastAsia="Times New Roman" w:cs="Arial"/>
                <w:sz w:val="24"/>
                <w:szCs w:val="24"/>
                <w:lang w:eastAsia="bg-BG"/>
              </w:rPr>
            </w:pPr>
          </w:p>
        </w:tc>
      </w:tr>
      <w:tr w:rsidR="0059764A" w14:paraId="459BA74C" w14:textId="77777777" w:rsidTr="00E01DBE">
        <w:tc>
          <w:tcPr>
            <w:tcW w:w="2375" w:type="dxa"/>
            <w:vMerge w:val="restart"/>
          </w:tcPr>
          <w:p w14:paraId="6FEBCE7C" w14:textId="6D6E4BAB" w:rsidR="0059764A" w:rsidRDefault="0059764A" w:rsidP="0059764A">
            <w:pPr>
              <w:spacing w:line="240" w:lineRule="auto"/>
              <w:rPr>
                <w:rFonts w:eastAsia="Times New Roman" w:cs="Arial"/>
                <w:sz w:val="24"/>
                <w:szCs w:val="24"/>
                <w:lang w:eastAsia="bg-BG"/>
              </w:rPr>
            </w:pPr>
            <w:r>
              <w:t>Хепатобилиарни нарушения</w:t>
            </w:r>
          </w:p>
        </w:tc>
        <w:tc>
          <w:tcPr>
            <w:tcW w:w="2375" w:type="dxa"/>
          </w:tcPr>
          <w:p w14:paraId="445D6C86" w14:textId="3B59C879" w:rsidR="0059764A" w:rsidRDefault="0059764A" w:rsidP="0059764A">
            <w:pPr>
              <w:spacing w:line="240" w:lineRule="auto"/>
              <w:rPr>
                <w:rFonts w:eastAsia="Times New Roman" w:cs="Arial"/>
                <w:sz w:val="24"/>
                <w:szCs w:val="24"/>
                <w:lang w:eastAsia="bg-BG"/>
              </w:rPr>
            </w:pPr>
            <w:r>
              <w:t>Нечести</w:t>
            </w:r>
          </w:p>
        </w:tc>
        <w:tc>
          <w:tcPr>
            <w:tcW w:w="2375" w:type="dxa"/>
            <w:vAlign w:val="bottom"/>
          </w:tcPr>
          <w:p w14:paraId="4F1925B9" w14:textId="7E6C8C6A" w:rsidR="0059764A" w:rsidRDefault="0059764A" w:rsidP="0059764A">
            <w:pPr>
              <w:spacing w:line="240" w:lineRule="auto"/>
              <w:rPr>
                <w:rFonts w:eastAsia="Times New Roman" w:cs="Arial"/>
                <w:sz w:val="24"/>
                <w:szCs w:val="24"/>
                <w:lang w:eastAsia="bg-BG"/>
              </w:rPr>
            </w:pPr>
            <w:r>
              <w:t>Повишени чернодробни ензими и/или повишен конюгиран билирубин</w:t>
            </w:r>
          </w:p>
        </w:tc>
        <w:tc>
          <w:tcPr>
            <w:tcW w:w="2375" w:type="dxa"/>
          </w:tcPr>
          <w:p w14:paraId="12C90A45" w14:textId="77777777" w:rsidR="0059764A" w:rsidRDefault="0059764A" w:rsidP="0059764A">
            <w:pPr>
              <w:spacing w:line="240" w:lineRule="auto"/>
              <w:rPr>
                <w:rFonts w:eastAsia="Times New Roman" w:cs="Arial"/>
                <w:sz w:val="24"/>
                <w:szCs w:val="24"/>
                <w:lang w:eastAsia="bg-BG"/>
              </w:rPr>
            </w:pPr>
          </w:p>
        </w:tc>
      </w:tr>
      <w:tr w:rsidR="0059764A" w14:paraId="54FAE421" w14:textId="77777777" w:rsidTr="00E01DBE">
        <w:tc>
          <w:tcPr>
            <w:tcW w:w="2375" w:type="dxa"/>
            <w:vMerge/>
          </w:tcPr>
          <w:p w14:paraId="7F6DEB38" w14:textId="77777777" w:rsidR="0059764A" w:rsidRDefault="0059764A" w:rsidP="0059764A">
            <w:pPr>
              <w:spacing w:line="240" w:lineRule="auto"/>
              <w:rPr>
                <w:rFonts w:eastAsia="Times New Roman" w:cs="Arial"/>
                <w:sz w:val="24"/>
                <w:szCs w:val="24"/>
                <w:lang w:eastAsia="bg-BG"/>
              </w:rPr>
            </w:pPr>
          </w:p>
        </w:tc>
        <w:tc>
          <w:tcPr>
            <w:tcW w:w="2375" w:type="dxa"/>
          </w:tcPr>
          <w:p w14:paraId="36E5B0AA" w14:textId="2553C322" w:rsidR="0059764A" w:rsidRDefault="0059764A" w:rsidP="0059764A">
            <w:pPr>
              <w:spacing w:line="240" w:lineRule="auto"/>
              <w:rPr>
                <w:rFonts w:eastAsia="Times New Roman" w:cs="Arial"/>
                <w:sz w:val="24"/>
                <w:szCs w:val="24"/>
                <w:lang w:eastAsia="bg-BG"/>
              </w:rPr>
            </w:pPr>
            <w:r>
              <w:t>Редки</w:t>
            </w:r>
          </w:p>
        </w:tc>
        <w:tc>
          <w:tcPr>
            <w:tcW w:w="2375" w:type="dxa"/>
            <w:vAlign w:val="bottom"/>
          </w:tcPr>
          <w:p w14:paraId="24B74433" w14:textId="1971B650" w:rsidR="0059764A" w:rsidRDefault="0059764A" w:rsidP="0059764A">
            <w:pPr>
              <w:spacing w:line="240" w:lineRule="auto"/>
              <w:rPr>
                <w:rFonts w:eastAsia="Times New Roman" w:cs="Arial"/>
                <w:sz w:val="24"/>
                <w:szCs w:val="24"/>
                <w:lang w:eastAsia="bg-BG"/>
              </w:rPr>
            </w:pPr>
            <w:r>
              <w:t>Холестатична жълтеница, хепатоцелуларно увреждане</w:t>
            </w:r>
          </w:p>
        </w:tc>
        <w:tc>
          <w:tcPr>
            <w:tcW w:w="2375" w:type="dxa"/>
          </w:tcPr>
          <w:p w14:paraId="25C01539" w14:textId="77777777" w:rsidR="0059764A" w:rsidRDefault="0059764A" w:rsidP="0059764A">
            <w:pPr>
              <w:spacing w:line="240" w:lineRule="auto"/>
              <w:rPr>
                <w:rFonts w:eastAsia="Times New Roman" w:cs="Arial"/>
                <w:sz w:val="24"/>
                <w:szCs w:val="24"/>
                <w:lang w:eastAsia="bg-BG"/>
              </w:rPr>
            </w:pPr>
          </w:p>
        </w:tc>
      </w:tr>
      <w:tr w:rsidR="0059764A" w14:paraId="10D2576B" w14:textId="77777777" w:rsidTr="00E01DBE">
        <w:tc>
          <w:tcPr>
            <w:tcW w:w="2375" w:type="dxa"/>
            <w:vMerge/>
          </w:tcPr>
          <w:p w14:paraId="380E9736" w14:textId="77777777" w:rsidR="0059764A" w:rsidRDefault="0059764A" w:rsidP="0059764A">
            <w:pPr>
              <w:spacing w:line="240" w:lineRule="auto"/>
              <w:rPr>
                <w:rFonts w:eastAsia="Times New Roman" w:cs="Arial"/>
                <w:sz w:val="24"/>
                <w:szCs w:val="24"/>
                <w:lang w:eastAsia="bg-BG"/>
              </w:rPr>
            </w:pPr>
          </w:p>
        </w:tc>
        <w:tc>
          <w:tcPr>
            <w:tcW w:w="2375" w:type="dxa"/>
          </w:tcPr>
          <w:p w14:paraId="22CBC890" w14:textId="3A6BCF10" w:rsidR="0059764A" w:rsidRDefault="0059764A" w:rsidP="0059764A">
            <w:pPr>
              <w:spacing w:line="240" w:lineRule="auto"/>
              <w:rPr>
                <w:rFonts w:eastAsia="Times New Roman" w:cs="Arial"/>
                <w:sz w:val="24"/>
                <w:szCs w:val="24"/>
                <w:lang w:eastAsia="bg-BG"/>
              </w:rPr>
            </w:pPr>
            <w:r>
              <w:t>Много редки</w:t>
            </w:r>
          </w:p>
        </w:tc>
        <w:tc>
          <w:tcPr>
            <w:tcW w:w="2375" w:type="dxa"/>
          </w:tcPr>
          <w:p w14:paraId="7ED9FCE6" w14:textId="77777777" w:rsidR="0059764A" w:rsidRDefault="0059764A" w:rsidP="0059764A">
            <w:pPr>
              <w:spacing w:line="240" w:lineRule="auto"/>
              <w:rPr>
                <w:rFonts w:eastAsia="Times New Roman" w:cs="Arial"/>
                <w:sz w:val="24"/>
                <w:szCs w:val="24"/>
                <w:lang w:eastAsia="bg-BG"/>
              </w:rPr>
            </w:pPr>
          </w:p>
        </w:tc>
        <w:tc>
          <w:tcPr>
            <w:tcW w:w="2375" w:type="dxa"/>
            <w:vAlign w:val="bottom"/>
          </w:tcPr>
          <w:p w14:paraId="0BC7F36D" w14:textId="54F374E6" w:rsidR="0059764A" w:rsidRDefault="0059764A" w:rsidP="0059764A">
            <w:pPr>
              <w:spacing w:line="240" w:lineRule="auto"/>
              <w:rPr>
                <w:rFonts w:eastAsia="Times New Roman" w:cs="Arial"/>
                <w:sz w:val="24"/>
                <w:szCs w:val="24"/>
                <w:lang w:eastAsia="bg-BG"/>
              </w:rPr>
            </w:pPr>
            <w:r>
              <w:t>Хепатит, жълтеница, повишение на чернодробните ензими*</w:t>
            </w:r>
          </w:p>
        </w:tc>
      </w:tr>
      <w:tr w:rsidR="0059764A" w14:paraId="48341151" w14:textId="77777777" w:rsidTr="00E01DBE">
        <w:tc>
          <w:tcPr>
            <w:tcW w:w="2375" w:type="dxa"/>
            <w:vMerge/>
          </w:tcPr>
          <w:p w14:paraId="70706DE6" w14:textId="77777777" w:rsidR="0059764A" w:rsidRDefault="0059764A" w:rsidP="0059764A">
            <w:pPr>
              <w:spacing w:line="240" w:lineRule="auto"/>
              <w:rPr>
                <w:rFonts w:eastAsia="Times New Roman" w:cs="Arial"/>
                <w:sz w:val="24"/>
                <w:szCs w:val="24"/>
                <w:lang w:eastAsia="bg-BG"/>
              </w:rPr>
            </w:pPr>
          </w:p>
        </w:tc>
        <w:tc>
          <w:tcPr>
            <w:tcW w:w="2375" w:type="dxa"/>
          </w:tcPr>
          <w:p w14:paraId="2434FC14" w14:textId="1AD87E76" w:rsidR="0059764A" w:rsidRDefault="0059764A" w:rsidP="0059764A">
            <w:pPr>
              <w:spacing w:line="240" w:lineRule="auto"/>
              <w:rPr>
                <w:rFonts w:eastAsia="Times New Roman" w:cs="Arial"/>
                <w:sz w:val="24"/>
                <w:szCs w:val="24"/>
                <w:lang w:eastAsia="bg-BG"/>
              </w:rPr>
            </w:pPr>
            <w:r>
              <w:t>С неизвестна честота</w:t>
            </w:r>
          </w:p>
        </w:tc>
        <w:tc>
          <w:tcPr>
            <w:tcW w:w="2375" w:type="dxa"/>
            <w:vAlign w:val="bottom"/>
          </w:tcPr>
          <w:p w14:paraId="1FB757EB" w14:textId="7E7845B6" w:rsidR="0059764A" w:rsidRDefault="0059764A" w:rsidP="0059764A">
            <w:pPr>
              <w:spacing w:line="240" w:lineRule="auto"/>
              <w:rPr>
                <w:rFonts w:eastAsia="Times New Roman" w:cs="Arial"/>
                <w:sz w:val="24"/>
                <w:szCs w:val="24"/>
                <w:lang w:eastAsia="bg-BG"/>
              </w:rPr>
            </w:pPr>
            <w:r>
              <w:t>Остра чернодробна недостатъчност, холестатичен или цитолитичен хепатит (фатален изход е наблюдаван изключително рядко)</w:t>
            </w:r>
          </w:p>
        </w:tc>
        <w:tc>
          <w:tcPr>
            <w:tcW w:w="2375" w:type="dxa"/>
          </w:tcPr>
          <w:p w14:paraId="57B4A53E" w14:textId="77777777" w:rsidR="0059764A" w:rsidRDefault="0059764A" w:rsidP="0059764A">
            <w:pPr>
              <w:spacing w:line="240" w:lineRule="auto"/>
              <w:rPr>
                <w:rFonts w:eastAsia="Times New Roman" w:cs="Arial"/>
                <w:sz w:val="24"/>
                <w:szCs w:val="24"/>
                <w:lang w:eastAsia="bg-BG"/>
              </w:rPr>
            </w:pPr>
          </w:p>
        </w:tc>
      </w:tr>
      <w:tr w:rsidR="0059764A" w14:paraId="51EDAAE5" w14:textId="77777777" w:rsidTr="00E01DBE">
        <w:tc>
          <w:tcPr>
            <w:tcW w:w="2375" w:type="dxa"/>
            <w:vMerge w:val="restart"/>
          </w:tcPr>
          <w:p w14:paraId="10892972" w14:textId="671756F1" w:rsidR="0059764A" w:rsidRDefault="0059764A" w:rsidP="0059764A">
            <w:pPr>
              <w:spacing w:line="240" w:lineRule="auto"/>
              <w:rPr>
                <w:rFonts w:eastAsia="Times New Roman" w:cs="Arial"/>
                <w:sz w:val="24"/>
                <w:szCs w:val="24"/>
                <w:lang w:eastAsia="bg-BG"/>
              </w:rPr>
            </w:pPr>
            <w:r>
              <w:t>Нарушения на кожата и подкожната тъкан</w:t>
            </w:r>
          </w:p>
        </w:tc>
        <w:tc>
          <w:tcPr>
            <w:tcW w:w="2375" w:type="dxa"/>
          </w:tcPr>
          <w:p w14:paraId="7907A5CB" w14:textId="056F5743" w:rsidR="0059764A" w:rsidRDefault="0059764A" w:rsidP="0059764A">
            <w:pPr>
              <w:spacing w:line="240" w:lineRule="auto"/>
              <w:rPr>
                <w:rFonts w:eastAsia="Times New Roman" w:cs="Arial"/>
                <w:sz w:val="24"/>
                <w:szCs w:val="24"/>
                <w:lang w:eastAsia="bg-BG"/>
              </w:rPr>
            </w:pPr>
            <w:r>
              <w:t>Чести</w:t>
            </w:r>
          </w:p>
        </w:tc>
        <w:tc>
          <w:tcPr>
            <w:tcW w:w="2375" w:type="dxa"/>
            <w:vAlign w:val="bottom"/>
          </w:tcPr>
          <w:p w14:paraId="35706378" w14:textId="1B73548C" w:rsidR="0059764A" w:rsidRDefault="0059764A" w:rsidP="0059764A">
            <w:pPr>
              <w:spacing w:line="240" w:lineRule="auto"/>
              <w:rPr>
                <w:rFonts w:eastAsia="Times New Roman" w:cs="Arial"/>
                <w:sz w:val="24"/>
                <w:szCs w:val="24"/>
                <w:lang w:eastAsia="bg-BG"/>
              </w:rPr>
            </w:pPr>
            <w:r>
              <w:t>Обрив по-специално макулопапулозен</w:t>
            </w:r>
          </w:p>
        </w:tc>
        <w:tc>
          <w:tcPr>
            <w:tcW w:w="2375" w:type="dxa"/>
          </w:tcPr>
          <w:p w14:paraId="33A4BCD9" w14:textId="77777777" w:rsidR="0059764A" w:rsidRDefault="0059764A" w:rsidP="0059764A">
            <w:pPr>
              <w:spacing w:line="240" w:lineRule="auto"/>
              <w:rPr>
                <w:rFonts w:eastAsia="Times New Roman" w:cs="Arial"/>
                <w:sz w:val="24"/>
                <w:szCs w:val="24"/>
                <w:lang w:eastAsia="bg-BG"/>
              </w:rPr>
            </w:pPr>
          </w:p>
        </w:tc>
      </w:tr>
      <w:tr w:rsidR="0059764A" w14:paraId="45D40EF5" w14:textId="77777777" w:rsidTr="00E01DBE">
        <w:tc>
          <w:tcPr>
            <w:tcW w:w="2375" w:type="dxa"/>
            <w:vMerge/>
          </w:tcPr>
          <w:p w14:paraId="25C1F9C5" w14:textId="77777777" w:rsidR="0059764A" w:rsidRDefault="0059764A" w:rsidP="0059764A">
            <w:pPr>
              <w:spacing w:line="240" w:lineRule="auto"/>
              <w:rPr>
                <w:rFonts w:eastAsia="Times New Roman" w:cs="Arial"/>
                <w:sz w:val="24"/>
                <w:szCs w:val="24"/>
                <w:lang w:eastAsia="bg-BG"/>
              </w:rPr>
            </w:pPr>
          </w:p>
        </w:tc>
        <w:tc>
          <w:tcPr>
            <w:tcW w:w="2375" w:type="dxa"/>
          </w:tcPr>
          <w:p w14:paraId="1D97C798" w14:textId="327F42F8" w:rsidR="0059764A" w:rsidRDefault="0059764A" w:rsidP="0059764A">
            <w:pPr>
              <w:spacing w:line="240" w:lineRule="auto"/>
              <w:rPr>
                <w:rFonts w:eastAsia="Times New Roman" w:cs="Arial"/>
                <w:sz w:val="24"/>
                <w:szCs w:val="24"/>
                <w:lang w:eastAsia="bg-BG"/>
              </w:rPr>
            </w:pPr>
            <w:r>
              <w:t>Нечести</w:t>
            </w:r>
          </w:p>
        </w:tc>
        <w:tc>
          <w:tcPr>
            <w:tcW w:w="2375" w:type="dxa"/>
            <w:vAlign w:val="bottom"/>
          </w:tcPr>
          <w:p w14:paraId="62D0E191" w14:textId="57390234" w:rsidR="0059764A" w:rsidRDefault="0059764A" w:rsidP="0059764A">
            <w:pPr>
              <w:spacing w:line="240" w:lineRule="auto"/>
              <w:rPr>
                <w:rFonts w:eastAsia="Times New Roman" w:cs="Arial"/>
                <w:sz w:val="24"/>
                <w:szCs w:val="24"/>
                <w:lang w:eastAsia="bg-BG"/>
              </w:rPr>
            </w:pPr>
            <w:r>
              <w:t>Ангиоедем; изключително рядко обструкцията на дихателните пътища вследствие на ангиоедем може да има фатален изход; сърбеж, хиперхидроза</w:t>
            </w:r>
          </w:p>
        </w:tc>
        <w:tc>
          <w:tcPr>
            <w:tcW w:w="2375" w:type="dxa"/>
            <w:vAlign w:val="bottom"/>
          </w:tcPr>
          <w:p w14:paraId="026A5F3B" w14:textId="41166420" w:rsidR="0059764A" w:rsidRDefault="0059764A" w:rsidP="0059764A">
            <w:pPr>
              <w:spacing w:line="240" w:lineRule="auto"/>
              <w:rPr>
                <w:rFonts w:eastAsia="Times New Roman" w:cs="Arial"/>
                <w:sz w:val="24"/>
                <w:szCs w:val="24"/>
                <w:lang w:eastAsia="bg-BG"/>
              </w:rPr>
            </w:pPr>
            <w:r>
              <w:t>Алопеция, пурпура, промяна в цвета на кожата, хиперхидроза сърбеж, обрив, екзантема</w:t>
            </w:r>
          </w:p>
        </w:tc>
      </w:tr>
      <w:tr w:rsidR="0059764A" w14:paraId="20EA9C96" w14:textId="77777777" w:rsidTr="0059764A">
        <w:tc>
          <w:tcPr>
            <w:tcW w:w="2375" w:type="dxa"/>
            <w:vMerge/>
          </w:tcPr>
          <w:p w14:paraId="734EB381" w14:textId="77777777" w:rsidR="0059764A" w:rsidRDefault="0059764A" w:rsidP="0059764A">
            <w:pPr>
              <w:spacing w:line="240" w:lineRule="auto"/>
              <w:rPr>
                <w:rFonts w:eastAsia="Times New Roman" w:cs="Arial"/>
                <w:sz w:val="24"/>
                <w:szCs w:val="24"/>
                <w:lang w:eastAsia="bg-BG"/>
              </w:rPr>
            </w:pPr>
          </w:p>
        </w:tc>
        <w:tc>
          <w:tcPr>
            <w:tcW w:w="2375" w:type="dxa"/>
          </w:tcPr>
          <w:p w14:paraId="2D495F4A" w14:textId="45D84ABB" w:rsidR="0059764A" w:rsidRDefault="0059764A" w:rsidP="0059764A">
            <w:pPr>
              <w:spacing w:line="240" w:lineRule="auto"/>
              <w:rPr>
                <w:rFonts w:eastAsia="Times New Roman" w:cs="Arial"/>
                <w:sz w:val="24"/>
                <w:szCs w:val="24"/>
                <w:lang w:eastAsia="bg-BG"/>
              </w:rPr>
            </w:pPr>
            <w:r>
              <w:t>Редки</w:t>
            </w:r>
          </w:p>
        </w:tc>
        <w:tc>
          <w:tcPr>
            <w:tcW w:w="2375" w:type="dxa"/>
          </w:tcPr>
          <w:p w14:paraId="72D9646F" w14:textId="15B7B257" w:rsidR="0059764A" w:rsidRDefault="0059764A" w:rsidP="0059764A">
            <w:pPr>
              <w:spacing w:line="240" w:lineRule="auto"/>
              <w:rPr>
                <w:rFonts w:eastAsia="Times New Roman" w:cs="Arial"/>
                <w:sz w:val="24"/>
                <w:szCs w:val="24"/>
                <w:lang w:eastAsia="bg-BG"/>
              </w:rPr>
            </w:pPr>
            <w:r>
              <w:t>Ексфолиативен дерматит, уртикария, онихолиза</w:t>
            </w:r>
          </w:p>
        </w:tc>
        <w:tc>
          <w:tcPr>
            <w:tcW w:w="2375" w:type="dxa"/>
          </w:tcPr>
          <w:p w14:paraId="18EEEC44" w14:textId="77777777" w:rsidR="0059764A" w:rsidRDefault="0059764A" w:rsidP="0059764A">
            <w:pPr>
              <w:spacing w:line="240" w:lineRule="auto"/>
              <w:rPr>
                <w:rFonts w:eastAsia="Times New Roman" w:cs="Arial"/>
                <w:sz w:val="24"/>
                <w:szCs w:val="24"/>
                <w:lang w:eastAsia="bg-BG"/>
              </w:rPr>
            </w:pPr>
          </w:p>
        </w:tc>
      </w:tr>
      <w:tr w:rsidR="0059764A" w14:paraId="1E4B7C15" w14:textId="77777777" w:rsidTr="0059764A">
        <w:tc>
          <w:tcPr>
            <w:tcW w:w="2375" w:type="dxa"/>
            <w:vMerge/>
          </w:tcPr>
          <w:p w14:paraId="6385DC97" w14:textId="77777777" w:rsidR="0059764A" w:rsidRDefault="0059764A" w:rsidP="0059764A">
            <w:pPr>
              <w:spacing w:line="240" w:lineRule="auto"/>
              <w:rPr>
                <w:rFonts w:eastAsia="Times New Roman" w:cs="Arial"/>
                <w:sz w:val="24"/>
                <w:szCs w:val="24"/>
                <w:lang w:eastAsia="bg-BG"/>
              </w:rPr>
            </w:pPr>
          </w:p>
        </w:tc>
        <w:tc>
          <w:tcPr>
            <w:tcW w:w="2375" w:type="dxa"/>
          </w:tcPr>
          <w:p w14:paraId="216C6C3E" w14:textId="4341753E" w:rsidR="0059764A" w:rsidRDefault="0059764A" w:rsidP="0059764A">
            <w:pPr>
              <w:spacing w:line="240" w:lineRule="auto"/>
              <w:rPr>
                <w:rFonts w:eastAsia="Times New Roman" w:cs="Arial"/>
                <w:sz w:val="24"/>
                <w:szCs w:val="24"/>
                <w:lang w:eastAsia="bg-BG"/>
              </w:rPr>
            </w:pPr>
            <w:r>
              <w:t>Много редки</w:t>
            </w:r>
          </w:p>
        </w:tc>
        <w:tc>
          <w:tcPr>
            <w:tcW w:w="2375" w:type="dxa"/>
          </w:tcPr>
          <w:p w14:paraId="578142C4" w14:textId="413BA9DC" w:rsidR="0059764A" w:rsidRDefault="0059764A" w:rsidP="0059764A">
            <w:pPr>
              <w:spacing w:line="240" w:lineRule="auto"/>
              <w:rPr>
                <w:rFonts w:eastAsia="Times New Roman" w:cs="Arial"/>
                <w:sz w:val="24"/>
                <w:szCs w:val="24"/>
                <w:lang w:eastAsia="bg-BG"/>
              </w:rPr>
            </w:pPr>
            <w:r>
              <w:t>Реакция на фоточувствителност</w:t>
            </w:r>
          </w:p>
        </w:tc>
        <w:tc>
          <w:tcPr>
            <w:tcW w:w="2375" w:type="dxa"/>
          </w:tcPr>
          <w:p w14:paraId="14EB348B" w14:textId="28F02AB3" w:rsidR="0059764A" w:rsidRDefault="0059764A" w:rsidP="0059764A">
            <w:pPr>
              <w:spacing w:line="240" w:lineRule="auto"/>
              <w:rPr>
                <w:rFonts w:eastAsia="Times New Roman" w:cs="Arial"/>
                <w:sz w:val="24"/>
                <w:szCs w:val="24"/>
                <w:lang w:eastAsia="bg-BG"/>
              </w:rPr>
            </w:pPr>
            <w:r>
              <w:t>Ангиоедем, еритема мултиформе, уртикария, ексфолиативен дерматит, синдром на Стивънс-Джонсън, оток на Квинке, фоточувствителност</w:t>
            </w:r>
          </w:p>
        </w:tc>
      </w:tr>
      <w:tr w:rsidR="0059764A" w14:paraId="3699F769" w14:textId="77777777" w:rsidTr="0059764A">
        <w:tc>
          <w:tcPr>
            <w:tcW w:w="2375" w:type="dxa"/>
            <w:vMerge/>
          </w:tcPr>
          <w:p w14:paraId="50E40553" w14:textId="77777777" w:rsidR="0059764A" w:rsidRDefault="0059764A" w:rsidP="0059764A">
            <w:pPr>
              <w:spacing w:line="240" w:lineRule="auto"/>
              <w:rPr>
                <w:rFonts w:eastAsia="Times New Roman" w:cs="Arial"/>
                <w:sz w:val="24"/>
                <w:szCs w:val="24"/>
                <w:lang w:eastAsia="bg-BG"/>
              </w:rPr>
            </w:pPr>
          </w:p>
        </w:tc>
        <w:tc>
          <w:tcPr>
            <w:tcW w:w="2375" w:type="dxa"/>
          </w:tcPr>
          <w:p w14:paraId="56AD16DF" w14:textId="20A2DD56" w:rsidR="0059764A" w:rsidRDefault="0059764A" w:rsidP="0059764A">
            <w:pPr>
              <w:spacing w:line="240" w:lineRule="auto"/>
              <w:rPr>
                <w:rFonts w:eastAsia="Times New Roman" w:cs="Arial"/>
                <w:sz w:val="24"/>
                <w:szCs w:val="24"/>
                <w:lang w:eastAsia="bg-BG"/>
              </w:rPr>
            </w:pPr>
            <w:r>
              <w:t>С неизвестна честота</w:t>
            </w:r>
          </w:p>
        </w:tc>
        <w:tc>
          <w:tcPr>
            <w:tcW w:w="2375" w:type="dxa"/>
          </w:tcPr>
          <w:p w14:paraId="49533B0F" w14:textId="2311EA96" w:rsidR="0059764A" w:rsidRDefault="0059764A" w:rsidP="0059764A">
            <w:pPr>
              <w:spacing w:line="240" w:lineRule="auto"/>
              <w:rPr>
                <w:rFonts w:eastAsia="Times New Roman" w:cs="Arial"/>
                <w:sz w:val="24"/>
                <w:szCs w:val="24"/>
                <w:lang w:eastAsia="bg-BG"/>
              </w:rPr>
            </w:pPr>
            <w:r>
              <w:t xml:space="preserve">Токсична епидермална некролиза, синдром на Стивънс-Джонсън, еритема мултиформе, пемфигус, влошаване на псориазис, псориазиформен дерматит, пемфигоидна или лихеноидна </w:t>
            </w:r>
            <w:r>
              <w:lastRenderedPageBreak/>
              <w:t>екзантема или енантема, алопеция</w:t>
            </w:r>
          </w:p>
        </w:tc>
        <w:tc>
          <w:tcPr>
            <w:tcW w:w="2375" w:type="dxa"/>
          </w:tcPr>
          <w:p w14:paraId="190D8452" w14:textId="016134C4" w:rsidR="0059764A" w:rsidRDefault="0059764A" w:rsidP="0059764A">
            <w:pPr>
              <w:spacing w:line="240" w:lineRule="auto"/>
              <w:rPr>
                <w:rFonts w:eastAsia="Times New Roman" w:cs="Arial"/>
                <w:sz w:val="24"/>
                <w:szCs w:val="24"/>
                <w:lang w:eastAsia="bg-BG"/>
              </w:rPr>
            </w:pPr>
            <w:r>
              <w:lastRenderedPageBreak/>
              <w:t>Токсична епидермална некролиза</w:t>
            </w:r>
          </w:p>
        </w:tc>
      </w:tr>
      <w:tr w:rsidR="0059764A" w14:paraId="6807AF49" w14:textId="77777777" w:rsidTr="0059764A">
        <w:tc>
          <w:tcPr>
            <w:tcW w:w="2375" w:type="dxa"/>
            <w:vMerge w:val="restart"/>
          </w:tcPr>
          <w:p w14:paraId="4BB544C5" w14:textId="0706B50C" w:rsidR="0059764A" w:rsidRPr="0059764A" w:rsidRDefault="0059764A" w:rsidP="0059764A">
            <w:r>
              <w:t>Нарушения на мускулно-скелетната система и съединителната тъкан</w:t>
            </w:r>
          </w:p>
        </w:tc>
        <w:tc>
          <w:tcPr>
            <w:tcW w:w="2375" w:type="dxa"/>
          </w:tcPr>
          <w:p w14:paraId="041C1A4E" w14:textId="152DD994" w:rsidR="0059764A" w:rsidRDefault="0059764A" w:rsidP="0059764A">
            <w:pPr>
              <w:spacing w:line="240" w:lineRule="auto"/>
              <w:rPr>
                <w:rFonts w:eastAsia="Times New Roman" w:cs="Arial"/>
                <w:sz w:val="24"/>
                <w:szCs w:val="24"/>
                <w:lang w:eastAsia="bg-BG"/>
              </w:rPr>
            </w:pPr>
            <w:r>
              <w:t>Чести</w:t>
            </w:r>
          </w:p>
        </w:tc>
        <w:tc>
          <w:tcPr>
            <w:tcW w:w="2375" w:type="dxa"/>
          </w:tcPr>
          <w:p w14:paraId="4529C28E" w14:textId="1B00CB99" w:rsidR="0059764A" w:rsidRDefault="0059764A" w:rsidP="0059764A">
            <w:pPr>
              <w:spacing w:line="240" w:lineRule="auto"/>
              <w:rPr>
                <w:rFonts w:eastAsia="Times New Roman" w:cs="Arial"/>
                <w:sz w:val="24"/>
                <w:szCs w:val="24"/>
                <w:lang w:eastAsia="bg-BG"/>
              </w:rPr>
            </w:pPr>
            <w:r>
              <w:t>Мускулни спазми, миалгия</w:t>
            </w:r>
          </w:p>
        </w:tc>
        <w:tc>
          <w:tcPr>
            <w:tcW w:w="2375" w:type="dxa"/>
          </w:tcPr>
          <w:p w14:paraId="6E199F78" w14:textId="088F7557" w:rsidR="0059764A" w:rsidRDefault="0059764A" w:rsidP="0059764A">
            <w:pPr>
              <w:spacing w:line="240" w:lineRule="auto"/>
              <w:rPr>
                <w:rFonts w:eastAsia="Times New Roman" w:cs="Arial"/>
                <w:sz w:val="24"/>
                <w:szCs w:val="24"/>
                <w:lang w:eastAsia="bg-BG"/>
              </w:rPr>
            </w:pPr>
            <w:r>
              <w:t>Оток на глезените</w:t>
            </w:r>
          </w:p>
        </w:tc>
      </w:tr>
      <w:tr w:rsidR="0059764A" w14:paraId="4C9D4E3B" w14:textId="77777777" w:rsidTr="0059764A">
        <w:tc>
          <w:tcPr>
            <w:tcW w:w="2375" w:type="dxa"/>
            <w:vMerge/>
          </w:tcPr>
          <w:p w14:paraId="09DC648E" w14:textId="77777777" w:rsidR="0059764A" w:rsidRDefault="0059764A" w:rsidP="0059764A">
            <w:pPr>
              <w:spacing w:line="240" w:lineRule="auto"/>
              <w:rPr>
                <w:rFonts w:eastAsia="Times New Roman" w:cs="Arial"/>
                <w:sz w:val="24"/>
                <w:szCs w:val="24"/>
                <w:lang w:eastAsia="bg-BG"/>
              </w:rPr>
            </w:pPr>
          </w:p>
        </w:tc>
        <w:tc>
          <w:tcPr>
            <w:tcW w:w="2375" w:type="dxa"/>
          </w:tcPr>
          <w:p w14:paraId="670A57AD" w14:textId="02954C66" w:rsidR="0059764A" w:rsidRDefault="0059764A" w:rsidP="0059764A">
            <w:pPr>
              <w:spacing w:line="240" w:lineRule="auto"/>
              <w:rPr>
                <w:rFonts w:eastAsia="Times New Roman" w:cs="Arial"/>
                <w:sz w:val="24"/>
                <w:szCs w:val="24"/>
                <w:lang w:eastAsia="bg-BG"/>
              </w:rPr>
            </w:pPr>
            <w:r>
              <w:t>Нечести</w:t>
            </w:r>
          </w:p>
        </w:tc>
        <w:tc>
          <w:tcPr>
            <w:tcW w:w="2375" w:type="dxa"/>
          </w:tcPr>
          <w:p w14:paraId="12D27B9D" w14:textId="34A0849A" w:rsidR="0059764A" w:rsidRDefault="0059764A" w:rsidP="0059764A">
            <w:pPr>
              <w:spacing w:line="240" w:lineRule="auto"/>
              <w:rPr>
                <w:rFonts w:eastAsia="Times New Roman" w:cs="Arial"/>
                <w:sz w:val="24"/>
                <w:szCs w:val="24"/>
                <w:lang w:eastAsia="bg-BG"/>
              </w:rPr>
            </w:pPr>
            <w:r>
              <w:t>Артралгия</w:t>
            </w:r>
          </w:p>
        </w:tc>
        <w:tc>
          <w:tcPr>
            <w:tcW w:w="2375" w:type="dxa"/>
          </w:tcPr>
          <w:p w14:paraId="2FDD01DD" w14:textId="0D0BCD7C" w:rsidR="0059764A" w:rsidRDefault="0059764A" w:rsidP="0059764A">
            <w:pPr>
              <w:spacing w:line="240" w:lineRule="auto"/>
              <w:rPr>
                <w:rFonts w:eastAsia="Times New Roman" w:cs="Arial"/>
                <w:sz w:val="24"/>
                <w:szCs w:val="24"/>
                <w:lang w:eastAsia="bg-BG"/>
              </w:rPr>
            </w:pPr>
            <w:r>
              <w:t>Артралгия, миалгия, мускулни крампи, болки в гърба</w:t>
            </w:r>
          </w:p>
        </w:tc>
      </w:tr>
      <w:tr w:rsidR="0059764A" w14:paraId="4C87383D" w14:textId="77777777" w:rsidTr="0059764A">
        <w:tc>
          <w:tcPr>
            <w:tcW w:w="2375" w:type="dxa"/>
          </w:tcPr>
          <w:p w14:paraId="49CF0A32" w14:textId="18D6C7BF" w:rsidR="0059764A" w:rsidRDefault="0059764A" w:rsidP="0059764A">
            <w:pPr>
              <w:spacing w:line="240" w:lineRule="auto"/>
              <w:rPr>
                <w:rFonts w:eastAsia="Times New Roman" w:cs="Arial"/>
                <w:sz w:val="24"/>
                <w:szCs w:val="24"/>
                <w:lang w:eastAsia="bg-BG"/>
              </w:rPr>
            </w:pPr>
            <w:r>
              <w:t>Нарушения на бъбреците и пикочните пътища</w:t>
            </w:r>
          </w:p>
        </w:tc>
        <w:tc>
          <w:tcPr>
            <w:tcW w:w="2375" w:type="dxa"/>
          </w:tcPr>
          <w:p w14:paraId="26C6F50F" w14:textId="02B9989F" w:rsidR="0059764A" w:rsidRDefault="0059764A" w:rsidP="0059764A">
            <w:pPr>
              <w:spacing w:line="240" w:lineRule="auto"/>
              <w:rPr>
                <w:rFonts w:eastAsia="Times New Roman" w:cs="Arial"/>
                <w:sz w:val="24"/>
                <w:szCs w:val="24"/>
                <w:lang w:eastAsia="bg-BG"/>
              </w:rPr>
            </w:pPr>
            <w:r>
              <w:t>Нечести</w:t>
            </w:r>
          </w:p>
        </w:tc>
        <w:tc>
          <w:tcPr>
            <w:tcW w:w="2375" w:type="dxa"/>
          </w:tcPr>
          <w:p w14:paraId="39B41292" w14:textId="2520C203" w:rsidR="0059764A" w:rsidRDefault="0059764A" w:rsidP="0059764A">
            <w:pPr>
              <w:spacing w:line="240" w:lineRule="auto"/>
              <w:rPr>
                <w:rFonts w:eastAsia="Times New Roman" w:cs="Arial"/>
                <w:sz w:val="24"/>
                <w:szCs w:val="24"/>
                <w:lang w:eastAsia="bg-BG"/>
              </w:rPr>
            </w:pPr>
            <w:r>
              <w:t>Бъбречно увреждане, включително остра бъбречна недостатъчност, увеличена диуреза, влошаване на вече съществуваща протеинурия, повишена кръвна урея, повишен креатинин в кръвта</w:t>
            </w:r>
          </w:p>
        </w:tc>
        <w:tc>
          <w:tcPr>
            <w:tcW w:w="2375" w:type="dxa"/>
          </w:tcPr>
          <w:p w14:paraId="4C3947E0" w14:textId="74BFB40C" w:rsidR="0059764A" w:rsidRDefault="0059764A" w:rsidP="0059764A">
            <w:pPr>
              <w:spacing w:line="240" w:lineRule="auto"/>
              <w:rPr>
                <w:rFonts w:eastAsia="Times New Roman" w:cs="Arial"/>
                <w:sz w:val="24"/>
                <w:szCs w:val="24"/>
                <w:lang w:eastAsia="bg-BG"/>
              </w:rPr>
            </w:pPr>
            <w:r>
              <w:t>Нарушения на микцията, никтурия, повишена честота на уриниране</w:t>
            </w:r>
          </w:p>
        </w:tc>
      </w:tr>
      <w:tr w:rsidR="0059764A" w14:paraId="75849865" w14:textId="77777777" w:rsidTr="0059764A">
        <w:tc>
          <w:tcPr>
            <w:tcW w:w="2375" w:type="dxa"/>
            <w:vMerge w:val="restart"/>
          </w:tcPr>
          <w:p w14:paraId="7A854A28" w14:textId="796B21B9" w:rsidR="0059764A" w:rsidRDefault="0059764A" w:rsidP="0059764A">
            <w:pPr>
              <w:spacing w:line="240" w:lineRule="auto"/>
              <w:rPr>
                <w:rFonts w:eastAsia="Times New Roman" w:cs="Arial"/>
                <w:sz w:val="24"/>
                <w:szCs w:val="24"/>
                <w:lang w:eastAsia="bg-BG"/>
              </w:rPr>
            </w:pPr>
            <w:r>
              <w:t>Нарушения на репродуктивната система и гърдата</w:t>
            </w:r>
          </w:p>
        </w:tc>
        <w:tc>
          <w:tcPr>
            <w:tcW w:w="2375" w:type="dxa"/>
          </w:tcPr>
          <w:p w14:paraId="667AE41A" w14:textId="1DF9AFAB" w:rsidR="0059764A" w:rsidRDefault="0059764A" w:rsidP="0059764A">
            <w:pPr>
              <w:spacing w:line="240" w:lineRule="auto"/>
              <w:rPr>
                <w:rFonts w:eastAsia="Times New Roman" w:cs="Arial"/>
                <w:sz w:val="24"/>
                <w:szCs w:val="24"/>
                <w:lang w:eastAsia="bg-BG"/>
              </w:rPr>
            </w:pPr>
            <w:r>
              <w:t>Нечести</w:t>
            </w:r>
          </w:p>
        </w:tc>
        <w:tc>
          <w:tcPr>
            <w:tcW w:w="2375" w:type="dxa"/>
          </w:tcPr>
          <w:p w14:paraId="138DB827" w14:textId="0ED4F789" w:rsidR="0059764A" w:rsidRDefault="0059764A" w:rsidP="0059764A">
            <w:pPr>
              <w:spacing w:line="240" w:lineRule="auto"/>
              <w:rPr>
                <w:rFonts w:eastAsia="Times New Roman" w:cs="Arial"/>
                <w:sz w:val="24"/>
                <w:szCs w:val="24"/>
                <w:lang w:eastAsia="bg-BG"/>
              </w:rPr>
            </w:pPr>
            <w:r>
              <w:t>Преходна еректилна импотентност, намалено либидо</w:t>
            </w:r>
          </w:p>
        </w:tc>
        <w:tc>
          <w:tcPr>
            <w:tcW w:w="2375" w:type="dxa"/>
          </w:tcPr>
          <w:p w14:paraId="3EDE6990" w14:textId="1B28F007" w:rsidR="0059764A" w:rsidRDefault="0059764A" w:rsidP="0059764A">
            <w:pPr>
              <w:spacing w:line="240" w:lineRule="auto"/>
              <w:rPr>
                <w:rFonts w:eastAsia="Times New Roman" w:cs="Arial"/>
                <w:sz w:val="24"/>
                <w:szCs w:val="24"/>
                <w:lang w:eastAsia="bg-BG"/>
              </w:rPr>
            </w:pPr>
            <w:r>
              <w:t>Импотентност, гинекомастия</w:t>
            </w:r>
          </w:p>
        </w:tc>
      </w:tr>
      <w:tr w:rsidR="0059764A" w14:paraId="2AE78974" w14:textId="77777777" w:rsidTr="0059764A">
        <w:tc>
          <w:tcPr>
            <w:tcW w:w="2375" w:type="dxa"/>
            <w:vMerge/>
          </w:tcPr>
          <w:p w14:paraId="7AD747C9" w14:textId="77777777" w:rsidR="0059764A" w:rsidRDefault="0059764A" w:rsidP="0059764A">
            <w:pPr>
              <w:spacing w:line="240" w:lineRule="auto"/>
              <w:rPr>
                <w:rFonts w:eastAsia="Times New Roman" w:cs="Arial"/>
                <w:sz w:val="24"/>
                <w:szCs w:val="24"/>
                <w:lang w:eastAsia="bg-BG"/>
              </w:rPr>
            </w:pPr>
          </w:p>
        </w:tc>
        <w:tc>
          <w:tcPr>
            <w:tcW w:w="2375" w:type="dxa"/>
          </w:tcPr>
          <w:p w14:paraId="2FE9D5D8" w14:textId="0C8D0B4C" w:rsidR="0059764A" w:rsidRDefault="0059764A" w:rsidP="0059764A">
            <w:pPr>
              <w:spacing w:line="240" w:lineRule="auto"/>
              <w:rPr>
                <w:rFonts w:eastAsia="Times New Roman" w:cs="Arial"/>
                <w:sz w:val="24"/>
                <w:szCs w:val="24"/>
                <w:lang w:eastAsia="bg-BG"/>
              </w:rPr>
            </w:pPr>
            <w:r>
              <w:t>С неизвестна честота</w:t>
            </w:r>
          </w:p>
        </w:tc>
        <w:tc>
          <w:tcPr>
            <w:tcW w:w="2375" w:type="dxa"/>
          </w:tcPr>
          <w:p w14:paraId="38BD81A2" w14:textId="19F7126B" w:rsidR="0059764A" w:rsidRDefault="0059764A" w:rsidP="0059764A">
            <w:pPr>
              <w:spacing w:line="240" w:lineRule="auto"/>
              <w:rPr>
                <w:rFonts w:eastAsia="Times New Roman" w:cs="Arial"/>
                <w:sz w:val="24"/>
                <w:szCs w:val="24"/>
                <w:lang w:eastAsia="bg-BG"/>
              </w:rPr>
            </w:pPr>
            <w:r>
              <w:t>Гинекомастия</w:t>
            </w:r>
          </w:p>
        </w:tc>
        <w:tc>
          <w:tcPr>
            <w:tcW w:w="2375" w:type="dxa"/>
          </w:tcPr>
          <w:p w14:paraId="5922E63D" w14:textId="77777777" w:rsidR="0059764A" w:rsidRDefault="0059764A" w:rsidP="0059764A">
            <w:pPr>
              <w:spacing w:line="240" w:lineRule="auto"/>
              <w:rPr>
                <w:rFonts w:eastAsia="Times New Roman" w:cs="Arial"/>
                <w:sz w:val="24"/>
                <w:szCs w:val="24"/>
                <w:lang w:eastAsia="bg-BG"/>
              </w:rPr>
            </w:pPr>
          </w:p>
        </w:tc>
      </w:tr>
      <w:tr w:rsidR="0059764A" w14:paraId="2AF3AE30" w14:textId="77777777" w:rsidTr="0059764A">
        <w:tc>
          <w:tcPr>
            <w:tcW w:w="2375" w:type="dxa"/>
            <w:vMerge w:val="restart"/>
          </w:tcPr>
          <w:p w14:paraId="0F90F212" w14:textId="368A4200" w:rsidR="0059764A" w:rsidRDefault="0059764A" w:rsidP="0059764A">
            <w:pPr>
              <w:spacing w:line="240" w:lineRule="auto"/>
              <w:rPr>
                <w:rFonts w:eastAsia="Times New Roman" w:cs="Arial"/>
                <w:sz w:val="24"/>
                <w:szCs w:val="24"/>
                <w:lang w:eastAsia="bg-BG"/>
              </w:rPr>
            </w:pPr>
            <w:r>
              <w:t>Общи нарушения и ефекти на мястото на приложение</w:t>
            </w:r>
          </w:p>
        </w:tc>
        <w:tc>
          <w:tcPr>
            <w:tcW w:w="2375" w:type="dxa"/>
          </w:tcPr>
          <w:p w14:paraId="46A36897" w14:textId="7112DD81" w:rsidR="0059764A" w:rsidRDefault="0059764A" w:rsidP="0059764A">
            <w:pPr>
              <w:spacing w:line="240" w:lineRule="auto"/>
              <w:rPr>
                <w:rFonts w:eastAsia="Times New Roman" w:cs="Arial"/>
                <w:sz w:val="24"/>
                <w:szCs w:val="24"/>
                <w:lang w:eastAsia="bg-BG"/>
              </w:rPr>
            </w:pPr>
            <w:r>
              <w:t>Чести</w:t>
            </w:r>
          </w:p>
        </w:tc>
        <w:tc>
          <w:tcPr>
            <w:tcW w:w="2375" w:type="dxa"/>
          </w:tcPr>
          <w:p w14:paraId="05F050B6" w14:textId="7BC88017" w:rsidR="0059764A" w:rsidRDefault="0059764A" w:rsidP="0059764A">
            <w:pPr>
              <w:spacing w:line="240" w:lineRule="auto"/>
              <w:rPr>
                <w:rFonts w:eastAsia="Times New Roman" w:cs="Arial"/>
                <w:sz w:val="24"/>
                <w:szCs w:val="24"/>
                <w:lang w:eastAsia="bg-BG"/>
              </w:rPr>
            </w:pPr>
            <w:r>
              <w:t>Болка в гърдите, умора</w:t>
            </w:r>
          </w:p>
        </w:tc>
        <w:tc>
          <w:tcPr>
            <w:tcW w:w="2375" w:type="dxa"/>
          </w:tcPr>
          <w:p w14:paraId="6F550026" w14:textId="55E6F7A7" w:rsidR="0059764A" w:rsidRDefault="0059764A" w:rsidP="0059764A">
            <w:pPr>
              <w:spacing w:line="240" w:lineRule="auto"/>
              <w:rPr>
                <w:rFonts w:eastAsia="Times New Roman" w:cs="Arial"/>
                <w:sz w:val="24"/>
                <w:szCs w:val="24"/>
                <w:lang w:eastAsia="bg-BG"/>
              </w:rPr>
            </w:pPr>
            <w:r>
              <w:t>Оток, умора</w:t>
            </w:r>
          </w:p>
        </w:tc>
      </w:tr>
      <w:tr w:rsidR="0059764A" w14:paraId="2AADE4A1" w14:textId="77777777" w:rsidTr="0059764A">
        <w:tc>
          <w:tcPr>
            <w:tcW w:w="2375" w:type="dxa"/>
            <w:vMerge/>
          </w:tcPr>
          <w:p w14:paraId="616E2EFE" w14:textId="77777777" w:rsidR="0059764A" w:rsidRDefault="0059764A" w:rsidP="0059764A">
            <w:pPr>
              <w:spacing w:line="240" w:lineRule="auto"/>
              <w:rPr>
                <w:rFonts w:eastAsia="Times New Roman" w:cs="Arial"/>
                <w:sz w:val="24"/>
                <w:szCs w:val="24"/>
                <w:lang w:eastAsia="bg-BG"/>
              </w:rPr>
            </w:pPr>
          </w:p>
        </w:tc>
        <w:tc>
          <w:tcPr>
            <w:tcW w:w="2375" w:type="dxa"/>
          </w:tcPr>
          <w:p w14:paraId="5B0DB205" w14:textId="18B7A0E8" w:rsidR="0059764A" w:rsidRDefault="0059764A" w:rsidP="0059764A">
            <w:pPr>
              <w:spacing w:line="240" w:lineRule="auto"/>
              <w:rPr>
                <w:rFonts w:eastAsia="Times New Roman" w:cs="Arial"/>
                <w:sz w:val="24"/>
                <w:szCs w:val="24"/>
                <w:lang w:eastAsia="bg-BG"/>
              </w:rPr>
            </w:pPr>
            <w:r>
              <w:t>Нечести</w:t>
            </w:r>
          </w:p>
        </w:tc>
        <w:tc>
          <w:tcPr>
            <w:tcW w:w="2375" w:type="dxa"/>
          </w:tcPr>
          <w:p w14:paraId="37734B4D" w14:textId="57A49296" w:rsidR="0059764A" w:rsidRDefault="0059764A" w:rsidP="0059764A">
            <w:pPr>
              <w:spacing w:line="240" w:lineRule="auto"/>
              <w:rPr>
                <w:rFonts w:eastAsia="Times New Roman" w:cs="Arial"/>
                <w:sz w:val="24"/>
                <w:szCs w:val="24"/>
                <w:lang w:eastAsia="bg-BG"/>
              </w:rPr>
            </w:pPr>
            <w:r>
              <w:t>Пирексия</w:t>
            </w:r>
          </w:p>
        </w:tc>
        <w:tc>
          <w:tcPr>
            <w:tcW w:w="2375" w:type="dxa"/>
          </w:tcPr>
          <w:p w14:paraId="5D1C8883" w14:textId="5F986812" w:rsidR="0059764A" w:rsidRDefault="0059764A" w:rsidP="0059764A">
            <w:pPr>
              <w:spacing w:line="240" w:lineRule="auto"/>
              <w:rPr>
                <w:rFonts w:eastAsia="Times New Roman" w:cs="Arial"/>
                <w:sz w:val="24"/>
                <w:szCs w:val="24"/>
                <w:lang w:eastAsia="bg-BG"/>
              </w:rPr>
            </w:pPr>
            <w:r>
              <w:t>Болка в гърдите, астения, болка, физическо неразположение</w:t>
            </w:r>
          </w:p>
        </w:tc>
      </w:tr>
      <w:tr w:rsidR="0059764A" w14:paraId="0ACDC21C" w14:textId="77777777" w:rsidTr="0059764A">
        <w:tc>
          <w:tcPr>
            <w:tcW w:w="2375" w:type="dxa"/>
            <w:vMerge/>
          </w:tcPr>
          <w:p w14:paraId="6C28C290" w14:textId="77777777" w:rsidR="0059764A" w:rsidRDefault="0059764A" w:rsidP="0059764A">
            <w:pPr>
              <w:spacing w:line="240" w:lineRule="auto"/>
              <w:rPr>
                <w:rFonts w:eastAsia="Times New Roman" w:cs="Arial"/>
                <w:sz w:val="24"/>
                <w:szCs w:val="24"/>
                <w:lang w:eastAsia="bg-BG"/>
              </w:rPr>
            </w:pPr>
          </w:p>
        </w:tc>
        <w:tc>
          <w:tcPr>
            <w:tcW w:w="2375" w:type="dxa"/>
          </w:tcPr>
          <w:p w14:paraId="72BCF27D" w14:textId="74DD63BC" w:rsidR="0059764A" w:rsidRDefault="0059764A" w:rsidP="0059764A">
            <w:pPr>
              <w:spacing w:line="240" w:lineRule="auto"/>
              <w:rPr>
                <w:rFonts w:eastAsia="Times New Roman" w:cs="Arial"/>
                <w:sz w:val="24"/>
                <w:szCs w:val="24"/>
                <w:lang w:eastAsia="bg-BG"/>
              </w:rPr>
            </w:pPr>
            <w:r>
              <w:t>Редки</w:t>
            </w:r>
          </w:p>
        </w:tc>
        <w:tc>
          <w:tcPr>
            <w:tcW w:w="2375" w:type="dxa"/>
          </w:tcPr>
          <w:p w14:paraId="55AFA011" w14:textId="6C482465" w:rsidR="0059764A" w:rsidRDefault="0059764A" w:rsidP="0059764A">
            <w:pPr>
              <w:spacing w:line="240" w:lineRule="auto"/>
              <w:rPr>
                <w:rFonts w:eastAsia="Times New Roman" w:cs="Arial"/>
                <w:sz w:val="24"/>
                <w:szCs w:val="24"/>
                <w:lang w:eastAsia="bg-BG"/>
              </w:rPr>
            </w:pPr>
            <w:r>
              <w:t>Астения</w:t>
            </w:r>
          </w:p>
        </w:tc>
        <w:tc>
          <w:tcPr>
            <w:tcW w:w="2375" w:type="dxa"/>
          </w:tcPr>
          <w:p w14:paraId="4D9C935A" w14:textId="77777777" w:rsidR="0059764A" w:rsidRDefault="0059764A" w:rsidP="0059764A">
            <w:pPr>
              <w:spacing w:line="240" w:lineRule="auto"/>
              <w:rPr>
                <w:rFonts w:eastAsia="Times New Roman" w:cs="Arial"/>
                <w:sz w:val="24"/>
                <w:szCs w:val="24"/>
                <w:lang w:eastAsia="bg-BG"/>
              </w:rPr>
            </w:pPr>
          </w:p>
        </w:tc>
      </w:tr>
      <w:tr w:rsidR="0059764A" w14:paraId="5180FA21" w14:textId="77777777" w:rsidTr="0059764A">
        <w:tc>
          <w:tcPr>
            <w:tcW w:w="2375" w:type="dxa"/>
          </w:tcPr>
          <w:p w14:paraId="129C5A8E" w14:textId="26A935B2" w:rsidR="0059764A" w:rsidRDefault="0059764A" w:rsidP="0059764A">
            <w:pPr>
              <w:spacing w:line="240" w:lineRule="auto"/>
              <w:rPr>
                <w:rFonts w:eastAsia="Times New Roman" w:cs="Arial"/>
                <w:sz w:val="24"/>
                <w:szCs w:val="24"/>
                <w:lang w:eastAsia="bg-BG"/>
              </w:rPr>
            </w:pPr>
            <w:r>
              <w:t>Изследвания</w:t>
            </w:r>
          </w:p>
        </w:tc>
        <w:tc>
          <w:tcPr>
            <w:tcW w:w="2375" w:type="dxa"/>
          </w:tcPr>
          <w:p w14:paraId="134ABDC6" w14:textId="447DC302" w:rsidR="0059764A" w:rsidRDefault="0059764A" w:rsidP="0059764A">
            <w:pPr>
              <w:spacing w:line="240" w:lineRule="auto"/>
              <w:rPr>
                <w:rFonts w:eastAsia="Times New Roman" w:cs="Arial"/>
                <w:sz w:val="24"/>
                <w:szCs w:val="24"/>
                <w:lang w:eastAsia="bg-BG"/>
              </w:rPr>
            </w:pPr>
            <w:r>
              <w:t>Нечести</w:t>
            </w:r>
          </w:p>
        </w:tc>
        <w:tc>
          <w:tcPr>
            <w:tcW w:w="2375" w:type="dxa"/>
          </w:tcPr>
          <w:p w14:paraId="355F13A5" w14:textId="77777777" w:rsidR="0059764A" w:rsidRDefault="0059764A" w:rsidP="0059764A">
            <w:pPr>
              <w:spacing w:line="240" w:lineRule="auto"/>
              <w:rPr>
                <w:rFonts w:eastAsia="Times New Roman" w:cs="Arial"/>
                <w:sz w:val="24"/>
                <w:szCs w:val="24"/>
                <w:lang w:eastAsia="bg-BG"/>
              </w:rPr>
            </w:pPr>
          </w:p>
        </w:tc>
        <w:tc>
          <w:tcPr>
            <w:tcW w:w="2375" w:type="dxa"/>
          </w:tcPr>
          <w:p w14:paraId="1B817C0F" w14:textId="27AEF94C" w:rsidR="0059764A" w:rsidRDefault="0059764A" w:rsidP="0059764A">
            <w:pPr>
              <w:spacing w:line="240" w:lineRule="auto"/>
              <w:rPr>
                <w:rFonts w:eastAsia="Times New Roman" w:cs="Arial"/>
                <w:sz w:val="24"/>
                <w:szCs w:val="24"/>
                <w:lang w:eastAsia="bg-BG"/>
              </w:rPr>
            </w:pPr>
            <w:r>
              <w:t>Повишаване на теглото, намаляване на теглото</w:t>
            </w:r>
          </w:p>
        </w:tc>
      </w:tr>
    </w:tbl>
    <w:p w14:paraId="09665121" w14:textId="77777777" w:rsidR="0059764A" w:rsidRPr="0059764A" w:rsidRDefault="0059764A" w:rsidP="0059764A">
      <w:pPr>
        <w:spacing w:line="240" w:lineRule="auto"/>
        <w:rPr>
          <w:rFonts w:eastAsia="Times New Roman" w:cs="Arial"/>
          <w:lang w:eastAsia="bg-BG"/>
        </w:rPr>
      </w:pPr>
      <w:r w:rsidRPr="0059764A">
        <w:rPr>
          <w:rFonts w:eastAsia="Times New Roman" w:cs="Arial"/>
          <w:color w:val="000000"/>
          <w:lang w:eastAsia="bg-BG"/>
        </w:rPr>
        <w:t>*в повечето случаи с холестаза</w:t>
      </w:r>
    </w:p>
    <w:p w14:paraId="49852DCB" w14:textId="77777777" w:rsidR="0059764A" w:rsidRPr="0059764A" w:rsidRDefault="0059764A" w:rsidP="0059764A">
      <w:pPr>
        <w:spacing w:line="240" w:lineRule="auto"/>
        <w:rPr>
          <w:rFonts w:eastAsia="Times New Roman" w:cs="Arial"/>
          <w:color w:val="000000"/>
          <w:u w:val="single"/>
          <w:lang w:eastAsia="bg-BG"/>
        </w:rPr>
      </w:pPr>
    </w:p>
    <w:p w14:paraId="35431E27" w14:textId="393536D4" w:rsidR="0059764A" w:rsidRPr="0059764A" w:rsidRDefault="0059764A" w:rsidP="0059764A">
      <w:pPr>
        <w:spacing w:line="240" w:lineRule="auto"/>
        <w:rPr>
          <w:rFonts w:eastAsia="Times New Roman" w:cs="Arial"/>
          <w:lang w:eastAsia="bg-BG"/>
        </w:rPr>
      </w:pPr>
      <w:r w:rsidRPr="0059764A">
        <w:rPr>
          <w:rFonts w:eastAsia="Times New Roman" w:cs="Arial"/>
          <w:color w:val="000000"/>
          <w:u w:val="single"/>
          <w:lang w:eastAsia="bg-BG"/>
        </w:rPr>
        <w:t>Педиатрична популация</w:t>
      </w:r>
    </w:p>
    <w:p w14:paraId="64BD41E5" w14:textId="77777777" w:rsidR="0059764A" w:rsidRPr="0059764A" w:rsidRDefault="0059764A" w:rsidP="0059764A">
      <w:pPr>
        <w:spacing w:line="240" w:lineRule="auto"/>
        <w:rPr>
          <w:rFonts w:eastAsia="Times New Roman" w:cs="Arial"/>
          <w:lang w:eastAsia="bg-BG"/>
        </w:rPr>
      </w:pPr>
      <w:r w:rsidRPr="0059764A">
        <w:rPr>
          <w:rFonts w:eastAsia="Times New Roman" w:cs="Arial"/>
          <w:color w:val="000000"/>
          <w:lang w:eastAsia="bg-BG"/>
        </w:rPr>
        <w:t>Безопасността от приложението на рамиприл е наблюдавана по време на 2 клинични проучвания при 325 деца и юноши на възраст 2-16 години. Като цяло естеството и тежестта на нежеланите лекарствени реакции са сходни с тези при възрастните. При деца честотата на следните нежелани лекарствени е по-висока:</w:t>
      </w:r>
    </w:p>
    <w:p w14:paraId="6F15B26A" w14:textId="77777777" w:rsidR="0059764A" w:rsidRPr="0059764A" w:rsidRDefault="0059764A" w:rsidP="0059764A">
      <w:pPr>
        <w:pStyle w:val="ListParagraph"/>
        <w:numPr>
          <w:ilvl w:val="0"/>
          <w:numId w:val="41"/>
        </w:numPr>
        <w:spacing w:line="240" w:lineRule="auto"/>
        <w:rPr>
          <w:rFonts w:eastAsia="Times New Roman" w:cs="Arial"/>
          <w:lang w:eastAsia="bg-BG"/>
        </w:rPr>
      </w:pPr>
      <w:r w:rsidRPr="0059764A">
        <w:rPr>
          <w:rFonts w:eastAsia="Times New Roman" w:cs="Arial"/>
          <w:color w:val="000000"/>
          <w:lang w:eastAsia="bg-BG"/>
        </w:rPr>
        <w:t xml:space="preserve">Тахикардия, запушен нос и ринит при педиатричната популация са "чести” (т.е. ≥1/100 до &lt;1/10) и "нечести" (т.е. ≥1/1 000 до &lt;1/100) в популацията на възрастните пациенти. </w:t>
      </w:r>
    </w:p>
    <w:p w14:paraId="6E821B40" w14:textId="77777777" w:rsidR="0059764A" w:rsidRPr="0059764A" w:rsidRDefault="0059764A" w:rsidP="0059764A">
      <w:pPr>
        <w:pStyle w:val="ListParagraph"/>
        <w:numPr>
          <w:ilvl w:val="0"/>
          <w:numId w:val="41"/>
        </w:numPr>
        <w:spacing w:line="240" w:lineRule="auto"/>
        <w:rPr>
          <w:rFonts w:eastAsia="Times New Roman" w:cs="Arial"/>
          <w:lang w:eastAsia="bg-BG"/>
        </w:rPr>
      </w:pPr>
      <w:r w:rsidRPr="0059764A">
        <w:rPr>
          <w:rFonts w:eastAsia="Times New Roman" w:cs="Arial"/>
          <w:color w:val="000000"/>
          <w:lang w:eastAsia="bg-BG"/>
        </w:rPr>
        <w:t>Конюнктивитът при педиатричната популация е "чест" (т.е., ≥1/100 до &lt;1/10), докато при популацията възрастни е "рядък" (т.е. ≥1/10 000 до &lt;1/1 000).</w:t>
      </w:r>
    </w:p>
    <w:p w14:paraId="4FFBE07A" w14:textId="58A5DFA8" w:rsidR="0059764A" w:rsidRPr="0059764A" w:rsidRDefault="0059764A" w:rsidP="0059764A">
      <w:pPr>
        <w:pStyle w:val="ListParagraph"/>
        <w:numPr>
          <w:ilvl w:val="0"/>
          <w:numId w:val="41"/>
        </w:numPr>
        <w:spacing w:line="240" w:lineRule="auto"/>
        <w:rPr>
          <w:rFonts w:eastAsia="Times New Roman" w:cs="Arial"/>
          <w:lang w:eastAsia="bg-BG"/>
        </w:rPr>
      </w:pPr>
      <w:r w:rsidRPr="0059764A">
        <w:rPr>
          <w:rFonts w:eastAsia="Times New Roman" w:cs="Arial"/>
          <w:color w:val="000000"/>
          <w:lang w:eastAsia="bg-BG"/>
        </w:rPr>
        <w:t>Тремор и уртикария при педиатричната популация са ’’нечести" (т.е. ≥1/1 000 до &lt;1/100), докато в популацията на възрастните пациенти са "редки" (т.е. ≥1/10 000 до &lt;1/1 000). Като цяло профилът на безопасност на рамиприл при педиатрични пациенти не се различава значително от профила на безопасност при възрастни.</w:t>
      </w:r>
    </w:p>
    <w:p w14:paraId="4368E6BF" w14:textId="77777777" w:rsidR="0059764A" w:rsidRPr="0059764A" w:rsidRDefault="0059764A" w:rsidP="0059764A">
      <w:pPr>
        <w:spacing w:line="240" w:lineRule="auto"/>
        <w:rPr>
          <w:rFonts w:eastAsia="Times New Roman" w:cs="Arial"/>
          <w:color w:val="000000"/>
          <w:u w:val="single"/>
          <w:lang w:eastAsia="bg-BG"/>
        </w:rPr>
      </w:pPr>
    </w:p>
    <w:p w14:paraId="0CDF8FE0" w14:textId="105C63AF" w:rsidR="0059764A" w:rsidRPr="0059764A" w:rsidRDefault="0059764A" w:rsidP="0059764A">
      <w:pPr>
        <w:spacing w:line="240" w:lineRule="auto"/>
        <w:rPr>
          <w:rFonts w:eastAsia="Times New Roman" w:cs="Arial"/>
          <w:lang w:eastAsia="bg-BG"/>
        </w:rPr>
      </w:pPr>
      <w:r w:rsidRPr="0059764A">
        <w:rPr>
          <w:rFonts w:eastAsia="Times New Roman" w:cs="Arial"/>
          <w:color w:val="000000"/>
          <w:u w:val="single"/>
          <w:lang w:eastAsia="bg-BG"/>
        </w:rPr>
        <w:t>Съобщаване на подозирани нежелани реакции</w:t>
      </w:r>
    </w:p>
    <w:p w14:paraId="779F38E6" w14:textId="77777777" w:rsidR="0059764A" w:rsidRPr="0059764A" w:rsidRDefault="0059764A" w:rsidP="0059764A">
      <w:pPr>
        <w:spacing w:line="240" w:lineRule="auto"/>
        <w:rPr>
          <w:rFonts w:eastAsia="Times New Roman" w:cs="Arial"/>
          <w:lang w:eastAsia="bg-BG"/>
        </w:rPr>
      </w:pPr>
      <w:r w:rsidRPr="0059764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r w:rsidRPr="0059764A">
        <w:rPr>
          <w:rFonts w:eastAsia="Times New Roman" w:cs="Arial"/>
          <w:lang w:eastAsia="bg-BG"/>
        </w:rPr>
        <w:fldChar w:fldCharType="begin"/>
      </w:r>
      <w:r w:rsidRPr="0059764A">
        <w:rPr>
          <w:rFonts w:eastAsia="Times New Roman" w:cs="Arial"/>
          <w:lang w:eastAsia="bg-BG"/>
        </w:rPr>
        <w:instrText xml:space="preserve"> HYPERLINK "http://www.bda.bg" </w:instrText>
      </w:r>
      <w:r w:rsidRPr="0059764A">
        <w:rPr>
          <w:rFonts w:eastAsia="Times New Roman" w:cs="Arial"/>
          <w:lang w:eastAsia="bg-BG"/>
        </w:rPr>
      </w:r>
      <w:r w:rsidRPr="0059764A">
        <w:rPr>
          <w:rFonts w:eastAsia="Times New Roman" w:cs="Arial"/>
          <w:lang w:eastAsia="bg-BG"/>
        </w:rPr>
        <w:fldChar w:fldCharType="separate"/>
      </w:r>
      <w:r w:rsidRPr="0059764A">
        <w:rPr>
          <w:rFonts w:eastAsia="Times New Roman" w:cs="Arial"/>
          <w:color w:val="000000"/>
          <w:lang w:val="en-US"/>
        </w:rPr>
        <w:t>www.bda.bg</w:t>
      </w:r>
      <w:r w:rsidRPr="0059764A">
        <w:rPr>
          <w:rFonts w:eastAsia="Times New Roman" w:cs="Arial"/>
          <w:lang w:eastAsia="bg-BG"/>
        </w:rPr>
        <w:fldChar w:fldCharType="end"/>
      </w:r>
      <w:r w:rsidRPr="0059764A">
        <w:rPr>
          <w:rFonts w:eastAsia="Times New Roman" w:cs="Arial"/>
          <w:color w:val="000000"/>
          <w:lang w:val="en-US"/>
        </w:rPr>
        <w:t>.</w:t>
      </w:r>
    </w:p>
    <w:p w14:paraId="06BB56A6" w14:textId="77777777" w:rsidR="005B7C63" w:rsidRPr="005B7C63" w:rsidRDefault="005B7C63" w:rsidP="005B7C63"/>
    <w:p w14:paraId="4A5904B1" w14:textId="23234FBC" w:rsidR="00EE6C97" w:rsidRDefault="002C50EE" w:rsidP="00A93499">
      <w:pPr>
        <w:pStyle w:val="Heading2"/>
      </w:pPr>
      <w:r>
        <w:t>4.9. Предозиране</w:t>
      </w:r>
    </w:p>
    <w:p w14:paraId="1CB6AB94" w14:textId="26E0FCCC" w:rsidR="00171ABE" w:rsidRDefault="00171ABE" w:rsidP="00171ABE"/>
    <w:p w14:paraId="3EA1BEA3" w14:textId="77777777"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u w:val="single"/>
          <w:lang w:eastAsia="bg-BG"/>
        </w:rPr>
        <w:t>Свързано с рамиприл</w:t>
      </w:r>
    </w:p>
    <w:p w14:paraId="5E1B3AB2" w14:textId="77777777"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lang w:eastAsia="bg-BG"/>
        </w:rPr>
        <w:t>Симптомите, свързани с предозиране на АСЕ инхибитори, могат да включват прекомерна периферна вазодилатация (с подчертана хипотония, шок), брадикардия, електролитни нарушения и бъбречна недостатъчност. Пациентът трябва да бъде стриктно наблюдаван и лечението трябва да бъде симптоматично и поддържащо. Предлаганите мерки, включват първоначална детоксикация (стомашна промивка, прилагане на адсорбенти) и мерки за възстановяване на хемодинамичната стабилност, включително прилагане на алфа 1- адренергични или ангиотензин II (ангиотензинамид) агонисти. Рамиприлат, активният метаболит на рамиприл, се отстранява незадоволително чрез хемодиализа от общото кръвообращение.</w:t>
      </w:r>
    </w:p>
    <w:p w14:paraId="593EA7FC" w14:textId="77777777" w:rsidR="00171ABE" w:rsidRPr="00171ABE" w:rsidRDefault="00171ABE" w:rsidP="00171ABE">
      <w:pPr>
        <w:spacing w:line="240" w:lineRule="auto"/>
        <w:rPr>
          <w:rFonts w:eastAsia="Times New Roman" w:cs="Arial"/>
          <w:color w:val="000000"/>
          <w:u w:val="single"/>
          <w:lang w:eastAsia="bg-BG"/>
        </w:rPr>
      </w:pPr>
    </w:p>
    <w:p w14:paraId="55A7A371" w14:textId="1F9CB0FD"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u w:val="single"/>
          <w:lang w:eastAsia="bg-BG"/>
        </w:rPr>
        <w:t>Свързано с амлодипин</w:t>
      </w:r>
    </w:p>
    <w:p w14:paraId="1B360BA8" w14:textId="77777777"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lang w:eastAsia="bg-BG"/>
        </w:rPr>
        <w:t>Опитът с преднамерено предозиране при хора е ограничен.</w:t>
      </w:r>
    </w:p>
    <w:p w14:paraId="6DD57DCA" w14:textId="77777777" w:rsidR="00171ABE" w:rsidRPr="00171ABE" w:rsidRDefault="00171ABE" w:rsidP="00171ABE">
      <w:pPr>
        <w:spacing w:line="240" w:lineRule="auto"/>
        <w:rPr>
          <w:rFonts w:eastAsia="Times New Roman" w:cs="Arial"/>
          <w:i/>
          <w:iCs/>
          <w:color w:val="000000"/>
          <w:u w:val="single"/>
          <w:lang w:eastAsia="bg-BG"/>
        </w:rPr>
      </w:pPr>
    </w:p>
    <w:p w14:paraId="0369EB33" w14:textId="53BF52BA" w:rsidR="00171ABE" w:rsidRPr="00171ABE" w:rsidRDefault="00171ABE" w:rsidP="00171ABE">
      <w:pPr>
        <w:pStyle w:val="Heading3"/>
        <w:rPr>
          <w:rFonts w:eastAsia="Times New Roman"/>
          <w:u w:val="single"/>
          <w:lang w:eastAsia="bg-BG"/>
        </w:rPr>
      </w:pPr>
      <w:r w:rsidRPr="00171ABE">
        <w:rPr>
          <w:rFonts w:eastAsia="Times New Roman"/>
          <w:u w:val="single"/>
          <w:lang w:eastAsia="bg-BG"/>
        </w:rPr>
        <w:t>Симптоми</w:t>
      </w:r>
    </w:p>
    <w:p w14:paraId="1170BBBA" w14:textId="77777777"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lang w:eastAsia="bg-BG"/>
        </w:rPr>
        <w:t>Наличните данни предполагат, че значителното предозиране може да предизвика ексцесивна периферна вазодилатация и вероятно рефлекторна тахикардия. Има съобщения за изразена и потенциално пролонгирана системна хипотония достигаща до шок с фатален изход.</w:t>
      </w:r>
    </w:p>
    <w:p w14:paraId="26188D11" w14:textId="77777777" w:rsidR="00171ABE" w:rsidRPr="00171ABE" w:rsidRDefault="00171ABE" w:rsidP="00171ABE">
      <w:pPr>
        <w:spacing w:line="240" w:lineRule="auto"/>
        <w:rPr>
          <w:rFonts w:eastAsia="Times New Roman" w:cs="Arial"/>
          <w:color w:val="000000"/>
          <w:lang w:eastAsia="bg-BG"/>
        </w:rPr>
      </w:pPr>
    </w:p>
    <w:p w14:paraId="2CDE8AE4" w14:textId="20422F2D"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lang w:eastAsia="bg-BG"/>
        </w:rPr>
        <w:t>Некардиогенен белодробен оток се съобщава рядко като последица от предозиране с амлодипин, който може да се прояви със забавено начало на ефекта (24-48 часа след поглъщане) и да изисква изкуствена вентилация. Ранните реанимационни мерки (включително натоварване с течности) за поддържане на перфузията и сърдечния дебит могат да бъдат ускоряващи фактори.</w:t>
      </w:r>
    </w:p>
    <w:p w14:paraId="7E333996" w14:textId="77777777" w:rsidR="00171ABE" w:rsidRPr="00171ABE" w:rsidRDefault="00171ABE" w:rsidP="00171ABE">
      <w:pPr>
        <w:spacing w:line="240" w:lineRule="auto"/>
        <w:rPr>
          <w:rFonts w:eastAsia="Times New Roman" w:cs="Arial"/>
          <w:i/>
          <w:iCs/>
          <w:color w:val="000000"/>
          <w:u w:val="single"/>
          <w:lang w:eastAsia="bg-BG"/>
        </w:rPr>
      </w:pPr>
    </w:p>
    <w:p w14:paraId="708308C5" w14:textId="32478E84" w:rsidR="00171ABE" w:rsidRPr="00171ABE" w:rsidRDefault="00171ABE" w:rsidP="00171ABE">
      <w:pPr>
        <w:pStyle w:val="Heading3"/>
        <w:rPr>
          <w:rFonts w:eastAsia="Times New Roman"/>
          <w:u w:val="single"/>
          <w:lang w:eastAsia="bg-BG"/>
        </w:rPr>
      </w:pPr>
      <w:r w:rsidRPr="00171ABE">
        <w:rPr>
          <w:rFonts w:eastAsia="Times New Roman"/>
          <w:u w:val="single"/>
          <w:lang w:eastAsia="bg-BG"/>
        </w:rPr>
        <w:t>Лечение</w:t>
      </w:r>
    </w:p>
    <w:p w14:paraId="6DF45364" w14:textId="77777777"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lang w:eastAsia="bg-BG"/>
        </w:rPr>
        <w:t>Клинично значимата хипотония, предизвикана от предозиране с амлодипин, изисква активна поддържаща сърдечно-съдова терапия, включително често мониториране на сърдечната и респираторна дейност, повдигане на крайниците и внимание по отношение на циркулаторния обем и количеството отделена урина.</w:t>
      </w:r>
    </w:p>
    <w:p w14:paraId="2A4B27CA" w14:textId="77777777" w:rsidR="00171ABE" w:rsidRPr="00171ABE" w:rsidRDefault="00171ABE" w:rsidP="00171ABE">
      <w:pPr>
        <w:rPr>
          <w:rFonts w:eastAsia="Times New Roman" w:cs="Arial"/>
          <w:color w:val="000000"/>
          <w:lang w:eastAsia="bg-BG"/>
        </w:rPr>
      </w:pPr>
    </w:p>
    <w:p w14:paraId="204EE226" w14:textId="16E8961A" w:rsidR="00171ABE" w:rsidRPr="00171ABE" w:rsidRDefault="00171ABE" w:rsidP="00171ABE">
      <w:pPr>
        <w:rPr>
          <w:rFonts w:eastAsia="Times New Roman" w:cs="Arial"/>
          <w:color w:val="000000"/>
          <w:lang w:eastAsia="bg-BG"/>
        </w:rPr>
      </w:pPr>
      <w:r w:rsidRPr="00171ABE">
        <w:rPr>
          <w:rFonts w:eastAsia="Times New Roman" w:cs="Arial"/>
          <w:color w:val="000000"/>
          <w:lang w:eastAsia="bg-BG"/>
        </w:rPr>
        <w:t>Приложението на вазоконстриктор може да бъде от полза за възстановяване на съдовият тонус и артериалното налягане, ако няма контраиндикации за неговото приложение. Интравенозно приложение на калциев глюконат може да спомогне за преодоляване на ефектите от блокадата на калциевите канали.</w:t>
      </w:r>
    </w:p>
    <w:p w14:paraId="73D31D83" w14:textId="05202208" w:rsidR="00171ABE" w:rsidRPr="00171ABE" w:rsidRDefault="00171ABE" w:rsidP="00171ABE">
      <w:pPr>
        <w:rPr>
          <w:rFonts w:eastAsia="Times New Roman" w:cs="Arial"/>
          <w:color w:val="000000"/>
          <w:lang w:eastAsia="bg-BG"/>
        </w:rPr>
      </w:pPr>
    </w:p>
    <w:p w14:paraId="3CC62EB3" w14:textId="0BB34EC0"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lang w:eastAsia="bg-BG"/>
        </w:rPr>
        <w:lastRenderedPageBreak/>
        <w:t xml:space="preserve">В някои случаи може да се направи стомашна промивка. При здрави доброволци прилагането на активен въглен до 2 часа след приложение на 10 </w:t>
      </w:r>
      <w:r w:rsidRPr="00171ABE">
        <w:rPr>
          <w:rFonts w:eastAsia="Times New Roman" w:cs="Arial"/>
          <w:color w:val="000000"/>
          <w:lang w:val="en-US"/>
        </w:rPr>
        <w:t xml:space="preserve">mg </w:t>
      </w:r>
      <w:r w:rsidRPr="00171ABE">
        <w:rPr>
          <w:rFonts w:eastAsia="Times New Roman" w:cs="Arial"/>
          <w:color w:val="000000"/>
          <w:lang w:eastAsia="bg-BG"/>
        </w:rPr>
        <w:t>амлодипин намалява степента на абсорбция на амлодипин. Тъй като амлодипин се свързва с протеините във висока степен, няма вероятност диализата да бъде ефективна.</w:t>
      </w:r>
    </w:p>
    <w:p w14:paraId="02081B24" w14:textId="36FE76F4" w:rsidR="00395555" w:rsidRPr="00395555" w:rsidRDefault="002C50EE" w:rsidP="008A6AF2">
      <w:pPr>
        <w:pStyle w:val="Heading1"/>
      </w:pPr>
      <w:r>
        <w:t>5. ФАРМАКОЛОГИЧНИ СВОЙСТВА</w:t>
      </w:r>
    </w:p>
    <w:p w14:paraId="3B9FA2B5" w14:textId="5E0AB67D" w:rsidR="00EE6C97" w:rsidRDefault="002C50EE" w:rsidP="00A93499">
      <w:pPr>
        <w:pStyle w:val="Heading2"/>
      </w:pPr>
      <w:r>
        <w:t>5.1. Фармакодинамични свойства</w:t>
      </w:r>
    </w:p>
    <w:p w14:paraId="5C07CC33" w14:textId="3231A4DC" w:rsidR="00171ABE" w:rsidRDefault="00171ABE" w:rsidP="00171ABE"/>
    <w:p w14:paraId="3A01FEEC" w14:textId="77777777"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lang w:eastAsia="bg-BG"/>
        </w:rPr>
        <w:t>Фармакотерапевтична група: инхибитор на ангиотензин конвертиращия ензим и блокер на калциевите канали, АТС код: С09 ВВ07</w:t>
      </w:r>
    </w:p>
    <w:p w14:paraId="656C60F9" w14:textId="77777777" w:rsidR="00171ABE" w:rsidRPr="00171ABE" w:rsidRDefault="00171ABE" w:rsidP="00171ABE">
      <w:pPr>
        <w:spacing w:line="240" w:lineRule="auto"/>
        <w:rPr>
          <w:rFonts w:eastAsia="Times New Roman" w:cs="Arial"/>
          <w:color w:val="000000"/>
          <w:u w:val="single"/>
          <w:lang w:eastAsia="bg-BG"/>
        </w:rPr>
      </w:pPr>
    </w:p>
    <w:p w14:paraId="799D7F72" w14:textId="1B59F72E"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u w:val="single"/>
          <w:lang w:eastAsia="bg-BG"/>
        </w:rPr>
        <w:t>Рамиприл</w:t>
      </w:r>
    </w:p>
    <w:p w14:paraId="45B712D3" w14:textId="77777777" w:rsidR="00171ABE" w:rsidRPr="00171ABE" w:rsidRDefault="00171ABE" w:rsidP="00171ABE">
      <w:pPr>
        <w:spacing w:line="240" w:lineRule="auto"/>
        <w:rPr>
          <w:rFonts w:eastAsia="Times New Roman" w:cs="Arial"/>
          <w:i/>
          <w:iCs/>
          <w:color w:val="000000"/>
          <w:u w:val="single"/>
          <w:lang w:eastAsia="bg-BG"/>
        </w:rPr>
      </w:pPr>
    </w:p>
    <w:p w14:paraId="2A2F1ED8" w14:textId="4CB48DF7" w:rsidR="00171ABE" w:rsidRPr="00171ABE" w:rsidRDefault="00171ABE" w:rsidP="00171ABE">
      <w:pPr>
        <w:spacing w:line="240" w:lineRule="auto"/>
        <w:rPr>
          <w:rFonts w:eastAsia="Times New Roman" w:cs="Arial"/>
          <w:sz w:val="24"/>
          <w:szCs w:val="24"/>
          <w:lang w:eastAsia="bg-BG"/>
        </w:rPr>
      </w:pPr>
      <w:r w:rsidRPr="00171ABE">
        <w:rPr>
          <w:rFonts w:eastAsia="Times New Roman" w:cs="Arial"/>
          <w:i/>
          <w:iCs/>
          <w:color w:val="000000"/>
          <w:u w:val="single"/>
          <w:lang w:eastAsia="bg-BG"/>
        </w:rPr>
        <w:t>Механизъм на действие</w:t>
      </w:r>
    </w:p>
    <w:p w14:paraId="6CBF03A2" w14:textId="77777777"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lang w:eastAsia="bg-BG"/>
        </w:rPr>
        <w:t xml:space="preserve">Рамиприлат, активният метаболит на предлекарството рамиприл, инхибира ензима дипептидилкарбоксипептидаза I (синоними: ангиотензин-конвертиращ ензим; кининаза </w:t>
      </w:r>
      <w:r w:rsidRPr="00171ABE">
        <w:rPr>
          <w:rFonts w:eastAsia="Times New Roman" w:cs="Arial"/>
          <w:color w:val="000000"/>
          <w:lang w:val="en-US"/>
        </w:rPr>
        <w:t>II</w:t>
      </w:r>
      <w:r w:rsidRPr="00171ABE">
        <w:rPr>
          <w:rFonts w:eastAsia="Times New Roman" w:cs="Arial"/>
          <w:color w:val="000000"/>
          <w:lang w:eastAsia="bg-BG"/>
        </w:rPr>
        <w:t>). В плазмата и тъканите този ензим катализира конвертирането на ангиотензин I до активния вазоконстриктор ангиотензин II, както и инхибира разграждането на активния вазодилататор брадикинин. Намаленото образуване на ангиотензин II и ихибиране на разграждането на брадикинин, водят до вазодилатация.</w:t>
      </w:r>
    </w:p>
    <w:p w14:paraId="34B86972" w14:textId="77777777" w:rsidR="00171ABE" w:rsidRPr="00171ABE" w:rsidRDefault="00171ABE" w:rsidP="00171ABE">
      <w:pPr>
        <w:spacing w:line="240" w:lineRule="auto"/>
        <w:rPr>
          <w:rFonts w:eastAsia="Times New Roman" w:cs="Arial"/>
          <w:color w:val="000000"/>
          <w:lang w:eastAsia="bg-BG"/>
        </w:rPr>
      </w:pPr>
    </w:p>
    <w:p w14:paraId="76FB3C68" w14:textId="09D11251"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lang w:eastAsia="bg-BG"/>
        </w:rPr>
        <w:t>Тъй като ангиотензин II стимулира също освобождаването на апдостерон, рамиприлат води до намаляване на алдостероновата секреция. Средностатистически повлияването от монотерапия с АСЕ инхибитор е по-слабо при чернокожи (афро-карибска раса) пациенти с хипертония, (обикновено популация с хипертония с нисък ренин) отколкото при нечернокожи пациенти.</w:t>
      </w:r>
    </w:p>
    <w:p w14:paraId="44D754C8" w14:textId="77777777" w:rsidR="00171ABE" w:rsidRPr="00171ABE" w:rsidRDefault="00171ABE" w:rsidP="00171ABE">
      <w:pPr>
        <w:spacing w:line="240" w:lineRule="auto"/>
        <w:rPr>
          <w:rFonts w:eastAsia="Times New Roman" w:cs="Arial"/>
          <w:i/>
          <w:iCs/>
          <w:color w:val="000000"/>
          <w:u w:val="single"/>
          <w:lang w:eastAsia="bg-BG"/>
        </w:rPr>
      </w:pPr>
    </w:p>
    <w:p w14:paraId="1F496AFA" w14:textId="21B200D9" w:rsidR="00171ABE" w:rsidRPr="00171ABE" w:rsidRDefault="00171ABE" w:rsidP="00171ABE">
      <w:pPr>
        <w:spacing w:line="240" w:lineRule="auto"/>
        <w:rPr>
          <w:rFonts w:eastAsia="Times New Roman" w:cs="Arial"/>
          <w:sz w:val="24"/>
          <w:szCs w:val="24"/>
          <w:lang w:eastAsia="bg-BG"/>
        </w:rPr>
      </w:pPr>
      <w:r w:rsidRPr="00171ABE">
        <w:rPr>
          <w:rFonts w:eastAsia="Times New Roman" w:cs="Arial"/>
          <w:i/>
          <w:iCs/>
          <w:color w:val="000000"/>
          <w:u w:val="single"/>
          <w:lang w:eastAsia="bg-BG"/>
        </w:rPr>
        <w:t>Фармакодинамични ефекти</w:t>
      </w:r>
    </w:p>
    <w:p w14:paraId="05D8445B" w14:textId="77777777" w:rsidR="00171ABE" w:rsidRPr="00171ABE" w:rsidRDefault="00171ABE" w:rsidP="00171ABE">
      <w:pPr>
        <w:spacing w:line="240" w:lineRule="auto"/>
        <w:rPr>
          <w:rFonts w:eastAsia="Times New Roman" w:cs="Arial"/>
          <w:i/>
          <w:iCs/>
          <w:color w:val="000000"/>
          <w:lang w:eastAsia="bg-BG"/>
        </w:rPr>
      </w:pPr>
    </w:p>
    <w:p w14:paraId="5E99C2C6" w14:textId="13DC4F3B" w:rsidR="00171ABE" w:rsidRPr="00171ABE" w:rsidRDefault="00171ABE" w:rsidP="00171ABE">
      <w:pPr>
        <w:spacing w:line="240" w:lineRule="auto"/>
        <w:rPr>
          <w:rFonts w:eastAsia="Times New Roman" w:cs="Arial"/>
          <w:sz w:val="24"/>
          <w:szCs w:val="24"/>
          <w:lang w:eastAsia="bg-BG"/>
        </w:rPr>
      </w:pPr>
      <w:r w:rsidRPr="00171ABE">
        <w:rPr>
          <w:rFonts w:eastAsia="Times New Roman" w:cs="Arial"/>
          <w:i/>
          <w:iCs/>
          <w:color w:val="000000"/>
          <w:lang w:eastAsia="bg-BG"/>
        </w:rPr>
        <w:t>Антихипертензивни свойства:</w:t>
      </w:r>
    </w:p>
    <w:p w14:paraId="4BD20A7C" w14:textId="77777777"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lang w:eastAsia="bg-BG"/>
        </w:rPr>
        <w:t>Прилагането на рамиприл води до значително понижаване на периферната артериална резистентност. Обикновено няма значими промени в бъбречния кръвоток и скоростта на гломерулната филтрация. Прилагането на рамиприл при пациенти с хипертония води до понижаване на артериалното налягане в изправено и легнало положение, без компенсаторно повишаване на сърдечната честота. При повечето пациенти началото на антихипертензивното действие при еднократна доза се проявява 1 до 2 часа след перорално приложение.</w:t>
      </w:r>
    </w:p>
    <w:p w14:paraId="53E907BE" w14:textId="77777777"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lang w:eastAsia="bg-BG"/>
        </w:rPr>
        <w:t>Максималният ефект на еднократната доза, обикновено се достига 3 до 6 часа след перорално приложение. Антихипертензивният ефект на еднократна доза обикновено продължава 24 часа.</w:t>
      </w:r>
    </w:p>
    <w:p w14:paraId="2A6FF2A8" w14:textId="77777777" w:rsidR="00171ABE" w:rsidRPr="00171ABE" w:rsidRDefault="00171ABE" w:rsidP="00171ABE">
      <w:pPr>
        <w:spacing w:line="240" w:lineRule="auto"/>
        <w:rPr>
          <w:rFonts w:eastAsia="Times New Roman" w:cs="Arial"/>
          <w:color w:val="000000"/>
          <w:lang w:eastAsia="bg-BG"/>
        </w:rPr>
      </w:pPr>
    </w:p>
    <w:p w14:paraId="2DDAF5EA" w14:textId="72726A96"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lang w:eastAsia="bg-BG"/>
        </w:rPr>
        <w:t>Максималният антихипертензивен ефект на продължително лечение с рамиприл обикновено настъпва след 3 до 4 седмици. Доказано е, че антихипертензивният ефект е постоянен при дълготрайна терапия, продължаваща 2 години. Рязкото прекъсване на приема на рамиприл не води до бърз и прекомерен ребаунд ефект на повишаване на артериалното налягане.</w:t>
      </w:r>
    </w:p>
    <w:p w14:paraId="5BD0C069" w14:textId="77777777" w:rsidR="00171ABE" w:rsidRPr="00171ABE" w:rsidRDefault="00171ABE" w:rsidP="00171ABE">
      <w:pPr>
        <w:spacing w:line="240" w:lineRule="auto"/>
        <w:rPr>
          <w:rFonts w:eastAsia="Times New Roman" w:cs="Arial"/>
          <w:i/>
          <w:iCs/>
          <w:color w:val="000000"/>
          <w:u w:val="single"/>
          <w:lang w:eastAsia="bg-BG"/>
        </w:rPr>
      </w:pPr>
    </w:p>
    <w:p w14:paraId="4418EF72" w14:textId="54C31A32" w:rsidR="00171ABE" w:rsidRPr="00171ABE" w:rsidRDefault="00171ABE" w:rsidP="00171ABE">
      <w:pPr>
        <w:spacing w:line="240" w:lineRule="auto"/>
        <w:rPr>
          <w:rFonts w:eastAsia="Times New Roman" w:cs="Arial"/>
          <w:sz w:val="24"/>
          <w:szCs w:val="24"/>
          <w:lang w:eastAsia="bg-BG"/>
        </w:rPr>
      </w:pPr>
      <w:r w:rsidRPr="00171ABE">
        <w:rPr>
          <w:rFonts w:eastAsia="Times New Roman" w:cs="Arial"/>
          <w:i/>
          <w:iCs/>
          <w:color w:val="000000"/>
          <w:u w:val="single"/>
          <w:lang w:eastAsia="bg-BG"/>
        </w:rPr>
        <w:t>Клинична ефикасност и безопасност</w:t>
      </w:r>
    </w:p>
    <w:p w14:paraId="1F46D128" w14:textId="77777777" w:rsidR="00171ABE" w:rsidRPr="00171ABE" w:rsidRDefault="00171ABE" w:rsidP="00171ABE">
      <w:pPr>
        <w:spacing w:line="240" w:lineRule="auto"/>
        <w:rPr>
          <w:rFonts w:eastAsia="Times New Roman" w:cs="Arial"/>
          <w:i/>
          <w:iCs/>
          <w:color w:val="000000"/>
          <w:lang w:eastAsia="bg-BG"/>
        </w:rPr>
      </w:pPr>
    </w:p>
    <w:p w14:paraId="0BA6AF4D" w14:textId="23BCDBBE" w:rsidR="00171ABE" w:rsidRPr="00171ABE" w:rsidRDefault="00171ABE" w:rsidP="00171ABE">
      <w:pPr>
        <w:spacing w:line="240" w:lineRule="auto"/>
        <w:rPr>
          <w:rFonts w:eastAsia="Times New Roman" w:cs="Arial"/>
          <w:sz w:val="24"/>
          <w:szCs w:val="24"/>
          <w:lang w:eastAsia="bg-BG"/>
        </w:rPr>
      </w:pPr>
      <w:r w:rsidRPr="00171ABE">
        <w:rPr>
          <w:rFonts w:eastAsia="Times New Roman" w:cs="Arial"/>
          <w:i/>
          <w:iCs/>
          <w:color w:val="000000"/>
          <w:lang w:eastAsia="bg-BG"/>
        </w:rPr>
        <w:t>Сърдечно-съдова превенция:</w:t>
      </w:r>
    </w:p>
    <w:p w14:paraId="149FCA02" w14:textId="77777777" w:rsidR="00171ABE" w:rsidRPr="00171ABE" w:rsidRDefault="00171ABE" w:rsidP="00171ABE">
      <w:pPr>
        <w:spacing w:line="240" w:lineRule="auto"/>
        <w:rPr>
          <w:rFonts w:eastAsia="Times New Roman" w:cs="Arial"/>
          <w:sz w:val="24"/>
          <w:szCs w:val="24"/>
          <w:lang w:eastAsia="bg-BG"/>
        </w:rPr>
      </w:pPr>
      <w:r w:rsidRPr="00171ABE">
        <w:rPr>
          <w:rFonts w:eastAsia="Times New Roman" w:cs="Arial"/>
          <w:color w:val="000000"/>
          <w:lang w:eastAsia="bg-BG"/>
        </w:rPr>
        <w:lastRenderedPageBreak/>
        <w:t>Проведено е превантивно плацебо-контролирано проучване (проучването НОРЕ), където рамиприл е добавян към стандартната терапия при повече от 9 200 пациента.</w:t>
      </w:r>
    </w:p>
    <w:p w14:paraId="358E47B7" w14:textId="7AD2A9CB" w:rsidR="00171ABE" w:rsidRPr="00171ABE" w:rsidRDefault="00171ABE" w:rsidP="00171ABE">
      <w:pPr>
        <w:rPr>
          <w:rFonts w:eastAsia="Times New Roman" w:cs="Arial"/>
          <w:color w:val="000000"/>
          <w:lang w:eastAsia="bg-BG"/>
        </w:rPr>
      </w:pPr>
      <w:r w:rsidRPr="00171ABE">
        <w:rPr>
          <w:rFonts w:eastAsia="Times New Roman" w:cs="Arial"/>
          <w:color w:val="000000"/>
          <w:lang w:eastAsia="bg-BG"/>
        </w:rPr>
        <w:t>В проучването са включени пациенти с повишен риск от сърдечно-съдови заболявания след атеротромботични сърдечно-съдови заболявания (анамнеза за исхемична болест на сърцето, инсулт или периферна съдова болест) или захарен диабет с поне един допълнителен рисков фактор (доказана микроалбуминурия, хипертония, повишени стойности на общия холестерол ниски стойности на липопротеините с висока плътност или тютюнопушене).</w:t>
      </w:r>
    </w:p>
    <w:p w14:paraId="7EC8CEC6" w14:textId="78B16FD9" w:rsidR="00171ABE" w:rsidRPr="00171ABE" w:rsidRDefault="00171ABE" w:rsidP="00171ABE">
      <w:pPr>
        <w:rPr>
          <w:rFonts w:eastAsia="Times New Roman" w:cs="Arial"/>
          <w:color w:val="000000"/>
          <w:lang w:eastAsia="bg-BG"/>
        </w:rPr>
      </w:pPr>
    </w:p>
    <w:p w14:paraId="6B7A5689" w14:textId="375FA9B0" w:rsidR="00171ABE" w:rsidRDefault="00171ABE" w:rsidP="00171ABE">
      <w:pPr>
        <w:spacing w:line="240" w:lineRule="auto"/>
        <w:rPr>
          <w:rFonts w:eastAsia="Times New Roman" w:cs="Arial"/>
          <w:color w:val="000000"/>
          <w:lang w:eastAsia="bg-BG"/>
        </w:rPr>
      </w:pPr>
      <w:r w:rsidRPr="00171ABE">
        <w:rPr>
          <w:rFonts w:eastAsia="Times New Roman" w:cs="Arial"/>
          <w:color w:val="000000"/>
          <w:lang w:eastAsia="bg-BG"/>
        </w:rPr>
        <w:t>Проучването показва, че рамиприл статистически значимо понижава случаите на миокарден инфаркт, смърт от сърдечно-съдови причини и инсулт, самостоятелно и в комбинация (първични комбинирани инциденти).</w:t>
      </w:r>
    </w:p>
    <w:p w14:paraId="6BFD8C7E" w14:textId="7903A984" w:rsidR="00963F54" w:rsidRDefault="00963F54" w:rsidP="00171ABE">
      <w:pPr>
        <w:spacing w:line="240" w:lineRule="auto"/>
        <w:rPr>
          <w:rFonts w:eastAsia="Times New Roman" w:cs="Arial"/>
          <w:color w:val="000000"/>
          <w:lang w:eastAsia="bg-BG"/>
        </w:rPr>
      </w:pPr>
    </w:p>
    <w:p w14:paraId="1C8B34F3" w14:textId="021DAF46" w:rsidR="00963F54" w:rsidRPr="00171ABE" w:rsidRDefault="00963F54" w:rsidP="00171ABE">
      <w:pPr>
        <w:spacing w:line="240" w:lineRule="auto"/>
        <w:rPr>
          <w:rFonts w:eastAsia="Times New Roman" w:cs="Arial"/>
          <w:sz w:val="24"/>
          <w:szCs w:val="24"/>
          <w:lang w:eastAsia="bg-BG"/>
        </w:rPr>
      </w:pPr>
      <w:r>
        <w:t>Таблица 1. Основни резултати от НОРЕ - проучването</w:t>
      </w:r>
    </w:p>
    <w:tbl>
      <w:tblPr>
        <w:tblStyle w:val="TableGrid"/>
        <w:tblW w:w="0" w:type="auto"/>
        <w:tblLook w:val="04A0" w:firstRow="1" w:lastRow="0" w:firstColumn="1" w:lastColumn="0" w:noHBand="0" w:noVBand="1"/>
      </w:tblPr>
      <w:tblGrid>
        <w:gridCol w:w="2104"/>
        <w:gridCol w:w="1809"/>
        <w:gridCol w:w="1792"/>
        <w:gridCol w:w="1853"/>
        <w:gridCol w:w="1792"/>
      </w:tblGrid>
      <w:tr w:rsidR="00963F54" w14:paraId="75D73305" w14:textId="77777777" w:rsidTr="00963F54">
        <w:tc>
          <w:tcPr>
            <w:tcW w:w="2104" w:type="dxa"/>
          </w:tcPr>
          <w:p w14:paraId="71994A19" w14:textId="77777777" w:rsidR="00963F54" w:rsidRPr="00963F54" w:rsidRDefault="00963F54" w:rsidP="00963F54">
            <w:pPr>
              <w:rPr>
                <w:rFonts w:cs="Arial"/>
              </w:rPr>
            </w:pPr>
          </w:p>
        </w:tc>
        <w:tc>
          <w:tcPr>
            <w:tcW w:w="1867" w:type="dxa"/>
          </w:tcPr>
          <w:p w14:paraId="20BCA5C8" w14:textId="4A0E26D8" w:rsidR="00963F54" w:rsidRPr="00963F54" w:rsidRDefault="00963F54" w:rsidP="00963F54">
            <w:pPr>
              <w:rPr>
                <w:rFonts w:cs="Arial"/>
              </w:rPr>
            </w:pPr>
            <w:r w:rsidRPr="00963F54">
              <w:rPr>
                <w:rFonts w:cs="Arial"/>
              </w:rPr>
              <w:t>Рамиприл %</w:t>
            </w:r>
          </w:p>
        </w:tc>
        <w:tc>
          <w:tcPr>
            <w:tcW w:w="1861" w:type="dxa"/>
          </w:tcPr>
          <w:p w14:paraId="0030B783" w14:textId="1BF50590" w:rsidR="00963F54" w:rsidRPr="00963F54" w:rsidRDefault="00963F54" w:rsidP="00963F54">
            <w:pPr>
              <w:rPr>
                <w:rFonts w:cs="Arial"/>
              </w:rPr>
            </w:pPr>
            <w:r w:rsidRPr="00963F54">
              <w:rPr>
                <w:rFonts w:cs="Arial"/>
              </w:rPr>
              <w:t>Плацебо %</w:t>
            </w:r>
          </w:p>
        </w:tc>
        <w:tc>
          <w:tcPr>
            <w:tcW w:w="1883" w:type="dxa"/>
          </w:tcPr>
          <w:p w14:paraId="67FCC580" w14:textId="21E317AB" w:rsidR="00963F54" w:rsidRPr="00963F54" w:rsidRDefault="00963F54" w:rsidP="00963F54">
            <w:pPr>
              <w:rPr>
                <w:rFonts w:cs="Arial"/>
              </w:rPr>
            </w:pPr>
            <w:r w:rsidRPr="00963F54">
              <w:rPr>
                <w:rFonts w:cs="Arial"/>
              </w:rPr>
              <w:t>Относителен риск (95% доверителен интервал)</w:t>
            </w:r>
          </w:p>
        </w:tc>
        <w:tc>
          <w:tcPr>
            <w:tcW w:w="1861" w:type="dxa"/>
          </w:tcPr>
          <w:p w14:paraId="6731A015" w14:textId="200FB0FF" w:rsidR="00963F54" w:rsidRPr="00963F54" w:rsidRDefault="00963F54" w:rsidP="00963F54">
            <w:pPr>
              <w:rPr>
                <w:rFonts w:cs="Arial"/>
              </w:rPr>
            </w:pPr>
            <w:r w:rsidRPr="00963F54">
              <w:rPr>
                <w:rFonts w:cs="Arial"/>
              </w:rPr>
              <w:t>р-стойност</w:t>
            </w:r>
          </w:p>
        </w:tc>
      </w:tr>
      <w:tr w:rsidR="00963F54" w14:paraId="50142E94" w14:textId="77777777" w:rsidTr="00963F54">
        <w:tc>
          <w:tcPr>
            <w:tcW w:w="2104" w:type="dxa"/>
          </w:tcPr>
          <w:p w14:paraId="5BCD4E83" w14:textId="1505F11E" w:rsidR="00963F54" w:rsidRPr="00963F54" w:rsidRDefault="00963F54" w:rsidP="00963F54">
            <w:pPr>
              <w:rPr>
                <w:rFonts w:cs="Arial"/>
              </w:rPr>
            </w:pPr>
            <w:r w:rsidRPr="00963F54">
              <w:rPr>
                <w:rFonts w:cs="Arial"/>
              </w:rPr>
              <w:t>Всички пациенти</w:t>
            </w:r>
          </w:p>
        </w:tc>
        <w:tc>
          <w:tcPr>
            <w:tcW w:w="1867" w:type="dxa"/>
          </w:tcPr>
          <w:p w14:paraId="6E49CFA1" w14:textId="0692ADD3" w:rsidR="00963F54" w:rsidRPr="00963F54" w:rsidRDefault="00963F54" w:rsidP="00963F54">
            <w:pPr>
              <w:rPr>
                <w:rFonts w:cs="Arial"/>
              </w:rPr>
            </w:pPr>
            <w:r>
              <w:rPr>
                <w:rFonts w:cs="Arial"/>
                <w:lang w:val="en-US"/>
              </w:rPr>
              <w:t>n</w:t>
            </w:r>
            <w:r w:rsidRPr="00963F54">
              <w:rPr>
                <w:rFonts w:cs="Arial"/>
              </w:rPr>
              <w:t>=4 645</w:t>
            </w:r>
          </w:p>
        </w:tc>
        <w:tc>
          <w:tcPr>
            <w:tcW w:w="1861" w:type="dxa"/>
          </w:tcPr>
          <w:p w14:paraId="20AF3DBD" w14:textId="34883314" w:rsidR="00963F54" w:rsidRPr="00963F54" w:rsidRDefault="00963F54" w:rsidP="00963F54">
            <w:pPr>
              <w:rPr>
                <w:rFonts w:cs="Arial"/>
              </w:rPr>
            </w:pPr>
            <w:r w:rsidRPr="00963F54">
              <w:rPr>
                <w:rFonts w:cs="Arial"/>
                <w:lang w:val="en-US"/>
              </w:rPr>
              <w:t xml:space="preserve">N=4 </w:t>
            </w:r>
            <w:r w:rsidRPr="00963F54">
              <w:rPr>
                <w:rFonts w:cs="Arial"/>
              </w:rPr>
              <w:t>652</w:t>
            </w:r>
          </w:p>
        </w:tc>
        <w:tc>
          <w:tcPr>
            <w:tcW w:w="1883" w:type="dxa"/>
          </w:tcPr>
          <w:p w14:paraId="7DE04503" w14:textId="77777777" w:rsidR="00963F54" w:rsidRPr="00963F54" w:rsidRDefault="00963F54" w:rsidP="00963F54">
            <w:pPr>
              <w:rPr>
                <w:rFonts w:cs="Arial"/>
              </w:rPr>
            </w:pPr>
          </w:p>
        </w:tc>
        <w:tc>
          <w:tcPr>
            <w:tcW w:w="1861" w:type="dxa"/>
          </w:tcPr>
          <w:p w14:paraId="1FC47DA0" w14:textId="77777777" w:rsidR="00963F54" w:rsidRPr="00963F54" w:rsidRDefault="00963F54" w:rsidP="00963F54">
            <w:pPr>
              <w:rPr>
                <w:rFonts w:cs="Arial"/>
              </w:rPr>
            </w:pPr>
          </w:p>
        </w:tc>
      </w:tr>
      <w:tr w:rsidR="00963F54" w14:paraId="20188EDD" w14:textId="77777777" w:rsidTr="00963F54">
        <w:tc>
          <w:tcPr>
            <w:tcW w:w="2104" w:type="dxa"/>
          </w:tcPr>
          <w:p w14:paraId="314BBA3C" w14:textId="681C546A" w:rsidR="00963F54" w:rsidRPr="00963F54" w:rsidRDefault="00963F54" w:rsidP="00963F54">
            <w:pPr>
              <w:rPr>
                <w:rFonts w:cs="Arial"/>
              </w:rPr>
            </w:pPr>
            <w:r w:rsidRPr="00963F54">
              <w:rPr>
                <w:rFonts w:cs="Arial"/>
              </w:rPr>
              <w:t>Основни комбинирани инциденти</w:t>
            </w:r>
          </w:p>
        </w:tc>
        <w:tc>
          <w:tcPr>
            <w:tcW w:w="1867" w:type="dxa"/>
          </w:tcPr>
          <w:p w14:paraId="41345ACD" w14:textId="21DF51A8" w:rsidR="00963F54" w:rsidRPr="00963F54" w:rsidRDefault="00963F54" w:rsidP="00963F54">
            <w:pPr>
              <w:rPr>
                <w:rFonts w:cs="Arial"/>
              </w:rPr>
            </w:pPr>
            <w:r w:rsidRPr="00963F54">
              <w:rPr>
                <w:rFonts w:cs="Arial"/>
              </w:rPr>
              <w:t>14,0</w:t>
            </w:r>
          </w:p>
        </w:tc>
        <w:tc>
          <w:tcPr>
            <w:tcW w:w="1861" w:type="dxa"/>
          </w:tcPr>
          <w:p w14:paraId="108C3D7F" w14:textId="0F4C6A22" w:rsidR="00963F54" w:rsidRPr="00963F54" w:rsidRDefault="00963F54" w:rsidP="00963F54">
            <w:pPr>
              <w:rPr>
                <w:rFonts w:cs="Arial"/>
              </w:rPr>
            </w:pPr>
            <w:r w:rsidRPr="00963F54">
              <w:rPr>
                <w:rFonts w:cs="Arial"/>
              </w:rPr>
              <w:t>17,8</w:t>
            </w:r>
          </w:p>
        </w:tc>
        <w:tc>
          <w:tcPr>
            <w:tcW w:w="1883" w:type="dxa"/>
          </w:tcPr>
          <w:p w14:paraId="6F1FEE80" w14:textId="01905480" w:rsidR="00963F54" w:rsidRPr="00963F54" w:rsidRDefault="00963F54" w:rsidP="00963F54">
            <w:pPr>
              <w:rPr>
                <w:rFonts w:cs="Arial"/>
              </w:rPr>
            </w:pPr>
            <w:r w:rsidRPr="00963F54">
              <w:rPr>
                <w:rFonts w:cs="Arial"/>
              </w:rPr>
              <w:t>0,78 (0,70-0,86)</w:t>
            </w:r>
          </w:p>
        </w:tc>
        <w:tc>
          <w:tcPr>
            <w:tcW w:w="1861" w:type="dxa"/>
          </w:tcPr>
          <w:p w14:paraId="370D9BA3" w14:textId="1906642E" w:rsidR="00963F54" w:rsidRPr="00963F54" w:rsidRDefault="00963F54" w:rsidP="00963F54">
            <w:pPr>
              <w:rPr>
                <w:rFonts w:cs="Arial"/>
              </w:rPr>
            </w:pPr>
            <w:r w:rsidRPr="00963F54">
              <w:rPr>
                <w:rFonts w:cs="Arial"/>
              </w:rPr>
              <w:t>&lt;0,001</w:t>
            </w:r>
          </w:p>
        </w:tc>
      </w:tr>
      <w:tr w:rsidR="00963F54" w14:paraId="3DA300C9" w14:textId="77777777" w:rsidTr="00963F54">
        <w:tc>
          <w:tcPr>
            <w:tcW w:w="2104" w:type="dxa"/>
          </w:tcPr>
          <w:p w14:paraId="692D752C" w14:textId="253DFC99" w:rsidR="00963F54" w:rsidRPr="00963F54" w:rsidRDefault="00963F54" w:rsidP="00963F54">
            <w:pPr>
              <w:rPr>
                <w:rFonts w:cs="Arial"/>
              </w:rPr>
            </w:pPr>
            <w:r w:rsidRPr="00963F54">
              <w:rPr>
                <w:rFonts w:cs="Arial"/>
              </w:rPr>
              <w:t>Миокарден инфаркт</w:t>
            </w:r>
          </w:p>
        </w:tc>
        <w:tc>
          <w:tcPr>
            <w:tcW w:w="1867" w:type="dxa"/>
          </w:tcPr>
          <w:p w14:paraId="0FF4FE5E" w14:textId="56104E4A" w:rsidR="00963F54" w:rsidRPr="00963F54" w:rsidRDefault="00963F54" w:rsidP="00963F54">
            <w:pPr>
              <w:rPr>
                <w:rFonts w:cs="Arial"/>
              </w:rPr>
            </w:pPr>
            <w:r w:rsidRPr="00963F54">
              <w:rPr>
                <w:rFonts w:cs="Arial"/>
              </w:rPr>
              <w:t>9,9</w:t>
            </w:r>
          </w:p>
        </w:tc>
        <w:tc>
          <w:tcPr>
            <w:tcW w:w="1861" w:type="dxa"/>
          </w:tcPr>
          <w:p w14:paraId="44CF0668" w14:textId="4A9840C4" w:rsidR="00963F54" w:rsidRPr="00963F54" w:rsidRDefault="00963F54" w:rsidP="00963F54">
            <w:pPr>
              <w:rPr>
                <w:rFonts w:cs="Arial"/>
              </w:rPr>
            </w:pPr>
            <w:r w:rsidRPr="00963F54">
              <w:rPr>
                <w:rFonts w:cs="Arial"/>
              </w:rPr>
              <w:t>12,3</w:t>
            </w:r>
          </w:p>
        </w:tc>
        <w:tc>
          <w:tcPr>
            <w:tcW w:w="1883" w:type="dxa"/>
          </w:tcPr>
          <w:p w14:paraId="5535AEB4" w14:textId="4DF9731F" w:rsidR="00963F54" w:rsidRPr="00963F54" w:rsidRDefault="00963F54" w:rsidP="00963F54">
            <w:pPr>
              <w:rPr>
                <w:rFonts w:cs="Arial"/>
              </w:rPr>
            </w:pPr>
            <w:r w:rsidRPr="00963F54">
              <w:rPr>
                <w:rFonts w:cs="Arial"/>
              </w:rPr>
              <w:t>0,80 (0,70-0,90)</w:t>
            </w:r>
          </w:p>
        </w:tc>
        <w:tc>
          <w:tcPr>
            <w:tcW w:w="1861" w:type="dxa"/>
          </w:tcPr>
          <w:p w14:paraId="077C10F3" w14:textId="75C256E2" w:rsidR="00963F54" w:rsidRPr="00963F54" w:rsidRDefault="00963F54" w:rsidP="00963F54">
            <w:pPr>
              <w:rPr>
                <w:rFonts w:cs="Arial"/>
              </w:rPr>
            </w:pPr>
            <w:r w:rsidRPr="00963F54">
              <w:rPr>
                <w:rFonts w:cs="Arial"/>
              </w:rPr>
              <w:t>&lt;0,001</w:t>
            </w:r>
          </w:p>
        </w:tc>
      </w:tr>
      <w:tr w:rsidR="00963F54" w14:paraId="01C4B754" w14:textId="77777777" w:rsidTr="00963F54">
        <w:tc>
          <w:tcPr>
            <w:tcW w:w="2104" w:type="dxa"/>
          </w:tcPr>
          <w:p w14:paraId="3161F5F0" w14:textId="3B8C0826" w:rsidR="00963F54" w:rsidRPr="00963F54" w:rsidRDefault="00963F54" w:rsidP="00963F54">
            <w:pPr>
              <w:rPr>
                <w:rFonts w:cs="Arial"/>
              </w:rPr>
            </w:pPr>
            <w:r w:rsidRPr="00963F54">
              <w:rPr>
                <w:rFonts w:cs="Arial"/>
              </w:rPr>
              <w:t>Смърт от сърдечно</w:t>
            </w:r>
            <w:r w:rsidRPr="00963F54">
              <w:rPr>
                <w:rFonts w:cs="Arial"/>
              </w:rPr>
              <w:softHyphen/>
              <w:t>съдови причини</w:t>
            </w:r>
          </w:p>
        </w:tc>
        <w:tc>
          <w:tcPr>
            <w:tcW w:w="1867" w:type="dxa"/>
          </w:tcPr>
          <w:p w14:paraId="1624C6A4" w14:textId="062170F3" w:rsidR="00963F54" w:rsidRPr="00963F54" w:rsidRDefault="00963F54" w:rsidP="00963F54">
            <w:pPr>
              <w:rPr>
                <w:rFonts w:cs="Arial"/>
              </w:rPr>
            </w:pPr>
            <w:r w:rsidRPr="00963F54">
              <w:rPr>
                <w:rFonts w:cs="Arial"/>
              </w:rPr>
              <w:t>6,1</w:t>
            </w:r>
          </w:p>
        </w:tc>
        <w:tc>
          <w:tcPr>
            <w:tcW w:w="1861" w:type="dxa"/>
          </w:tcPr>
          <w:p w14:paraId="1BE53BE0" w14:textId="4BF6D745" w:rsidR="00963F54" w:rsidRPr="00963F54" w:rsidRDefault="00963F54" w:rsidP="00963F54">
            <w:pPr>
              <w:rPr>
                <w:rFonts w:cs="Arial"/>
              </w:rPr>
            </w:pPr>
            <w:r w:rsidRPr="00963F54">
              <w:rPr>
                <w:rFonts w:cs="Arial"/>
              </w:rPr>
              <w:t>8,1</w:t>
            </w:r>
          </w:p>
        </w:tc>
        <w:tc>
          <w:tcPr>
            <w:tcW w:w="1883" w:type="dxa"/>
          </w:tcPr>
          <w:p w14:paraId="4436BFFD" w14:textId="57AD465C" w:rsidR="00963F54" w:rsidRPr="00963F54" w:rsidRDefault="00963F54" w:rsidP="00963F54">
            <w:pPr>
              <w:rPr>
                <w:rFonts w:cs="Arial"/>
              </w:rPr>
            </w:pPr>
            <w:r w:rsidRPr="00963F54">
              <w:rPr>
                <w:rFonts w:cs="Arial"/>
              </w:rPr>
              <w:t>0.74(0,64-0,87)</w:t>
            </w:r>
          </w:p>
        </w:tc>
        <w:tc>
          <w:tcPr>
            <w:tcW w:w="1861" w:type="dxa"/>
          </w:tcPr>
          <w:p w14:paraId="03702EEC" w14:textId="2D711E86" w:rsidR="00963F54" w:rsidRPr="00963F54" w:rsidRDefault="00963F54" w:rsidP="00963F54">
            <w:pPr>
              <w:rPr>
                <w:rFonts w:cs="Arial"/>
              </w:rPr>
            </w:pPr>
            <w:r w:rsidRPr="00963F54">
              <w:rPr>
                <w:rFonts w:cs="Arial"/>
              </w:rPr>
              <w:t>&lt;0,001</w:t>
            </w:r>
          </w:p>
        </w:tc>
      </w:tr>
      <w:tr w:rsidR="00963F54" w14:paraId="48496A06" w14:textId="77777777" w:rsidTr="00963F54">
        <w:tc>
          <w:tcPr>
            <w:tcW w:w="2104" w:type="dxa"/>
          </w:tcPr>
          <w:p w14:paraId="72B9CFB4" w14:textId="67ACD21E" w:rsidR="00963F54" w:rsidRPr="00963F54" w:rsidRDefault="00963F54" w:rsidP="00963F54">
            <w:pPr>
              <w:rPr>
                <w:rFonts w:cs="Arial"/>
              </w:rPr>
            </w:pPr>
            <w:r w:rsidRPr="00963F54">
              <w:rPr>
                <w:rFonts w:cs="Arial"/>
              </w:rPr>
              <w:t>Инсулт</w:t>
            </w:r>
          </w:p>
        </w:tc>
        <w:tc>
          <w:tcPr>
            <w:tcW w:w="1867" w:type="dxa"/>
          </w:tcPr>
          <w:p w14:paraId="5D622374" w14:textId="6C05C820" w:rsidR="00963F54" w:rsidRPr="00963F54" w:rsidRDefault="00963F54" w:rsidP="00963F54">
            <w:pPr>
              <w:rPr>
                <w:rFonts w:cs="Arial"/>
              </w:rPr>
            </w:pPr>
            <w:r w:rsidRPr="00963F54">
              <w:rPr>
                <w:rFonts w:cs="Arial"/>
              </w:rPr>
              <w:t>3,4</w:t>
            </w:r>
          </w:p>
        </w:tc>
        <w:tc>
          <w:tcPr>
            <w:tcW w:w="1861" w:type="dxa"/>
          </w:tcPr>
          <w:p w14:paraId="18F6FBAD" w14:textId="34DB5DCD" w:rsidR="00963F54" w:rsidRPr="00963F54" w:rsidRDefault="00963F54" w:rsidP="00963F54">
            <w:pPr>
              <w:rPr>
                <w:rFonts w:cs="Arial"/>
              </w:rPr>
            </w:pPr>
            <w:r w:rsidRPr="00963F54">
              <w:rPr>
                <w:rFonts w:cs="Arial"/>
              </w:rPr>
              <w:t>4,9</w:t>
            </w:r>
          </w:p>
        </w:tc>
        <w:tc>
          <w:tcPr>
            <w:tcW w:w="1883" w:type="dxa"/>
          </w:tcPr>
          <w:p w14:paraId="5621C9DA" w14:textId="5EAA43C8" w:rsidR="00963F54" w:rsidRPr="00963F54" w:rsidRDefault="00963F54" w:rsidP="00963F54">
            <w:pPr>
              <w:rPr>
                <w:rFonts w:cs="Arial"/>
              </w:rPr>
            </w:pPr>
            <w:r w:rsidRPr="00963F54">
              <w:rPr>
                <w:rFonts w:cs="Arial"/>
              </w:rPr>
              <w:t>0,68 (0,56-0,84)</w:t>
            </w:r>
          </w:p>
        </w:tc>
        <w:tc>
          <w:tcPr>
            <w:tcW w:w="1861" w:type="dxa"/>
          </w:tcPr>
          <w:p w14:paraId="69499E43" w14:textId="44F74658" w:rsidR="00963F54" w:rsidRPr="00963F54" w:rsidRDefault="00963F54" w:rsidP="00963F54">
            <w:pPr>
              <w:rPr>
                <w:rFonts w:cs="Arial"/>
              </w:rPr>
            </w:pPr>
            <w:r w:rsidRPr="00963F54">
              <w:rPr>
                <w:rFonts w:cs="Arial"/>
              </w:rPr>
              <w:t>&lt;0,001</w:t>
            </w:r>
          </w:p>
        </w:tc>
      </w:tr>
      <w:tr w:rsidR="00963F54" w14:paraId="4E99A862" w14:textId="77777777" w:rsidTr="007B2419">
        <w:tc>
          <w:tcPr>
            <w:tcW w:w="9576" w:type="dxa"/>
            <w:gridSpan w:val="5"/>
          </w:tcPr>
          <w:p w14:paraId="66B87CD3" w14:textId="05DE19C7" w:rsidR="00963F54" w:rsidRPr="00963F54" w:rsidRDefault="00963F54" w:rsidP="00963F54">
            <w:pPr>
              <w:rPr>
                <w:rFonts w:cs="Arial"/>
              </w:rPr>
            </w:pPr>
            <w:r w:rsidRPr="00963F54">
              <w:rPr>
                <w:rFonts w:cs="Arial"/>
              </w:rPr>
              <w:t>Вторични крайни цели</w:t>
            </w:r>
          </w:p>
        </w:tc>
      </w:tr>
      <w:tr w:rsidR="00963F54" w14:paraId="1DC0E28A" w14:textId="77777777" w:rsidTr="00963F54">
        <w:tc>
          <w:tcPr>
            <w:tcW w:w="2104" w:type="dxa"/>
          </w:tcPr>
          <w:p w14:paraId="77DD897F" w14:textId="3E2D247F" w:rsidR="00963F54" w:rsidRPr="00963F54" w:rsidRDefault="00963F54" w:rsidP="00963F54">
            <w:pPr>
              <w:rPr>
                <w:rFonts w:cs="Arial"/>
              </w:rPr>
            </w:pPr>
            <w:r w:rsidRPr="00963F54">
              <w:rPr>
                <w:rFonts w:cs="Arial"/>
              </w:rPr>
              <w:t>Смърт по всякаква причина</w:t>
            </w:r>
          </w:p>
        </w:tc>
        <w:tc>
          <w:tcPr>
            <w:tcW w:w="1867" w:type="dxa"/>
          </w:tcPr>
          <w:p w14:paraId="08F0BB6F" w14:textId="64DDE125" w:rsidR="00963F54" w:rsidRPr="00963F54" w:rsidRDefault="00963F54" w:rsidP="00963F54">
            <w:pPr>
              <w:rPr>
                <w:rFonts w:cs="Arial"/>
              </w:rPr>
            </w:pPr>
            <w:r w:rsidRPr="00963F54">
              <w:rPr>
                <w:rFonts w:cs="Arial"/>
              </w:rPr>
              <w:t>10,4</w:t>
            </w:r>
          </w:p>
        </w:tc>
        <w:tc>
          <w:tcPr>
            <w:tcW w:w="1861" w:type="dxa"/>
          </w:tcPr>
          <w:p w14:paraId="16535330" w14:textId="2F132D72" w:rsidR="00963F54" w:rsidRPr="00963F54" w:rsidRDefault="00963F54" w:rsidP="00963F54">
            <w:pPr>
              <w:rPr>
                <w:rFonts w:cs="Arial"/>
              </w:rPr>
            </w:pPr>
            <w:r w:rsidRPr="00963F54">
              <w:rPr>
                <w:rFonts w:cs="Arial"/>
              </w:rPr>
              <w:t>12,2</w:t>
            </w:r>
          </w:p>
        </w:tc>
        <w:tc>
          <w:tcPr>
            <w:tcW w:w="1883" w:type="dxa"/>
          </w:tcPr>
          <w:p w14:paraId="15AB2551" w14:textId="0DC34290" w:rsidR="00963F54" w:rsidRPr="00963F54" w:rsidRDefault="00963F54" w:rsidP="00963F54">
            <w:pPr>
              <w:rPr>
                <w:rFonts w:cs="Arial"/>
              </w:rPr>
            </w:pPr>
            <w:r w:rsidRPr="00963F54">
              <w:rPr>
                <w:rFonts w:cs="Arial"/>
              </w:rPr>
              <w:t>0,84 (0,75-0,95)</w:t>
            </w:r>
          </w:p>
        </w:tc>
        <w:tc>
          <w:tcPr>
            <w:tcW w:w="1861" w:type="dxa"/>
          </w:tcPr>
          <w:p w14:paraId="61C355D6" w14:textId="16DD411E" w:rsidR="00963F54" w:rsidRPr="00963F54" w:rsidRDefault="00963F54" w:rsidP="00963F54">
            <w:pPr>
              <w:rPr>
                <w:rFonts w:cs="Arial"/>
              </w:rPr>
            </w:pPr>
            <w:r w:rsidRPr="00963F54">
              <w:rPr>
                <w:rFonts w:cs="Arial"/>
              </w:rPr>
              <w:t>0,005</w:t>
            </w:r>
          </w:p>
        </w:tc>
      </w:tr>
      <w:tr w:rsidR="00963F54" w14:paraId="1E09000E" w14:textId="77777777" w:rsidTr="00963F54">
        <w:tc>
          <w:tcPr>
            <w:tcW w:w="2104" w:type="dxa"/>
          </w:tcPr>
          <w:p w14:paraId="0BBF7BE9" w14:textId="4117D538" w:rsidR="00963F54" w:rsidRPr="00963F54" w:rsidRDefault="00963F54" w:rsidP="00963F54">
            <w:pPr>
              <w:rPr>
                <w:rFonts w:cs="Arial"/>
              </w:rPr>
            </w:pPr>
            <w:r w:rsidRPr="00963F54">
              <w:rPr>
                <w:rFonts w:cs="Arial"/>
              </w:rPr>
              <w:t>Необходимост от реваскуларизация</w:t>
            </w:r>
          </w:p>
        </w:tc>
        <w:tc>
          <w:tcPr>
            <w:tcW w:w="1867" w:type="dxa"/>
          </w:tcPr>
          <w:p w14:paraId="4C0160D3" w14:textId="4A5B9D76" w:rsidR="00963F54" w:rsidRPr="00963F54" w:rsidRDefault="00963F54" w:rsidP="00963F54">
            <w:pPr>
              <w:rPr>
                <w:rFonts w:cs="Arial"/>
              </w:rPr>
            </w:pPr>
            <w:r w:rsidRPr="00963F54">
              <w:rPr>
                <w:rFonts w:cs="Arial"/>
              </w:rPr>
              <w:t>16,0</w:t>
            </w:r>
          </w:p>
        </w:tc>
        <w:tc>
          <w:tcPr>
            <w:tcW w:w="1861" w:type="dxa"/>
          </w:tcPr>
          <w:p w14:paraId="6BEC6DEB" w14:textId="37B482B9" w:rsidR="00963F54" w:rsidRPr="00963F54" w:rsidRDefault="00963F54" w:rsidP="00963F54">
            <w:pPr>
              <w:rPr>
                <w:rFonts w:cs="Arial"/>
              </w:rPr>
            </w:pPr>
            <w:r w:rsidRPr="00963F54">
              <w:rPr>
                <w:rFonts w:cs="Arial"/>
              </w:rPr>
              <w:t>18,3</w:t>
            </w:r>
          </w:p>
        </w:tc>
        <w:tc>
          <w:tcPr>
            <w:tcW w:w="1883" w:type="dxa"/>
          </w:tcPr>
          <w:p w14:paraId="6841C675" w14:textId="2307B84B" w:rsidR="00963F54" w:rsidRPr="00963F54" w:rsidRDefault="00963F54" w:rsidP="00963F54">
            <w:pPr>
              <w:rPr>
                <w:rFonts w:cs="Arial"/>
              </w:rPr>
            </w:pPr>
            <w:r w:rsidRPr="00963F54">
              <w:rPr>
                <w:rFonts w:cs="Arial"/>
              </w:rPr>
              <w:t>0,85 (0,77-0,94)</w:t>
            </w:r>
          </w:p>
        </w:tc>
        <w:tc>
          <w:tcPr>
            <w:tcW w:w="1861" w:type="dxa"/>
          </w:tcPr>
          <w:p w14:paraId="3E675A89" w14:textId="7A35DADA" w:rsidR="00963F54" w:rsidRPr="00963F54" w:rsidRDefault="00963F54" w:rsidP="00963F54">
            <w:pPr>
              <w:rPr>
                <w:rFonts w:cs="Arial"/>
              </w:rPr>
            </w:pPr>
            <w:r w:rsidRPr="00963F54">
              <w:rPr>
                <w:rFonts w:cs="Arial"/>
              </w:rPr>
              <w:t>0,002</w:t>
            </w:r>
          </w:p>
        </w:tc>
      </w:tr>
      <w:tr w:rsidR="00963F54" w14:paraId="7E88CA3D" w14:textId="77777777" w:rsidTr="00963F54">
        <w:tc>
          <w:tcPr>
            <w:tcW w:w="2104" w:type="dxa"/>
          </w:tcPr>
          <w:p w14:paraId="5A53DB19" w14:textId="7F19D394" w:rsidR="00963F54" w:rsidRPr="00963F54" w:rsidRDefault="00963F54" w:rsidP="00963F54">
            <w:pPr>
              <w:rPr>
                <w:rFonts w:cs="Arial"/>
              </w:rPr>
            </w:pPr>
            <w:r w:rsidRPr="00963F54">
              <w:rPr>
                <w:rFonts w:cs="Arial"/>
              </w:rPr>
              <w:t>Хоспитализация за нестабилна стенокардия</w:t>
            </w:r>
          </w:p>
        </w:tc>
        <w:tc>
          <w:tcPr>
            <w:tcW w:w="1867" w:type="dxa"/>
          </w:tcPr>
          <w:p w14:paraId="5E0928E5" w14:textId="1CD6D4AC" w:rsidR="00963F54" w:rsidRPr="00963F54" w:rsidRDefault="00963F54" w:rsidP="00963F54">
            <w:pPr>
              <w:rPr>
                <w:rFonts w:cs="Arial"/>
              </w:rPr>
            </w:pPr>
            <w:r w:rsidRPr="00963F54">
              <w:rPr>
                <w:rFonts w:cs="Arial"/>
              </w:rPr>
              <w:t>12,1</w:t>
            </w:r>
          </w:p>
        </w:tc>
        <w:tc>
          <w:tcPr>
            <w:tcW w:w="1861" w:type="dxa"/>
          </w:tcPr>
          <w:p w14:paraId="2072B8BA" w14:textId="78A9805B" w:rsidR="00963F54" w:rsidRPr="00963F54" w:rsidRDefault="00963F54" w:rsidP="00963F54">
            <w:pPr>
              <w:rPr>
                <w:rFonts w:cs="Arial"/>
              </w:rPr>
            </w:pPr>
            <w:r w:rsidRPr="00963F54">
              <w:rPr>
                <w:rFonts w:cs="Arial"/>
              </w:rPr>
              <w:t>12,3</w:t>
            </w:r>
          </w:p>
        </w:tc>
        <w:tc>
          <w:tcPr>
            <w:tcW w:w="1883" w:type="dxa"/>
          </w:tcPr>
          <w:p w14:paraId="6C2581BF" w14:textId="19AE13E7" w:rsidR="00963F54" w:rsidRPr="00963F54" w:rsidRDefault="00963F54" w:rsidP="00963F54">
            <w:pPr>
              <w:rPr>
                <w:rFonts w:cs="Arial"/>
              </w:rPr>
            </w:pPr>
            <w:r w:rsidRPr="00963F54">
              <w:rPr>
                <w:rFonts w:cs="Arial"/>
              </w:rPr>
              <w:t>0,98 (0,87-1,10)</w:t>
            </w:r>
          </w:p>
        </w:tc>
        <w:tc>
          <w:tcPr>
            <w:tcW w:w="1861" w:type="dxa"/>
          </w:tcPr>
          <w:p w14:paraId="75EF75D8" w14:textId="463E4DAC" w:rsidR="00963F54" w:rsidRPr="00963F54" w:rsidRDefault="00963F54" w:rsidP="00963F54">
            <w:pPr>
              <w:rPr>
                <w:rFonts w:cs="Arial"/>
              </w:rPr>
            </w:pPr>
            <w:r w:rsidRPr="00963F54">
              <w:rPr>
                <w:rFonts w:cs="Arial"/>
                <w:lang w:val="en-US"/>
              </w:rPr>
              <w:t>NS</w:t>
            </w:r>
          </w:p>
        </w:tc>
      </w:tr>
      <w:tr w:rsidR="00963F54" w14:paraId="4F210E4B" w14:textId="77777777" w:rsidTr="00963F54">
        <w:tc>
          <w:tcPr>
            <w:tcW w:w="2104" w:type="dxa"/>
          </w:tcPr>
          <w:p w14:paraId="60C38037" w14:textId="5F36A7A2" w:rsidR="00963F54" w:rsidRPr="00963F54" w:rsidRDefault="00963F54" w:rsidP="00963F54">
            <w:pPr>
              <w:rPr>
                <w:rFonts w:cs="Arial"/>
              </w:rPr>
            </w:pPr>
            <w:r w:rsidRPr="00963F54">
              <w:rPr>
                <w:rFonts w:cs="Arial"/>
              </w:rPr>
              <w:t>Хоспитализация за сърдечна недостатъчност</w:t>
            </w:r>
          </w:p>
        </w:tc>
        <w:tc>
          <w:tcPr>
            <w:tcW w:w="1867" w:type="dxa"/>
          </w:tcPr>
          <w:p w14:paraId="471ABA23" w14:textId="4EC9DE1F" w:rsidR="00963F54" w:rsidRPr="00963F54" w:rsidRDefault="00963F54" w:rsidP="00963F54">
            <w:pPr>
              <w:rPr>
                <w:rFonts w:cs="Arial"/>
              </w:rPr>
            </w:pPr>
            <w:r w:rsidRPr="00963F54">
              <w:rPr>
                <w:rFonts w:cs="Arial"/>
              </w:rPr>
              <w:t>3,2</w:t>
            </w:r>
          </w:p>
        </w:tc>
        <w:tc>
          <w:tcPr>
            <w:tcW w:w="1861" w:type="dxa"/>
          </w:tcPr>
          <w:p w14:paraId="6763A9BA" w14:textId="315B3729" w:rsidR="00963F54" w:rsidRPr="00963F54" w:rsidRDefault="00963F54" w:rsidP="00963F54">
            <w:pPr>
              <w:rPr>
                <w:rFonts w:cs="Arial"/>
              </w:rPr>
            </w:pPr>
            <w:r w:rsidRPr="00963F54">
              <w:rPr>
                <w:rFonts w:cs="Arial"/>
              </w:rPr>
              <w:t>3,5</w:t>
            </w:r>
          </w:p>
        </w:tc>
        <w:tc>
          <w:tcPr>
            <w:tcW w:w="1883" w:type="dxa"/>
          </w:tcPr>
          <w:p w14:paraId="75733CAD" w14:textId="135FE8F4" w:rsidR="00963F54" w:rsidRPr="00963F54" w:rsidRDefault="00963F54" w:rsidP="00963F54">
            <w:pPr>
              <w:rPr>
                <w:rFonts w:cs="Arial"/>
              </w:rPr>
            </w:pPr>
            <w:r w:rsidRPr="00963F54">
              <w:rPr>
                <w:rFonts w:cs="Arial"/>
              </w:rPr>
              <w:t>0,88 (0,70-1,10)</w:t>
            </w:r>
          </w:p>
        </w:tc>
        <w:tc>
          <w:tcPr>
            <w:tcW w:w="1861" w:type="dxa"/>
          </w:tcPr>
          <w:p w14:paraId="60EBBF91" w14:textId="61788FF0" w:rsidR="00963F54" w:rsidRPr="00963F54" w:rsidRDefault="00963F54" w:rsidP="00963F54">
            <w:pPr>
              <w:rPr>
                <w:rFonts w:cs="Arial"/>
              </w:rPr>
            </w:pPr>
            <w:r w:rsidRPr="00963F54">
              <w:rPr>
                <w:rFonts w:cs="Arial"/>
              </w:rPr>
              <w:t>0,25</w:t>
            </w:r>
          </w:p>
        </w:tc>
      </w:tr>
      <w:tr w:rsidR="00963F54" w14:paraId="21166F62" w14:textId="77777777" w:rsidTr="00963F54">
        <w:tc>
          <w:tcPr>
            <w:tcW w:w="2104" w:type="dxa"/>
          </w:tcPr>
          <w:p w14:paraId="422E2D4F" w14:textId="6936C5F9" w:rsidR="00963F54" w:rsidRPr="00963F54" w:rsidRDefault="00963F54" w:rsidP="00963F54">
            <w:pPr>
              <w:rPr>
                <w:rFonts w:cs="Arial"/>
              </w:rPr>
            </w:pPr>
            <w:r w:rsidRPr="00963F54">
              <w:rPr>
                <w:rFonts w:cs="Arial"/>
              </w:rPr>
              <w:t>Усложнения, свързани с диабет</w:t>
            </w:r>
          </w:p>
        </w:tc>
        <w:tc>
          <w:tcPr>
            <w:tcW w:w="1867" w:type="dxa"/>
          </w:tcPr>
          <w:p w14:paraId="008D1648" w14:textId="7555CED9" w:rsidR="00963F54" w:rsidRPr="00963F54" w:rsidRDefault="00963F54" w:rsidP="00963F54">
            <w:pPr>
              <w:rPr>
                <w:rFonts w:cs="Arial"/>
              </w:rPr>
            </w:pPr>
            <w:r w:rsidRPr="00963F54">
              <w:rPr>
                <w:rFonts w:cs="Arial"/>
              </w:rPr>
              <w:t>6,4</w:t>
            </w:r>
          </w:p>
        </w:tc>
        <w:tc>
          <w:tcPr>
            <w:tcW w:w="1861" w:type="dxa"/>
          </w:tcPr>
          <w:p w14:paraId="3F9C6ED2" w14:textId="77ED6286" w:rsidR="00963F54" w:rsidRPr="00963F54" w:rsidRDefault="00963F54" w:rsidP="00963F54">
            <w:pPr>
              <w:rPr>
                <w:rFonts w:cs="Arial"/>
              </w:rPr>
            </w:pPr>
            <w:r w:rsidRPr="00963F54">
              <w:rPr>
                <w:rFonts w:cs="Arial"/>
              </w:rPr>
              <w:t>7,6</w:t>
            </w:r>
          </w:p>
        </w:tc>
        <w:tc>
          <w:tcPr>
            <w:tcW w:w="1883" w:type="dxa"/>
          </w:tcPr>
          <w:p w14:paraId="6F543DA3" w14:textId="68E9AD15" w:rsidR="00963F54" w:rsidRPr="00963F54" w:rsidRDefault="00963F54" w:rsidP="00963F54">
            <w:pPr>
              <w:rPr>
                <w:rFonts w:cs="Arial"/>
              </w:rPr>
            </w:pPr>
            <w:r w:rsidRPr="00963F54">
              <w:rPr>
                <w:rFonts w:cs="Arial"/>
              </w:rPr>
              <w:t>0,84 (0,72-0,98)</w:t>
            </w:r>
          </w:p>
        </w:tc>
        <w:tc>
          <w:tcPr>
            <w:tcW w:w="1861" w:type="dxa"/>
          </w:tcPr>
          <w:p w14:paraId="0DCD893C" w14:textId="67A1E8F3" w:rsidR="00963F54" w:rsidRPr="00963F54" w:rsidRDefault="00963F54" w:rsidP="00963F54">
            <w:pPr>
              <w:rPr>
                <w:rFonts w:cs="Arial"/>
              </w:rPr>
            </w:pPr>
            <w:r w:rsidRPr="00963F54">
              <w:rPr>
                <w:rFonts w:cs="Arial"/>
              </w:rPr>
              <w:t>0,03</w:t>
            </w:r>
          </w:p>
        </w:tc>
      </w:tr>
    </w:tbl>
    <w:p w14:paraId="26CA20FB" w14:textId="77777777" w:rsidR="00963F54" w:rsidRDefault="00963F54" w:rsidP="00963F54">
      <w:pPr>
        <w:spacing w:line="240" w:lineRule="auto"/>
        <w:rPr>
          <w:rFonts w:ascii="Times New Roman" w:eastAsia="Times New Roman" w:hAnsi="Times New Roman" w:cs="Times New Roman"/>
          <w:color w:val="000000"/>
          <w:lang w:eastAsia="bg-BG"/>
        </w:rPr>
      </w:pPr>
    </w:p>
    <w:p w14:paraId="17637D74" w14:textId="3EDFB25B"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Проучването </w:t>
      </w:r>
      <w:r w:rsidRPr="00963F54">
        <w:rPr>
          <w:rFonts w:eastAsia="Times New Roman" w:cs="Arial"/>
          <w:color w:val="000000"/>
          <w:lang w:val="en-US"/>
        </w:rPr>
        <w:t xml:space="preserve">MICRO-HOPE </w:t>
      </w:r>
      <w:r w:rsidRPr="00963F54">
        <w:rPr>
          <w:rFonts w:eastAsia="Times New Roman" w:cs="Arial"/>
          <w:color w:val="000000"/>
          <w:lang w:eastAsia="bg-BG"/>
        </w:rPr>
        <w:t xml:space="preserve">(предварително определено подпроучване от НОРЕ) изследва ефекта от добавянето на 10 </w:t>
      </w:r>
      <w:r w:rsidRPr="00963F54">
        <w:rPr>
          <w:rFonts w:eastAsia="Times New Roman" w:cs="Arial"/>
          <w:color w:val="000000"/>
          <w:lang w:val="en-US"/>
        </w:rPr>
        <w:t xml:space="preserve">mg </w:t>
      </w:r>
      <w:r w:rsidRPr="00963F54">
        <w:rPr>
          <w:rFonts w:eastAsia="Times New Roman" w:cs="Arial"/>
          <w:color w:val="000000"/>
          <w:lang w:eastAsia="bg-BG"/>
        </w:rPr>
        <w:t>рамиприл към текущата схема на лечение спрямо плацебо при 3 577 пациенти на възраст не по-малко от ≥55 години и по-възрастни (без горна граница на възрастта), предимно с диабет тип 2 (и поне още един сърдечно-съдов рисков фактор), с нормално артериално налягане или</w:t>
      </w:r>
      <w:r w:rsidRPr="00963F54">
        <w:rPr>
          <w:rFonts w:eastAsia="Times New Roman" w:cs="Arial"/>
          <w:color w:val="000000"/>
          <w:lang w:val="en-US"/>
        </w:rPr>
        <w:t xml:space="preserve"> </w:t>
      </w:r>
      <w:r w:rsidRPr="00963F54">
        <w:rPr>
          <w:rFonts w:eastAsia="Times New Roman" w:cs="Arial"/>
          <w:color w:val="000000"/>
          <w:lang w:eastAsia="bg-BG"/>
        </w:rPr>
        <w:t>с хипертония.</w:t>
      </w:r>
    </w:p>
    <w:p w14:paraId="5ED07BB1"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lastRenderedPageBreak/>
        <w:t xml:space="preserve">Първоначалният анализ показва, че 117 (6,5%) от участниците, приемали рамиприл и 149 (8,4%) от тези на плацебо получават изявена нефропатия, което съответства на </w:t>
      </w:r>
      <w:r w:rsidRPr="00963F54">
        <w:rPr>
          <w:rFonts w:eastAsia="Times New Roman" w:cs="Arial"/>
          <w:color w:val="000000"/>
          <w:lang w:val="en-US"/>
        </w:rPr>
        <w:t xml:space="preserve">RRR </w:t>
      </w:r>
      <w:r w:rsidRPr="00963F54">
        <w:rPr>
          <w:rFonts w:eastAsia="Times New Roman" w:cs="Arial"/>
          <w:color w:val="000000"/>
          <w:lang w:eastAsia="bg-BG"/>
        </w:rPr>
        <w:t xml:space="preserve">24%,95% </w:t>
      </w:r>
      <w:r w:rsidRPr="00963F54">
        <w:rPr>
          <w:rFonts w:eastAsia="Times New Roman" w:cs="Arial"/>
          <w:color w:val="000000"/>
          <w:lang w:val="en-US"/>
        </w:rPr>
        <w:t xml:space="preserve">CI </w:t>
      </w:r>
      <w:r w:rsidRPr="00963F54">
        <w:rPr>
          <w:rFonts w:eastAsia="Times New Roman" w:cs="Arial"/>
          <w:color w:val="000000"/>
          <w:lang w:eastAsia="bg-BG"/>
        </w:rPr>
        <w:t>[3-40], р=0,027.</w:t>
      </w:r>
    </w:p>
    <w:p w14:paraId="0524381A" w14:textId="77777777" w:rsidR="00963F54" w:rsidRPr="00963F54" w:rsidRDefault="00963F54" w:rsidP="00963F54">
      <w:pPr>
        <w:spacing w:line="240" w:lineRule="auto"/>
        <w:rPr>
          <w:rFonts w:eastAsia="Times New Roman" w:cs="Arial"/>
          <w:color w:val="000000"/>
          <w:lang w:eastAsia="bg-BG"/>
        </w:rPr>
      </w:pPr>
    </w:p>
    <w:p w14:paraId="7F262A1C" w14:textId="33600172"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Две големи рандомизирани контролирани проучвания - </w:t>
      </w:r>
      <w:r w:rsidRPr="00963F54">
        <w:rPr>
          <w:rFonts w:eastAsia="Times New Roman" w:cs="Arial"/>
          <w:color w:val="000000"/>
          <w:lang w:val="en-US"/>
        </w:rPr>
        <w:t>ONTARGET (</w:t>
      </w:r>
      <w:proofErr w:type="spellStart"/>
      <w:r w:rsidRPr="00963F54">
        <w:rPr>
          <w:rFonts w:eastAsia="Times New Roman" w:cs="Arial"/>
          <w:color w:val="000000"/>
          <w:lang w:val="en-US"/>
        </w:rPr>
        <w:t>ONgoing</w:t>
      </w:r>
      <w:proofErr w:type="spellEnd"/>
      <w:r w:rsidRPr="00963F54">
        <w:rPr>
          <w:rFonts w:eastAsia="Times New Roman" w:cs="Arial"/>
          <w:color w:val="000000"/>
          <w:lang w:val="en-US"/>
        </w:rPr>
        <w:t xml:space="preserve"> Telmisartan Alone and in combination with Ramipril Global Endpoint Trial - </w:t>
      </w:r>
      <w:r w:rsidRPr="00963F54">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963F54">
        <w:rPr>
          <w:rFonts w:eastAsia="Times New Roman" w:cs="Arial"/>
          <w:color w:val="000000"/>
          <w:lang w:val="en-US"/>
        </w:rPr>
        <w:t xml:space="preserve">VA NEPHRON-D </w:t>
      </w:r>
      <w:r w:rsidRPr="00963F54">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II-рецепторен блокер, </w:t>
      </w:r>
      <w:r w:rsidRPr="00963F54">
        <w:rPr>
          <w:rFonts w:eastAsia="Times New Roman" w:cs="Arial"/>
          <w:color w:val="000000"/>
          <w:lang w:val="en-US"/>
        </w:rPr>
        <w:t xml:space="preserve">ONTARGET </w:t>
      </w:r>
      <w:r w:rsidRPr="00963F54">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963F54">
        <w:rPr>
          <w:rFonts w:eastAsia="Times New Roman" w:cs="Arial"/>
          <w:color w:val="000000"/>
          <w:lang w:val="en-US"/>
        </w:rPr>
        <w:t xml:space="preserve">VA NEPHRON -D </w:t>
      </w:r>
      <w:r w:rsidRPr="00963F54">
        <w:rPr>
          <w:rFonts w:eastAsia="Times New Roman" w:cs="Arial"/>
          <w:color w:val="000000"/>
          <w:lang w:eastAsia="bg-BG"/>
        </w:rPr>
        <w:t>с проучване при пациенти със захарен диабет тип 2 и диабетна нефропатия.</w:t>
      </w:r>
    </w:p>
    <w:p w14:paraId="762A7B31" w14:textId="4C0E9653"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Тези проучвания не показват значим благоприятен ефект върху бъбречните и/или сърдечно</w:t>
      </w:r>
      <w:r w:rsidRPr="00963F54">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963F54">
        <w:rPr>
          <w:rFonts w:eastAsia="Times New Roman" w:cs="Arial"/>
          <w:color w:val="000000"/>
          <w:lang w:val="en-US" w:eastAsia="bg-BG"/>
        </w:rPr>
        <w:t>II</w:t>
      </w:r>
      <w:r w:rsidRPr="00963F54">
        <w:rPr>
          <w:rFonts w:eastAsia="Times New Roman" w:cs="Arial"/>
          <w:color w:val="000000"/>
          <w:lang w:eastAsia="bg-BG"/>
        </w:rPr>
        <w:t>-рецепторни блокери.</w:t>
      </w:r>
    </w:p>
    <w:p w14:paraId="56C4ECED" w14:textId="6EAF890C"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АСЕ инхибитори и ангиотензин </w:t>
      </w:r>
      <w:r w:rsidRPr="00963F54">
        <w:rPr>
          <w:rFonts w:eastAsia="Times New Roman" w:cs="Arial"/>
          <w:color w:val="000000"/>
          <w:lang w:val="en-US" w:eastAsia="bg-BG"/>
        </w:rPr>
        <w:t>II</w:t>
      </w:r>
      <w:r w:rsidRPr="00963F54">
        <w:rPr>
          <w:rFonts w:eastAsia="Times New Roman" w:cs="Arial"/>
          <w:color w:val="000000"/>
          <w:lang w:eastAsia="bg-BG"/>
        </w:rPr>
        <w:t>-рецепторни блокери следователно не трябва да се използват</w:t>
      </w:r>
    </w:p>
    <w:p w14:paraId="5BC2301D" w14:textId="5F29765C" w:rsidR="00963F54" w:rsidRPr="00963F54" w:rsidRDefault="00963F54" w:rsidP="00963F54">
      <w:pPr>
        <w:spacing w:line="240" w:lineRule="auto"/>
        <w:rPr>
          <w:rFonts w:eastAsia="Times New Roman" w:cs="Arial"/>
          <w:color w:val="000000"/>
          <w:lang w:eastAsia="bg-BG"/>
        </w:rPr>
      </w:pPr>
      <w:r w:rsidRPr="00963F54">
        <w:rPr>
          <w:rFonts w:eastAsia="Times New Roman" w:cs="Arial"/>
          <w:color w:val="000000"/>
          <w:lang w:eastAsia="bg-BG"/>
        </w:rPr>
        <w:t>едновременно при пациенти с диабетна нефропатия.</w:t>
      </w:r>
    </w:p>
    <w:p w14:paraId="54AEA1EE" w14:textId="4A8700A0" w:rsidR="00963F54" w:rsidRPr="00963F54" w:rsidRDefault="00963F54" w:rsidP="00963F54">
      <w:pPr>
        <w:spacing w:line="240" w:lineRule="auto"/>
        <w:rPr>
          <w:rFonts w:eastAsia="Times New Roman" w:cs="Arial"/>
          <w:color w:val="000000"/>
          <w:lang w:eastAsia="bg-BG"/>
        </w:rPr>
      </w:pPr>
    </w:p>
    <w:p w14:paraId="76F53DEE"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val="en-US"/>
        </w:rPr>
        <w:t xml:space="preserve">ALTITUDE </w:t>
      </w:r>
      <w:r w:rsidRPr="00963F54">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963F54">
        <w:rPr>
          <w:rFonts w:eastAsia="Times New Roman" w:cs="Arial"/>
          <w:color w:val="000000"/>
          <w:lang w:val="en-US"/>
        </w:rPr>
        <w:t>II</w:t>
      </w:r>
      <w:r w:rsidRPr="00963F54">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532CADF1" w14:textId="77777777" w:rsidR="00963F54" w:rsidRPr="00963F54" w:rsidRDefault="00963F54" w:rsidP="00963F54">
      <w:pPr>
        <w:spacing w:line="240" w:lineRule="auto"/>
        <w:rPr>
          <w:rFonts w:eastAsia="Times New Roman" w:cs="Arial"/>
          <w:i/>
          <w:iCs/>
          <w:color w:val="000000"/>
          <w:u w:val="single"/>
          <w:lang w:eastAsia="bg-BG"/>
        </w:rPr>
      </w:pPr>
    </w:p>
    <w:p w14:paraId="3955D191" w14:textId="4F783F99"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Педиатрична популация</w:t>
      </w:r>
    </w:p>
    <w:p w14:paraId="2C557621"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В рандомизирано, двойно-сляпо плацебо-контролирано клинично проучване, включващо 244 педиатрични пациенти с хипертония (73% с първична хипертония) на възраст 6-16 години, всеки от пациентите получава ниска, средна или висока доза рамиприл, изчислени на килограм телесно тегло, така, че да се достигнат плазмени концентрации на рамиприлат, които се получават при възрастни след прилагане на дози от 1,25 </w:t>
      </w:r>
      <w:r w:rsidRPr="00963F54">
        <w:rPr>
          <w:rFonts w:eastAsia="Times New Roman" w:cs="Arial"/>
          <w:color w:val="000000"/>
          <w:lang w:val="en-US"/>
        </w:rPr>
        <w:t xml:space="preserve">mg, </w:t>
      </w:r>
      <w:r w:rsidRPr="00963F54">
        <w:rPr>
          <w:rFonts w:eastAsia="Times New Roman" w:cs="Arial"/>
          <w:color w:val="000000"/>
          <w:lang w:eastAsia="bg-BG"/>
        </w:rPr>
        <w:t xml:space="preserve">5 </w:t>
      </w:r>
      <w:r w:rsidRPr="00963F54">
        <w:rPr>
          <w:rFonts w:eastAsia="Times New Roman" w:cs="Arial"/>
          <w:color w:val="000000"/>
          <w:lang w:val="en-US"/>
        </w:rPr>
        <w:t xml:space="preserve">mg </w:t>
      </w:r>
      <w:r w:rsidRPr="00963F54">
        <w:rPr>
          <w:rFonts w:eastAsia="Times New Roman" w:cs="Arial"/>
          <w:color w:val="000000"/>
          <w:lang w:eastAsia="bg-BG"/>
        </w:rPr>
        <w:t xml:space="preserve">и 20 </w:t>
      </w:r>
      <w:r w:rsidRPr="00963F54">
        <w:rPr>
          <w:rFonts w:eastAsia="Times New Roman" w:cs="Arial"/>
          <w:color w:val="000000"/>
          <w:lang w:val="en-US"/>
        </w:rPr>
        <w:t xml:space="preserve">mg. </w:t>
      </w:r>
      <w:r w:rsidRPr="00963F54">
        <w:rPr>
          <w:rFonts w:eastAsia="Times New Roman" w:cs="Arial"/>
          <w:color w:val="000000"/>
          <w:lang w:eastAsia="bg-BG"/>
        </w:rPr>
        <w:t>В края на 4-тата седмица резултатите показват, че по отношение на крайната цел за понижаване на систоличното артериално налягане рамиприл е неефективен, но когато се прилага в най- високата доза понижава диастолното артериално налягане. При деца с доказана хипертония след прилагане на средна и висока доза рамиприл се наблюдава статистически значимо понижаване на стойностите на систолното и диастолното артериално налягане.</w:t>
      </w:r>
    </w:p>
    <w:p w14:paraId="1F398889" w14:textId="77777777" w:rsidR="00963F54" w:rsidRPr="00963F54" w:rsidRDefault="00963F54" w:rsidP="00963F54">
      <w:pPr>
        <w:spacing w:line="240" w:lineRule="auto"/>
        <w:rPr>
          <w:rFonts w:eastAsia="Times New Roman" w:cs="Arial"/>
          <w:color w:val="000000"/>
          <w:lang w:eastAsia="bg-BG"/>
        </w:rPr>
      </w:pPr>
    </w:p>
    <w:p w14:paraId="65A18A48" w14:textId="7419DCD3"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Този ефект не се наблюдава в 4-седмично рандомизирано, двойно-сляпо проучване с повишаване на дозата при 218 педиатрични пациенти на възраст 6-16 години (75% с първична хипертония), където след прилагане на всичките три тествани дози рамиприл: </w:t>
      </w:r>
      <w:r w:rsidRPr="00963F54">
        <w:rPr>
          <w:rFonts w:eastAsia="Times New Roman" w:cs="Arial"/>
          <w:color w:val="000000"/>
          <w:lang w:eastAsia="bg-BG"/>
        </w:rPr>
        <w:lastRenderedPageBreak/>
        <w:t xml:space="preserve">ниска (0,625 </w:t>
      </w:r>
      <w:r w:rsidRPr="00963F54">
        <w:rPr>
          <w:rFonts w:eastAsia="Times New Roman" w:cs="Arial"/>
          <w:color w:val="000000"/>
          <w:lang w:val="en-US"/>
        </w:rPr>
        <w:t xml:space="preserve">mg </w:t>
      </w:r>
      <w:r w:rsidRPr="00963F54">
        <w:rPr>
          <w:rFonts w:eastAsia="Times New Roman" w:cs="Arial"/>
          <w:color w:val="000000"/>
          <w:lang w:eastAsia="bg-BG"/>
        </w:rPr>
        <w:t xml:space="preserve">- 2,5 </w:t>
      </w:r>
      <w:r w:rsidRPr="00963F54">
        <w:rPr>
          <w:rFonts w:eastAsia="Times New Roman" w:cs="Arial"/>
          <w:color w:val="000000"/>
          <w:lang w:val="en-US"/>
        </w:rPr>
        <w:t xml:space="preserve">mg), </w:t>
      </w:r>
      <w:r w:rsidRPr="00963F54">
        <w:rPr>
          <w:rFonts w:eastAsia="Times New Roman" w:cs="Arial"/>
          <w:color w:val="000000"/>
          <w:lang w:eastAsia="bg-BG"/>
        </w:rPr>
        <w:t xml:space="preserve">средна (2,5 </w:t>
      </w:r>
      <w:r w:rsidRPr="00963F54">
        <w:rPr>
          <w:rFonts w:eastAsia="Times New Roman" w:cs="Arial"/>
          <w:color w:val="000000"/>
          <w:lang w:val="en-US"/>
        </w:rPr>
        <w:t xml:space="preserve">mg - </w:t>
      </w:r>
      <w:r w:rsidRPr="00963F54">
        <w:rPr>
          <w:rFonts w:eastAsia="Times New Roman" w:cs="Arial"/>
          <w:color w:val="000000"/>
          <w:lang w:eastAsia="bg-BG"/>
        </w:rPr>
        <w:t xml:space="preserve">10 </w:t>
      </w:r>
      <w:r w:rsidRPr="00963F54">
        <w:rPr>
          <w:rFonts w:eastAsia="Times New Roman" w:cs="Arial"/>
          <w:color w:val="000000"/>
          <w:lang w:val="en-US"/>
        </w:rPr>
        <w:t xml:space="preserve">mg) </w:t>
      </w:r>
      <w:r w:rsidRPr="00963F54">
        <w:rPr>
          <w:rFonts w:eastAsia="Times New Roman" w:cs="Arial"/>
          <w:color w:val="000000"/>
          <w:lang w:eastAsia="bg-BG"/>
        </w:rPr>
        <w:t xml:space="preserve">или висока (5 </w:t>
      </w:r>
      <w:r w:rsidRPr="00963F54">
        <w:rPr>
          <w:rFonts w:eastAsia="Times New Roman" w:cs="Arial"/>
          <w:color w:val="000000"/>
          <w:lang w:val="en-US"/>
        </w:rPr>
        <w:t xml:space="preserve">mg </w:t>
      </w:r>
      <w:r w:rsidRPr="00963F54">
        <w:rPr>
          <w:rFonts w:eastAsia="Times New Roman" w:cs="Arial"/>
          <w:color w:val="000000"/>
          <w:lang w:eastAsia="bg-BG"/>
        </w:rPr>
        <w:t xml:space="preserve">- 20 </w:t>
      </w:r>
      <w:r w:rsidRPr="00963F54">
        <w:rPr>
          <w:rFonts w:eastAsia="Times New Roman" w:cs="Arial"/>
          <w:color w:val="000000"/>
          <w:lang w:val="en-US"/>
        </w:rPr>
        <w:t xml:space="preserve">mg) </w:t>
      </w:r>
      <w:r w:rsidRPr="00963F54">
        <w:rPr>
          <w:rFonts w:eastAsia="Times New Roman" w:cs="Arial"/>
          <w:color w:val="000000"/>
          <w:lang w:eastAsia="bg-BG"/>
        </w:rPr>
        <w:t>доза, изчислени на килограм телесно тегло стойностите на диастолното и систолното артериално налягане показват умерен ребаунд, но не и статистически значимо възвръщане към изходните стойности. Рамиприл не показва линеен доза отговор в изследваната педиатрична популация.</w:t>
      </w:r>
    </w:p>
    <w:p w14:paraId="489873CB" w14:textId="77777777" w:rsidR="00963F54" w:rsidRPr="00963F54" w:rsidRDefault="00963F54" w:rsidP="00963F54">
      <w:pPr>
        <w:spacing w:line="240" w:lineRule="auto"/>
        <w:rPr>
          <w:rFonts w:eastAsia="Times New Roman" w:cs="Arial"/>
          <w:color w:val="000000"/>
          <w:u w:val="single"/>
          <w:lang w:eastAsia="bg-BG"/>
        </w:rPr>
      </w:pPr>
    </w:p>
    <w:p w14:paraId="0142D223" w14:textId="370B53BE"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u w:val="single"/>
          <w:lang w:eastAsia="bg-BG"/>
        </w:rPr>
        <w:t>Амлодипин</w:t>
      </w:r>
    </w:p>
    <w:p w14:paraId="5B646F36" w14:textId="77777777" w:rsidR="00963F54" w:rsidRPr="00963F54" w:rsidRDefault="00963F54" w:rsidP="00963F54">
      <w:pPr>
        <w:spacing w:line="240" w:lineRule="auto"/>
        <w:rPr>
          <w:rFonts w:eastAsia="Times New Roman" w:cs="Arial"/>
          <w:i/>
          <w:iCs/>
          <w:color w:val="000000"/>
          <w:u w:val="single"/>
          <w:lang w:eastAsia="bg-BG"/>
        </w:rPr>
      </w:pPr>
    </w:p>
    <w:p w14:paraId="7B84445B" w14:textId="7D37A93C"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Механизъм на действие</w:t>
      </w:r>
    </w:p>
    <w:p w14:paraId="1C3F4761"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Амлодипин е инхибитор на инфлукса на калциеви йони от дихидропиридиновата група (бавен блокер на калциевите канали или калциев антагонист) и потиска трансмембранното навлизане на калциеви йони в клетките на сърдечната и съдовата гладка мускулатура.</w:t>
      </w:r>
    </w:p>
    <w:p w14:paraId="401FE340" w14:textId="77777777" w:rsidR="00963F54" w:rsidRPr="00963F54" w:rsidRDefault="00963F54" w:rsidP="00963F54">
      <w:pPr>
        <w:spacing w:line="240" w:lineRule="auto"/>
        <w:rPr>
          <w:rFonts w:eastAsia="Times New Roman" w:cs="Arial"/>
          <w:color w:val="000000"/>
          <w:lang w:eastAsia="bg-BG"/>
        </w:rPr>
      </w:pPr>
    </w:p>
    <w:p w14:paraId="42A21E0B" w14:textId="1B9F0F6F"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Механизмът на антихипертензивно действие на амлодипин се дължи на директния релаксиращ ефект върху съдовата гладка мускулатура. Точният механизъм чрез който той облекчава стенокардната болка не е напълно изяснен, но амлодипин намалява общото исхемично натоварване чрез следните два механизма:</w:t>
      </w:r>
    </w:p>
    <w:p w14:paraId="14DDE72F" w14:textId="77777777" w:rsidR="00963F54" w:rsidRPr="00963F54" w:rsidRDefault="00963F54" w:rsidP="00963F54">
      <w:pPr>
        <w:spacing w:line="240" w:lineRule="auto"/>
        <w:rPr>
          <w:rFonts w:eastAsia="Times New Roman" w:cs="Arial"/>
          <w:color w:val="000000"/>
          <w:lang w:eastAsia="bg-BG"/>
        </w:rPr>
      </w:pPr>
    </w:p>
    <w:p w14:paraId="6067629D" w14:textId="0713923D"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1.Амлодипин дилатира периферните артериоли и така редуцира общата периферна резистентност (следнатоварването), срещу която работи сърцето. Тъй като сърдечната честота остава стабилна, това облекчаване в работата на сърцето редуцира енергийната консумация от миокарда и неговите кислородни нужди.</w:t>
      </w:r>
    </w:p>
    <w:p w14:paraId="6F97A8C3" w14:textId="77777777" w:rsidR="00963F54" w:rsidRPr="00963F54" w:rsidRDefault="00963F54" w:rsidP="00963F54">
      <w:pPr>
        <w:spacing w:line="240" w:lineRule="auto"/>
        <w:rPr>
          <w:rFonts w:eastAsia="Times New Roman" w:cs="Arial"/>
          <w:color w:val="000000"/>
          <w:lang w:eastAsia="bg-BG"/>
        </w:rPr>
      </w:pPr>
    </w:p>
    <w:p w14:paraId="793EF9F9" w14:textId="1FFAB252"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2. Механизмът на действие на амлодипин вероятно включва също така дилатация на големите коронарни артерии и на коронарните артериоли, както в исхемичните, така и в неисхемичните зони. Тази дилатация повишава доставянето на кислород в миокарда при пациенти с коронарен артериоспазъм (ангина на </w:t>
      </w:r>
      <w:proofErr w:type="spellStart"/>
      <w:r w:rsidRPr="00963F54">
        <w:rPr>
          <w:rFonts w:eastAsia="Times New Roman" w:cs="Arial"/>
          <w:color w:val="000000"/>
          <w:lang w:val="en-US"/>
        </w:rPr>
        <w:t>Prinzmetal</w:t>
      </w:r>
      <w:proofErr w:type="spellEnd"/>
      <w:r w:rsidRPr="00963F54">
        <w:rPr>
          <w:rFonts w:eastAsia="Times New Roman" w:cs="Arial"/>
          <w:color w:val="000000"/>
          <w:lang w:val="en-US"/>
        </w:rPr>
        <w:t xml:space="preserve"> </w:t>
      </w:r>
      <w:r w:rsidRPr="00963F54">
        <w:rPr>
          <w:rFonts w:eastAsia="Times New Roman" w:cs="Arial"/>
          <w:color w:val="000000"/>
          <w:lang w:eastAsia="bg-BG"/>
        </w:rPr>
        <w:t>или вариантна стенокардия).</w:t>
      </w:r>
    </w:p>
    <w:p w14:paraId="27A05B3B" w14:textId="77777777" w:rsidR="00963F54" w:rsidRPr="00963F54" w:rsidRDefault="00963F54" w:rsidP="00963F54">
      <w:pPr>
        <w:spacing w:line="240" w:lineRule="auto"/>
        <w:rPr>
          <w:rFonts w:eastAsia="Times New Roman" w:cs="Arial"/>
          <w:color w:val="000000"/>
          <w:lang w:eastAsia="bg-BG"/>
        </w:rPr>
      </w:pPr>
    </w:p>
    <w:p w14:paraId="382FD9CF" w14:textId="0B0DE061" w:rsidR="00963F54" w:rsidRPr="00963F54" w:rsidRDefault="00963F54" w:rsidP="00963F54">
      <w:pPr>
        <w:spacing w:line="240" w:lineRule="auto"/>
        <w:rPr>
          <w:rFonts w:eastAsia="Times New Roman" w:cs="Arial"/>
          <w:color w:val="000000"/>
          <w:lang w:val="en-US" w:eastAsia="bg-BG"/>
        </w:rPr>
      </w:pPr>
      <w:r w:rsidRPr="00963F54">
        <w:rPr>
          <w:rFonts w:eastAsia="Times New Roman" w:cs="Arial"/>
          <w:color w:val="000000"/>
          <w:lang w:eastAsia="bg-BG"/>
        </w:rPr>
        <w:t>При пациенти с хипертония, еднократно дневно приложение осигурява клинично сигнификантно намаляване на артериалното налягане, както в легнало, така и в изправено положение, в продължение на интервал от 24 часа. Поради бавното начало на действие рязката хипотония не е характерна за приложението на амлодипин</w:t>
      </w:r>
      <w:r w:rsidRPr="00963F54">
        <w:rPr>
          <w:rFonts w:eastAsia="Times New Roman" w:cs="Arial"/>
          <w:color w:val="000000"/>
          <w:lang w:val="en-US" w:eastAsia="bg-BG"/>
        </w:rPr>
        <w:t>.</w:t>
      </w:r>
    </w:p>
    <w:p w14:paraId="2E65997E" w14:textId="0ABE4FB8" w:rsidR="00963F54" w:rsidRPr="00963F54" w:rsidRDefault="00963F54" w:rsidP="00963F54">
      <w:pPr>
        <w:spacing w:line="240" w:lineRule="auto"/>
        <w:rPr>
          <w:rFonts w:eastAsia="Times New Roman" w:cs="Arial"/>
          <w:color w:val="000000"/>
          <w:lang w:val="en-US" w:eastAsia="bg-BG"/>
        </w:rPr>
      </w:pPr>
    </w:p>
    <w:p w14:paraId="4387CA61"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Амлодипин не се свързва с нежелани метаболитни ефекти или промени в плазмените липиди и е подходящ за употреба при пациенти с астма, диабет и подагра.</w:t>
      </w:r>
    </w:p>
    <w:p w14:paraId="3DC9039F" w14:textId="77777777" w:rsidR="00963F54" w:rsidRPr="00963F54" w:rsidRDefault="00963F54" w:rsidP="00963F54">
      <w:pPr>
        <w:spacing w:line="240" w:lineRule="auto"/>
        <w:rPr>
          <w:rFonts w:eastAsia="Times New Roman" w:cs="Arial"/>
          <w:i/>
          <w:iCs/>
          <w:color w:val="000000"/>
          <w:u w:val="single"/>
          <w:lang w:eastAsia="bg-BG"/>
        </w:rPr>
      </w:pPr>
    </w:p>
    <w:p w14:paraId="4B6BB74A" w14:textId="61E8DF3D"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Приложение при пациенти със сърдечна недостатъчност</w:t>
      </w:r>
    </w:p>
    <w:p w14:paraId="1103D00D" w14:textId="77777777" w:rsidR="00963F54" w:rsidRPr="00963F54" w:rsidRDefault="00963F54" w:rsidP="00963F54">
      <w:pPr>
        <w:spacing w:line="240" w:lineRule="auto"/>
        <w:rPr>
          <w:rFonts w:eastAsia="Times New Roman" w:cs="Arial"/>
          <w:color w:val="000000"/>
          <w:lang w:eastAsia="bg-BG"/>
        </w:rPr>
      </w:pPr>
      <w:r w:rsidRPr="00963F54">
        <w:rPr>
          <w:rFonts w:eastAsia="Times New Roman" w:cs="Arial"/>
          <w:color w:val="000000"/>
          <w:lang w:eastAsia="bg-BG"/>
        </w:rPr>
        <w:t xml:space="preserve">Продължително, плацебо контролирано проучване </w:t>
      </w:r>
      <w:r w:rsidRPr="00963F54">
        <w:rPr>
          <w:rFonts w:eastAsia="Times New Roman" w:cs="Arial"/>
          <w:color w:val="000000"/>
          <w:lang w:val="en-US"/>
        </w:rPr>
        <w:t xml:space="preserve">(PRAISE-2) </w:t>
      </w:r>
      <w:r w:rsidRPr="00963F54">
        <w:rPr>
          <w:rFonts w:eastAsia="Times New Roman" w:cs="Arial"/>
          <w:color w:val="000000"/>
          <w:lang w:eastAsia="bg-BG"/>
        </w:rPr>
        <w:t xml:space="preserve">на амлодипин при пациенти със сърдечна недостатъчност клас </w:t>
      </w:r>
      <w:r w:rsidRPr="00963F54">
        <w:rPr>
          <w:rFonts w:eastAsia="Times New Roman" w:cs="Arial"/>
          <w:color w:val="000000"/>
          <w:lang w:val="en-US"/>
        </w:rPr>
        <w:t>III</w:t>
      </w:r>
      <w:r w:rsidRPr="00963F54">
        <w:rPr>
          <w:rFonts w:eastAsia="Times New Roman" w:cs="Arial"/>
          <w:color w:val="000000"/>
          <w:lang w:eastAsia="bg-BG"/>
        </w:rPr>
        <w:t xml:space="preserve"> и IV по </w:t>
      </w:r>
      <w:r w:rsidRPr="00963F54">
        <w:rPr>
          <w:rFonts w:eastAsia="Times New Roman" w:cs="Arial"/>
          <w:color w:val="000000"/>
          <w:lang w:val="en-US"/>
        </w:rPr>
        <w:t xml:space="preserve">NYHA </w:t>
      </w:r>
      <w:r w:rsidRPr="00963F54">
        <w:rPr>
          <w:rFonts w:eastAsia="Times New Roman" w:cs="Arial"/>
          <w:color w:val="000000"/>
          <w:lang w:eastAsia="bg-BG"/>
        </w:rPr>
        <w:t xml:space="preserve">без клинични симптоми или обективни данни за възможна или налична исхемична болест, на постоянна терапия с АСЕ инхибитори, дигиталисови гликозиди и диуретици, не е установило повлияване на общата сърдечно-съдова смъртност. В същата тази популация амлодипин е асоцииран с повишена честота на съобщения за белодробен </w:t>
      </w:r>
    </w:p>
    <w:p w14:paraId="7E6379BB" w14:textId="639CCA25"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оток.</w:t>
      </w:r>
    </w:p>
    <w:p w14:paraId="78D2919C" w14:textId="77777777" w:rsidR="00963F54" w:rsidRPr="00963F54" w:rsidRDefault="00963F54" w:rsidP="00963F54">
      <w:pPr>
        <w:spacing w:line="240" w:lineRule="auto"/>
        <w:rPr>
          <w:rFonts w:eastAsia="Times New Roman" w:cs="Arial"/>
          <w:i/>
          <w:iCs/>
          <w:color w:val="000000"/>
          <w:u w:val="single"/>
          <w:lang w:eastAsia="bg-BG"/>
        </w:rPr>
      </w:pPr>
    </w:p>
    <w:p w14:paraId="4941F1B2" w14:textId="5A5137B2"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 xml:space="preserve">Клинично проучване за лечение и превенция на сърдечни пристъпи </w:t>
      </w:r>
      <w:r w:rsidRPr="00963F54">
        <w:rPr>
          <w:rFonts w:eastAsia="Times New Roman" w:cs="Arial"/>
          <w:i/>
          <w:iCs/>
          <w:color w:val="000000"/>
          <w:u w:val="single"/>
          <w:lang w:val="en-US"/>
        </w:rPr>
        <w:t xml:space="preserve">(ALLHAT) </w:t>
      </w:r>
      <w:r w:rsidRPr="00963F54">
        <w:rPr>
          <w:rFonts w:eastAsia="Times New Roman" w:cs="Arial"/>
          <w:color w:val="000000"/>
          <w:lang w:eastAsia="bg-BG"/>
        </w:rPr>
        <w:t xml:space="preserve">Проведено е рандомизирано, двойно-сляпо проучване, оценяващо заболеваемостта и смъртността, наречено </w:t>
      </w:r>
      <w:r w:rsidRPr="00963F54">
        <w:rPr>
          <w:rFonts w:eastAsia="Times New Roman" w:cs="Arial"/>
          <w:color w:val="000000"/>
          <w:lang w:val="en-US"/>
        </w:rPr>
        <w:t xml:space="preserve">ALLHAT (Antihypertensive and Lipid-Lowering Treatment to Prevent Heart Attack Trial), </w:t>
      </w:r>
      <w:r w:rsidRPr="00963F54">
        <w:rPr>
          <w:rFonts w:eastAsia="Times New Roman" w:cs="Arial"/>
          <w:color w:val="000000"/>
          <w:lang w:eastAsia="bg-BG"/>
        </w:rPr>
        <w:t xml:space="preserve">което сравнява по-новите лекарствени терапии: амлодипин 2,5-10 </w:t>
      </w:r>
      <w:r w:rsidRPr="00963F54">
        <w:rPr>
          <w:rFonts w:eastAsia="Times New Roman" w:cs="Arial"/>
          <w:color w:val="000000"/>
          <w:lang w:val="en-US"/>
        </w:rPr>
        <w:t>mg</w:t>
      </w:r>
      <w:r w:rsidRPr="00963F54">
        <w:rPr>
          <w:rFonts w:eastAsia="Times New Roman" w:cs="Arial"/>
          <w:color w:val="000000"/>
          <w:lang w:eastAsia="bg-BG"/>
        </w:rPr>
        <w:t xml:space="preserve">/дневно (блокер на калциевите канали) или лизиноприл 10-40 </w:t>
      </w:r>
      <w:r w:rsidRPr="00963F54">
        <w:rPr>
          <w:rFonts w:eastAsia="Times New Roman" w:cs="Arial"/>
          <w:color w:val="000000"/>
          <w:lang w:val="en-US"/>
        </w:rPr>
        <w:t>mg</w:t>
      </w:r>
      <w:r w:rsidRPr="00963F54">
        <w:rPr>
          <w:rFonts w:eastAsia="Times New Roman" w:cs="Arial"/>
          <w:color w:val="000000"/>
          <w:lang w:eastAsia="bg-BG"/>
        </w:rPr>
        <w:t xml:space="preserve">/дневно (АСЕ-инхибитор), като </w:t>
      </w:r>
      <w:r w:rsidRPr="00963F54">
        <w:rPr>
          <w:rFonts w:eastAsia="Times New Roman" w:cs="Arial"/>
          <w:color w:val="000000"/>
          <w:lang w:eastAsia="bg-BG"/>
        </w:rPr>
        <w:lastRenderedPageBreak/>
        <w:t xml:space="preserve">терапия от първа линия с тази на тиазидния диуретик хлорталидон 12,5-25 </w:t>
      </w:r>
      <w:r w:rsidRPr="00963F54">
        <w:rPr>
          <w:rFonts w:eastAsia="Times New Roman" w:cs="Arial"/>
          <w:color w:val="000000"/>
          <w:lang w:val="en-US"/>
        </w:rPr>
        <w:t>mg</w:t>
      </w:r>
      <w:r w:rsidRPr="00963F54">
        <w:rPr>
          <w:rFonts w:eastAsia="Times New Roman" w:cs="Arial"/>
          <w:color w:val="000000"/>
          <w:lang w:eastAsia="bg-BG"/>
        </w:rPr>
        <w:t xml:space="preserve">/дневно при пациенти с лека до умерена хипертония. Общо 33 357 пациенти с хипертония, на възраст 55 или повече години са рандомизирани и проследявани средно 4,9 години. Пациентите имат най- малко по един допълнителен рисков фактор за исхемична болест на сърцето, включително: предходен миокарден инфаркт или инсулт (&gt; 6 месеца преди включване в проучването) или Друго установено атеросклеротично сърдечно-съдово заболяване (общо 51,5%), диабет тип 2 (36,1%), </w:t>
      </w:r>
      <w:r w:rsidRPr="00963F54">
        <w:rPr>
          <w:rFonts w:eastAsia="Times New Roman" w:cs="Arial"/>
          <w:color w:val="000000"/>
          <w:lang w:val="en-US"/>
        </w:rPr>
        <w:t xml:space="preserve">HDL-C </w:t>
      </w:r>
      <w:r w:rsidRPr="00963F54">
        <w:rPr>
          <w:rFonts w:eastAsia="Times New Roman" w:cs="Arial"/>
          <w:color w:val="000000"/>
          <w:lang w:eastAsia="bg-BG"/>
        </w:rPr>
        <w:t xml:space="preserve">&lt; 35 </w:t>
      </w:r>
      <w:r w:rsidRPr="00963F54">
        <w:rPr>
          <w:rFonts w:eastAsia="Times New Roman" w:cs="Arial"/>
          <w:color w:val="000000"/>
          <w:lang w:val="en-US"/>
        </w:rPr>
        <w:t xml:space="preserve">mg/dl </w:t>
      </w:r>
      <w:r w:rsidRPr="00963F54">
        <w:rPr>
          <w:rFonts w:eastAsia="Times New Roman" w:cs="Arial"/>
          <w:color w:val="000000"/>
          <w:lang w:eastAsia="bg-BG"/>
        </w:rPr>
        <w:t xml:space="preserve">(11,6%), левокамерна хипертрофия (диагностицирана чрез електрокардиограма или ехокардиография (20,9%)), тютюнопушене понастоящем (21,9%). Първичната крайна цел е съставна от фатална исхемична болест на сърцето или нефатален миокарден инфаркт. Не се наблюдава статистически значима разлика по отношение на първичната крайна цел между терапията с амлодипин и хлорталидон: </w:t>
      </w:r>
      <w:r w:rsidRPr="00963F54">
        <w:rPr>
          <w:rFonts w:eastAsia="Times New Roman" w:cs="Arial"/>
          <w:color w:val="000000"/>
          <w:lang w:val="en-US"/>
        </w:rPr>
        <w:t xml:space="preserve">RR </w:t>
      </w:r>
      <w:r w:rsidRPr="00963F54">
        <w:rPr>
          <w:rFonts w:eastAsia="Times New Roman" w:cs="Arial"/>
          <w:color w:val="000000"/>
          <w:lang w:eastAsia="bg-BG"/>
        </w:rPr>
        <w:t xml:space="preserve">0,98 95% </w:t>
      </w:r>
      <w:r w:rsidRPr="00963F54">
        <w:rPr>
          <w:rFonts w:eastAsia="Times New Roman" w:cs="Arial"/>
          <w:color w:val="000000"/>
          <w:lang w:val="en-US"/>
        </w:rPr>
        <w:t xml:space="preserve">CI </w:t>
      </w:r>
      <w:r w:rsidRPr="00963F54">
        <w:rPr>
          <w:rFonts w:eastAsia="Times New Roman" w:cs="Arial"/>
          <w:color w:val="000000"/>
          <w:lang w:eastAsia="bg-BG"/>
        </w:rPr>
        <w:t xml:space="preserve">(0,90- 1,07) р = 0,65. Сред вторичните крайни цели, инцидентите на сърдечна недостатъчност (компонент на съставната комбинирана сърдечно-съдова крайна цел) са статистически значимо по-високи в групата на амлодипин в сравнение с групата на хлорталидон (10,2% срещу 7,7%, </w:t>
      </w:r>
      <w:r w:rsidRPr="00963F54">
        <w:rPr>
          <w:rFonts w:eastAsia="Times New Roman" w:cs="Arial"/>
          <w:color w:val="000000"/>
          <w:lang w:val="en-US"/>
        </w:rPr>
        <w:t xml:space="preserve">RR </w:t>
      </w:r>
      <w:r w:rsidRPr="00963F54">
        <w:rPr>
          <w:rFonts w:eastAsia="Times New Roman" w:cs="Arial"/>
          <w:color w:val="000000"/>
          <w:lang w:eastAsia="bg-BG"/>
        </w:rPr>
        <w:t xml:space="preserve">1,38, 95% </w:t>
      </w:r>
      <w:r w:rsidRPr="00963F54">
        <w:rPr>
          <w:rFonts w:eastAsia="Times New Roman" w:cs="Arial"/>
          <w:color w:val="000000"/>
          <w:lang w:val="en-US"/>
        </w:rPr>
        <w:t xml:space="preserve">CI </w:t>
      </w:r>
      <w:r w:rsidRPr="00963F54">
        <w:rPr>
          <w:rFonts w:eastAsia="Times New Roman" w:cs="Arial"/>
          <w:color w:val="000000"/>
          <w:lang w:eastAsia="bg-BG"/>
        </w:rPr>
        <w:t xml:space="preserve">[1,25-1,52] р &lt;0,001). Въпреки това, не се наблюдава статистически значима разлика в общата смъртност между терапията с амлодипин и хлорталидон: </w:t>
      </w:r>
      <w:r w:rsidRPr="00963F54">
        <w:rPr>
          <w:rFonts w:eastAsia="Times New Roman" w:cs="Arial"/>
          <w:color w:val="000000"/>
          <w:lang w:val="en-US"/>
        </w:rPr>
        <w:t xml:space="preserve">RR </w:t>
      </w:r>
      <w:r w:rsidRPr="00963F54">
        <w:rPr>
          <w:rFonts w:eastAsia="Times New Roman" w:cs="Arial"/>
          <w:color w:val="000000"/>
          <w:lang w:eastAsia="bg-BG"/>
        </w:rPr>
        <w:t xml:space="preserve">0,96 95% </w:t>
      </w:r>
      <w:r w:rsidRPr="00963F54">
        <w:rPr>
          <w:rFonts w:eastAsia="Times New Roman" w:cs="Arial"/>
          <w:color w:val="000000"/>
          <w:lang w:val="en-US"/>
        </w:rPr>
        <w:t xml:space="preserve">CI </w:t>
      </w:r>
      <w:r w:rsidRPr="00963F54">
        <w:rPr>
          <w:rFonts w:eastAsia="Times New Roman" w:cs="Arial"/>
          <w:color w:val="000000"/>
          <w:lang w:eastAsia="bg-BG"/>
        </w:rPr>
        <w:t>[0,89-1,02] р=0,20.</w:t>
      </w:r>
    </w:p>
    <w:p w14:paraId="5E1A66BA" w14:textId="77777777" w:rsidR="00963F54" w:rsidRPr="00963F54" w:rsidRDefault="00963F54" w:rsidP="00963F54">
      <w:pPr>
        <w:spacing w:line="240" w:lineRule="auto"/>
        <w:rPr>
          <w:rFonts w:eastAsia="Times New Roman" w:cs="Arial"/>
          <w:i/>
          <w:iCs/>
          <w:color w:val="000000"/>
          <w:u w:val="single"/>
          <w:lang w:eastAsia="bg-BG"/>
        </w:rPr>
      </w:pPr>
    </w:p>
    <w:p w14:paraId="01E20FC3" w14:textId="412907BB"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Педиатрична популация (б-годишна възраст и по-големи)</w:t>
      </w:r>
    </w:p>
    <w:p w14:paraId="58835400"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В проучване, включващо 268 деца на възраст 6-17 години с преобладаваща вторична хипертония, при сравняване на амлодипин, приложен в дози от 2,5 </w:t>
      </w:r>
      <w:r w:rsidRPr="00963F54">
        <w:rPr>
          <w:rFonts w:eastAsia="Times New Roman" w:cs="Arial"/>
          <w:color w:val="000000"/>
          <w:lang w:val="en-US"/>
        </w:rPr>
        <w:t xml:space="preserve">mg </w:t>
      </w:r>
      <w:r w:rsidRPr="00963F54">
        <w:rPr>
          <w:rFonts w:eastAsia="Times New Roman" w:cs="Arial"/>
          <w:color w:val="000000"/>
          <w:lang w:eastAsia="bg-BG"/>
        </w:rPr>
        <w:t xml:space="preserve">и 5,0 </w:t>
      </w:r>
      <w:r w:rsidRPr="00963F54">
        <w:rPr>
          <w:rFonts w:eastAsia="Times New Roman" w:cs="Arial"/>
          <w:color w:val="000000"/>
          <w:lang w:val="en-US"/>
        </w:rPr>
        <w:t xml:space="preserve">mg, </w:t>
      </w:r>
      <w:r w:rsidRPr="00963F54">
        <w:rPr>
          <w:rFonts w:eastAsia="Times New Roman" w:cs="Arial"/>
          <w:color w:val="000000"/>
          <w:lang w:eastAsia="bg-BG"/>
        </w:rPr>
        <w:t>спрямо плацебо, е установено, че и двете дози намаляват значително повече систоличното артериално налягане, отколкото плацебо. Разликата между двете дози не е статистически значима.</w:t>
      </w:r>
    </w:p>
    <w:p w14:paraId="7E463A3C" w14:textId="77777777" w:rsidR="00963F54" w:rsidRPr="00963F54" w:rsidRDefault="00963F54" w:rsidP="00963F54">
      <w:pPr>
        <w:spacing w:line="240" w:lineRule="auto"/>
        <w:rPr>
          <w:rFonts w:eastAsia="Times New Roman" w:cs="Arial"/>
          <w:color w:val="000000"/>
          <w:lang w:eastAsia="bg-BG"/>
        </w:rPr>
      </w:pPr>
    </w:p>
    <w:p w14:paraId="413A6BA1" w14:textId="35E3C696"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Не са изследвани дългосрочните ефекти на амлодипин по отношение на растежа, пубертета и общото развитие. Дългосрочната ефикасност на терапията с амлодипин в детството за намаляване на сърдечно-съдовата заболеваемост и смъртност в зряла възраст също не е установена.</w:t>
      </w:r>
    </w:p>
    <w:p w14:paraId="7AADB691" w14:textId="77777777" w:rsidR="00963F54" w:rsidRPr="00963F54" w:rsidRDefault="00963F54" w:rsidP="00963F54">
      <w:pPr>
        <w:spacing w:line="240" w:lineRule="auto"/>
        <w:rPr>
          <w:rFonts w:eastAsia="Times New Roman" w:cs="Arial"/>
          <w:color w:val="000000"/>
          <w:lang w:eastAsia="bg-BG"/>
        </w:rPr>
      </w:pPr>
    </w:p>
    <w:p w14:paraId="793FD1FB" w14:textId="67351684"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рамиприл/амлодипин във всички подгрупи на педиатричната популация за разрешеното показание (вж. точка 4.2 за информация относно употреба в педиатрията).</w:t>
      </w:r>
    </w:p>
    <w:p w14:paraId="4A1CC3A7" w14:textId="77777777" w:rsidR="00171ABE" w:rsidRPr="00171ABE" w:rsidRDefault="00171ABE" w:rsidP="00171ABE"/>
    <w:p w14:paraId="173D7F1D" w14:textId="01056B2A" w:rsidR="00EE6C97" w:rsidRDefault="002C50EE" w:rsidP="00A93499">
      <w:pPr>
        <w:pStyle w:val="Heading2"/>
      </w:pPr>
      <w:r>
        <w:t>5.2. Фармакокинетични свойства</w:t>
      </w:r>
    </w:p>
    <w:p w14:paraId="47ECE3A7" w14:textId="65E65CC0" w:rsidR="00963F54" w:rsidRDefault="00963F54" w:rsidP="00963F54"/>
    <w:p w14:paraId="06AA7D41" w14:textId="77777777" w:rsidR="00963F54" w:rsidRPr="00963F54" w:rsidRDefault="00963F54" w:rsidP="00963F54">
      <w:pPr>
        <w:pStyle w:val="Heading3"/>
        <w:rPr>
          <w:rFonts w:eastAsia="Times New Roman"/>
          <w:u w:val="single"/>
          <w:lang w:eastAsia="bg-BG"/>
        </w:rPr>
      </w:pPr>
      <w:r w:rsidRPr="00963F54">
        <w:rPr>
          <w:rFonts w:eastAsia="Times New Roman"/>
          <w:u w:val="single"/>
          <w:lang w:eastAsia="bg-BG"/>
        </w:rPr>
        <w:t>Рамиприл</w:t>
      </w:r>
    </w:p>
    <w:p w14:paraId="1A47B84E" w14:textId="77777777" w:rsidR="00963F54" w:rsidRPr="00963F54" w:rsidRDefault="00963F54" w:rsidP="00963F54">
      <w:pPr>
        <w:spacing w:line="240" w:lineRule="auto"/>
        <w:rPr>
          <w:rFonts w:eastAsia="Times New Roman" w:cs="Arial"/>
          <w:i/>
          <w:iCs/>
          <w:color w:val="000000"/>
          <w:u w:val="single"/>
          <w:lang w:eastAsia="bg-BG"/>
        </w:rPr>
      </w:pPr>
    </w:p>
    <w:p w14:paraId="5593DAD6" w14:textId="5E73C48A"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Абсорбция</w:t>
      </w:r>
    </w:p>
    <w:p w14:paraId="243F34BC"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След перорално приложение рамиприл се абсорбира бързо в стомашно-чревния тракт: максимална плазмена концентрация на рамиприл се достига в рамките на един час. Въз основа на възстановяване в урината, степента на абсорбция е поне 56% и не се повлиява значимо от присъствието на храна в стомашно-чревния тракт. Бионаличността на активния метаболит рамиприлат след перорално приложение на 2,5 </w:t>
      </w:r>
      <w:r w:rsidRPr="00963F54">
        <w:rPr>
          <w:rFonts w:eastAsia="Times New Roman" w:cs="Arial"/>
          <w:color w:val="000000"/>
          <w:lang w:val="en-US"/>
        </w:rPr>
        <w:t xml:space="preserve">mg </w:t>
      </w:r>
      <w:r w:rsidRPr="00963F54">
        <w:rPr>
          <w:rFonts w:eastAsia="Times New Roman" w:cs="Arial"/>
          <w:color w:val="000000"/>
          <w:lang w:eastAsia="bg-BG"/>
        </w:rPr>
        <w:t xml:space="preserve">и 5 </w:t>
      </w:r>
      <w:r w:rsidRPr="00963F54">
        <w:rPr>
          <w:rFonts w:eastAsia="Times New Roman" w:cs="Arial"/>
          <w:color w:val="000000"/>
          <w:lang w:val="en-US"/>
        </w:rPr>
        <w:t xml:space="preserve">mg </w:t>
      </w:r>
      <w:r w:rsidRPr="00963F54">
        <w:rPr>
          <w:rFonts w:eastAsia="Times New Roman" w:cs="Arial"/>
          <w:color w:val="000000"/>
          <w:lang w:eastAsia="bg-BG"/>
        </w:rPr>
        <w:t>рамиприл е 45%. Максимална плазмена концентрация на рамиприлат, единствения активен метаболит на рамиприл се достига 2-4 часа след прием на рамиприл. Стационарни плазмени концентрации на рамиприлат след прилагане веднъж дневно на обичайни дози рамиприл се достигат след около четири дни на лечение.</w:t>
      </w:r>
    </w:p>
    <w:p w14:paraId="6E3AB3BC" w14:textId="77777777" w:rsidR="00963F54" w:rsidRPr="00963F54" w:rsidRDefault="00963F54" w:rsidP="00963F54">
      <w:pPr>
        <w:spacing w:line="240" w:lineRule="auto"/>
        <w:rPr>
          <w:rFonts w:eastAsia="Times New Roman" w:cs="Arial"/>
          <w:i/>
          <w:iCs/>
          <w:color w:val="000000"/>
          <w:u w:val="single"/>
          <w:lang w:eastAsia="bg-BG"/>
        </w:rPr>
      </w:pPr>
    </w:p>
    <w:p w14:paraId="27D6E6D7" w14:textId="4C763777"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Разпределение</w:t>
      </w:r>
    </w:p>
    <w:p w14:paraId="7A629813"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Свързването на рамиприл с плазмените протеини е около 73%, а това на рамиприлат около 56 %.</w:t>
      </w:r>
    </w:p>
    <w:p w14:paraId="005CBAFB" w14:textId="77777777" w:rsidR="00963F54" w:rsidRPr="00963F54" w:rsidRDefault="00963F54" w:rsidP="00963F54">
      <w:pPr>
        <w:spacing w:line="240" w:lineRule="auto"/>
        <w:rPr>
          <w:rFonts w:eastAsia="Times New Roman" w:cs="Arial"/>
          <w:i/>
          <w:iCs/>
          <w:color w:val="000000"/>
          <w:u w:val="single"/>
          <w:lang w:eastAsia="bg-BG"/>
        </w:rPr>
      </w:pPr>
    </w:p>
    <w:p w14:paraId="3371062B" w14:textId="5D0E1587"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Биотрансформация</w:t>
      </w:r>
    </w:p>
    <w:p w14:paraId="12065D71"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Рамиприл почти напълно се метаболизира до рамиприлат, и до дикетопиперазинов естер, дикетопиперазинова киселина, и глюкуронидите на рамиприл и рамиприлат.</w:t>
      </w:r>
    </w:p>
    <w:p w14:paraId="793955E2" w14:textId="77777777" w:rsidR="00963F54" w:rsidRPr="00963F54" w:rsidRDefault="00963F54" w:rsidP="00963F54">
      <w:pPr>
        <w:spacing w:line="240" w:lineRule="auto"/>
        <w:rPr>
          <w:rFonts w:eastAsia="Times New Roman" w:cs="Arial"/>
          <w:i/>
          <w:iCs/>
          <w:color w:val="000000"/>
          <w:u w:val="single"/>
          <w:lang w:eastAsia="bg-BG"/>
        </w:rPr>
      </w:pPr>
    </w:p>
    <w:p w14:paraId="193B65E9" w14:textId="007DE7FC"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Елиминиране</w:t>
      </w:r>
    </w:p>
    <w:p w14:paraId="16C1556B"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Екскрецията на метаболитите е предимно бъбречна. Плазмената концентрация на рамиприлат намалява по полифазов начин. Поради неговото силно, насищащо свързване с АСЕ и бавното разделяне от ензима, рамиприлат показва удължена терминална елиминационна фаза при много ниски плазмени концентрации. След многократно прилагане на дози рамиприл, веднъж дневно, ефективният полуживот на рамиприлат е 13-17 часа за дози от 5-10 </w:t>
      </w:r>
      <w:r w:rsidRPr="00963F54">
        <w:rPr>
          <w:rFonts w:eastAsia="Times New Roman" w:cs="Arial"/>
          <w:color w:val="000000"/>
          <w:lang w:val="en-US"/>
        </w:rPr>
        <w:t xml:space="preserve">mg </w:t>
      </w:r>
      <w:r w:rsidRPr="00963F54">
        <w:rPr>
          <w:rFonts w:eastAsia="Times New Roman" w:cs="Arial"/>
          <w:color w:val="000000"/>
          <w:lang w:eastAsia="bg-BG"/>
        </w:rPr>
        <w:t xml:space="preserve">и по-дълъг за по- ниските дози 1,25-2,5 </w:t>
      </w:r>
      <w:r w:rsidRPr="00963F54">
        <w:rPr>
          <w:rFonts w:eastAsia="Times New Roman" w:cs="Arial"/>
          <w:color w:val="000000"/>
          <w:lang w:val="en-US"/>
        </w:rPr>
        <w:t xml:space="preserve">mg. </w:t>
      </w:r>
      <w:r w:rsidRPr="00963F54">
        <w:rPr>
          <w:rFonts w:eastAsia="Times New Roman" w:cs="Arial"/>
          <w:color w:val="000000"/>
          <w:lang w:eastAsia="bg-BG"/>
        </w:rPr>
        <w:t>Тази разлика е свързана с капацитета за насищане на ензима чрез свързване с рамиприлат. Еднократна перорална доза рамиприл води до стойности на рамиприл и неговите метаболити в кърмата под прага на определяне. Обаче ефектът при многократно прилагане е неизвестен.</w:t>
      </w:r>
    </w:p>
    <w:p w14:paraId="5B535823" w14:textId="77777777" w:rsidR="00963F54" w:rsidRPr="00963F54" w:rsidRDefault="00963F54" w:rsidP="00963F54">
      <w:pPr>
        <w:spacing w:line="240" w:lineRule="auto"/>
        <w:rPr>
          <w:rFonts w:eastAsia="Times New Roman" w:cs="Arial"/>
          <w:i/>
          <w:iCs/>
          <w:color w:val="000000"/>
          <w:u w:val="single"/>
          <w:lang w:eastAsia="bg-BG"/>
        </w:rPr>
      </w:pPr>
    </w:p>
    <w:p w14:paraId="11F69F13" w14:textId="27A0B52D"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Пациенти с бъбречно увреждане (вж. точка 4.2)</w:t>
      </w:r>
    </w:p>
    <w:p w14:paraId="3D414E08"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Бъбречната екскреция на рамиприлат е намалена при пациенти с увредена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 отколкото при индивиди с нормална бъбречна функция.</w:t>
      </w:r>
    </w:p>
    <w:p w14:paraId="06143919" w14:textId="77777777" w:rsidR="00963F54" w:rsidRPr="00963F54" w:rsidRDefault="00963F54" w:rsidP="00963F54">
      <w:pPr>
        <w:spacing w:line="240" w:lineRule="auto"/>
        <w:rPr>
          <w:rFonts w:eastAsia="Times New Roman" w:cs="Arial"/>
          <w:i/>
          <w:iCs/>
          <w:color w:val="000000"/>
          <w:u w:val="single"/>
          <w:lang w:eastAsia="bg-BG"/>
        </w:rPr>
      </w:pPr>
    </w:p>
    <w:p w14:paraId="0D5B503E" w14:textId="276919EC"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Пациенти с чернодробно увреждане (вж. точка 4.2)</w:t>
      </w:r>
    </w:p>
    <w:p w14:paraId="03220B02"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При пациенти с увредена чернодробна функция, метаболизирането на рамиприл до рамиприлат е забавено, поради намалена активност на чернодробните естерази и плазмените концентрации на рамиприл при тези пациенти са повишени. Максималните концентрации на рамиприлат при тези пациенти, обаче не се различават от тези наблюдавани при индивиди с нормална чернодробна функция.</w:t>
      </w:r>
    </w:p>
    <w:p w14:paraId="1976A7B9" w14:textId="77777777" w:rsidR="00963F54" w:rsidRPr="00963F54" w:rsidRDefault="00963F54" w:rsidP="00963F54">
      <w:pPr>
        <w:spacing w:line="240" w:lineRule="auto"/>
        <w:rPr>
          <w:rFonts w:eastAsia="Times New Roman" w:cs="Arial"/>
          <w:i/>
          <w:iCs/>
          <w:color w:val="000000"/>
          <w:u w:val="single"/>
          <w:lang w:eastAsia="bg-BG"/>
        </w:rPr>
      </w:pPr>
    </w:p>
    <w:p w14:paraId="4C0CECD8" w14:textId="50DF16B3"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Лактация</w:t>
      </w:r>
    </w:p>
    <w:p w14:paraId="26E6FF40" w14:textId="780D1DC0" w:rsidR="00963F54" w:rsidRPr="00963F54" w:rsidRDefault="00963F54" w:rsidP="00963F54">
      <w:pPr>
        <w:spacing w:line="240" w:lineRule="auto"/>
        <w:rPr>
          <w:rFonts w:eastAsia="Times New Roman" w:cs="Arial"/>
          <w:color w:val="000000"/>
          <w:lang w:eastAsia="bg-BG"/>
        </w:rPr>
      </w:pPr>
      <w:r w:rsidRPr="00963F54">
        <w:rPr>
          <w:rFonts w:eastAsia="Times New Roman" w:cs="Arial"/>
          <w:color w:val="000000"/>
          <w:lang w:eastAsia="bg-BG"/>
        </w:rPr>
        <w:t xml:space="preserve">Една единична перорална доза от 10 </w:t>
      </w:r>
      <w:r w:rsidRPr="00963F54">
        <w:rPr>
          <w:rFonts w:eastAsia="Times New Roman" w:cs="Arial"/>
          <w:color w:val="000000"/>
          <w:lang w:val="en-US"/>
        </w:rPr>
        <w:t xml:space="preserve">mg </w:t>
      </w:r>
      <w:r w:rsidRPr="00963F54">
        <w:rPr>
          <w:rFonts w:eastAsia="Times New Roman" w:cs="Arial"/>
          <w:color w:val="000000"/>
          <w:lang w:eastAsia="bg-BG"/>
        </w:rPr>
        <w:t>рамиприл води до неоткриваеми количества в кърмата. Ефектът обаче при многократно прилагане е неизвестен.</w:t>
      </w:r>
    </w:p>
    <w:p w14:paraId="2A3B3BC6" w14:textId="3D70D97F" w:rsidR="00963F54" w:rsidRPr="00963F54" w:rsidRDefault="00963F54" w:rsidP="00963F54">
      <w:pPr>
        <w:spacing w:line="240" w:lineRule="auto"/>
        <w:rPr>
          <w:rFonts w:eastAsia="Times New Roman" w:cs="Arial"/>
          <w:color w:val="000000"/>
          <w:lang w:eastAsia="bg-BG"/>
        </w:rPr>
      </w:pPr>
    </w:p>
    <w:p w14:paraId="6DA65F99"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Педиатрична популация</w:t>
      </w:r>
    </w:p>
    <w:p w14:paraId="22AE5763"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Фармакокинетичният профил на рамиприл е проучен при 30 педиатрични пациенти с хипертония на възраст 2-16 години, с тегло ≥ 10 </w:t>
      </w:r>
      <w:r w:rsidRPr="00963F54">
        <w:rPr>
          <w:rFonts w:eastAsia="Times New Roman" w:cs="Arial"/>
          <w:color w:val="000000"/>
          <w:lang w:val="en-US"/>
        </w:rPr>
        <w:t xml:space="preserve">Kg. </w:t>
      </w:r>
      <w:r w:rsidRPr="00963F54">
        <w:rPr>
          <w:rFonts w:eastAsia="Times New Roman" w:cs="Arial"/>
          <w:color w:val="000000"/>
          <w:lang w:eastAsia="bg-BG"/>
        </w:rPr>
        <w:t xml:space="preserve">След прилагане на дози от 0.05 до 0,2 </w:t>
      </w:r>
      <w:r w:rsidRPr="00963F54">
        <w:rPr>
          <w:rFonts w:eastAsia="Times New Roman" w:cs="Arial"/>
          <w:color w:val="000000"/>
          <w:lang w:val="en-US"/>
        </w:rPr>
        <w:t xml:space="preserve">mg/Kg, </w:t>
      </w:r>
      <w:r w:rsidRPr="00963F54">
        <w:rPr>
          <w:rFonts w:eastAsia="Times New Roman" w:cs="Arial"/>
          <w:color w:val="000000"/>
          <w:lang w:eastAsia="bg-BG"/>
        </w:rPr>
        <w:t xml:space="preserve">рамиприл бързо и екстензивно се метаболизира до рамиприлат. Максимални плазмени концентрации на рамиприлат се наблюдават в рамките на 2-3 часа. Клирънсът на рамиприлат, силно корелира с </w:t>
      </w:r>
      <w:r w:rsidRPr="00963F54">
        <w:rPr>
          <w:rFonts w:eastAsia="Times New Roman" w:cs="Arial"/>
          <w:color w:val="000000"/>
          <w:lang w:val="en-US"/>
        </w:rPr>
        <w:t xml:space="preserve">log </w:t>
      </w:r>
      <w:r w:rsidRPr="00963F54">
        <w:rPr>
          <w:rFonts w:eastAsia="Times New Roman" w:cs="Arial"/>
          <w:color w:val="000000"/>
          <w:lang w:eastAsia="bg-BG"/>
        </w:rPr>
        <w:t xml:space="preserve">на килограм телесното тегло (р &lt;0,01), както и с дозата (р &lt;0,001). За всяка дозова група клирънсът и обемът на разпределение се увеличават с повишаване на възрастта на децата. След прилагане на доза от 0,05 </w:t>
      </w:r>
      <w:r w:rsidRPr="00963F54">
        <w:rPr>
          <w:rFonts w:eastAsia="Times New Roman" w:cs="Arial"/>
          <w:color w:val="000000"/>
          <w:lang w:val="en-US"/>
        </w:rPr>
        <w:t xml:space="preserve">mg/Kg </w:t>
      </w:r>
      <w:r w:rsidRPr="00963F54">
        <w:rPr>
          <w:rFonts w:eastAsia="Times New Roman" w:cs="Arial"/>
          <w:color w:val="000000"/>
          <w:lang w:eastAsia="bg-BG"/>
        </w:rPr>
        <w:t xml:space="preserve">при деца достигнатите нива на експозиция са сравними с тези при възрастни, лекувани с 5 </w:t>
      </w:r>
      <w:r w:rsidRPr="00963F54">
        <w:rPr>
          <w:rFonts w:eastAsia="Times New Roman" w:cs="Arial"/>
          <w:color w:val="000000"/>
          <w:lang w:val="en-US"/>
        </w:rPr>
        <w:t xml:space="preserve">mg </w:t>
      </w:r>
      <w:r w:rsidRPr="00963F54">
        <w:rPr>
          <w:rFonts w:eastAsia="Times New Roman" w:cs="Arial"/>
          <w:color w:val="000000"/>
          <w:lang w:eastAsia="bg-BG"/>
        </w:rPr>
        <w:t xml:space="preserve">рамиприл. Дозата от 0,2 </w:t>
      </w:r>
      <w:r w:rsidRPr="00963F54">
        <w:rPr>
          <w:rFonts w:eastAsia="Times New Roman" w:cs="Arial"/>
          <w:color w:val="000000"/>
          <w:lang w:val="en-US"/>
        </w:rPr>
        <w:t xml:space="preserve">mg/Kg </w:t>
      </w:r>
      <w:r w:rsidRPr="00963F54">
        <w:rPr>
          <w:rFonts w:eastAsia="Times New Roman" w:cs="Arial"/>
          <w:color w:val="000000"/>
          <w:lang w:eastAsia="bg-BG"/>
        </w:rPr>
        <w:t xml:space="preserve">при деца води до нива на експозиция по-високи от тези, постигнати с максималната препоръчителна дневна доза от 10 </w:t>
      </w:r>
      <w:r w:rsidRPr="00963F54">
        <w:rPr>
          <w:rFonts w:eastAsia="Times New Roman" w:cs="Arial"/>
          <w:color w:val="000000"/>
          <w:lang w:val="en-US"/>
        </w:rPr>
        <w:t xml:space="preserve">mg </w:t>
      </w:r>
      <w:r w:rsidRPr="00963F54">
        <w:rPr>
          <w:rFonts w:eastAsia="Times New Roman" w:cs="Arial"/>
          <w:color w:val="000000"/>
          <w:lang w:eastAsia="bg-BG"/>
        </w:rPr>
        <w:t>при възрастни .</w:t>
      </w:r>
    </w:p>
    <w:p w14:paraId="6B5280CD" w14:textId="77777777" w:rsidR="00963F54" w:rsidRPr="00963F54" w:rsidRDefault="00963F54" w:rsidP="00963F54">
      <w:pPr>
        <w:spacing w:line="240" w:lineRule="auto"/>
        <w:rPr>
          <w:rFonts w:eastAsia="Times New Roman" w:cs="Arial"/>
          <w:color w:val="000000"/>
          <w:u w:val="single"/>
          <w:lang w:eastAsia="bg-BG"/>
        </w:rPr>
      </w:pPr>
    </w:p>
    <w:p w14:paraId="155B2C89" w14:textId="3178333D" w:rsidR="00963F54" w:rsidRPr="00963F54" w:rsidRDefault="00963F54" w:rsidP="00963F54">
      <w:pPr>
        <w:pStyle w:val="Heading3"/>
        <w:rPr>
          <w:rFonts w:eastAsia="Times New Roman"/>
          <w:u w:val="single"/>
          <w:lang w:eastAsia="bg-BG"/>
        </w:rPr>
      </w:pPr>
      <w:r w:rsidRPr="00963F54">
        <w:rPr>
          <w:rFonts w:eastAsia="Times New Roman"/>
          <w:u w:val="single"/>
          <w:lang w:eastAsia="bg-BG"/>
        </w:rPr>
        <w:lastRenderedPageBreak/>
        <w:t>Амлодипин</w:t>
      </w:r>
    </w:p>
    <w:p w14:paraId="2168D026" w14:textId="77777777" w:rsidR="00963F54" w:rsidRPr="00963F54" w:rsidRDefault="00963F54" w:rsidP="00963F54">
      <w:pPr>
        <w:spacing w:line="240" w:lineRule="auto"/>
        <w:rPr>
          <w:rFonts w:eastAsia="Times New Roman" w:cs="Arial"/>
          <w:i/>
          <w:iCs/>
          <w:color w:val="000000"/>
          <w:u w:val="single"/>
          <w:lang w:eastAsia="bg-BG"/>
        </w:rPr>
      </w:pPr>
    </w:p>
    <w:p w14:paraId="65C846C1" w14:textId="572429EA"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Абсорбиия, разпределение, свързване с плазмените протеини</w:t>
      </w:r>
    </w:p>
    <w:p w14:paraId="4F4F42CA"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След перорално приложение на терапевтични дози, амлодипин се абсорбира добре с максимални концентрации в кръвта между 6 и 12 часа след приема. Абсолютната бионаличност е между 64% и 80%. Обемът на разпределение е около 21 </w:t>
      </w:r>
      <w:r w:rsidRPr="00963F54">
        <w:rPr>
          <w:rFonts w:eastAsia="Times New Roman" w:cs="Arial"/>
          <w:color w:val="000000"/>
          <w:lang w:val="en-US"/>
        </w:rPr>
        <w:t xml:space="preserve">1/kg. </w:t>
      </w:r>
      <w:r w:rsidRPr="00963F54">
        <w:rPr>
          <w:rFonts w:eastAsia="Times New Roman" w:cs="Arial"/>
          <w:color w:val="000000"/>
          <w:lang w:eastAsia="bg-BG"/>
        </w:rPr>
        <w:t xml:space="preserve">При </w:t>
      </w:r>
      <w:r w:rsidRPr="00963F54">
        <w:rPr>
          <w:rFonts w:eastAsia="Times New Roman" w:cs="Arial"/>
          <w:i/>
          <w:iCs/>
          <w:color w:val="000000"/>
          <w:lang w:val="en-US"/>
        </w:rPr>
        <w:t>in vitro</w:t>
      </w:r>
      <w:r w:rsidRPr="00963F54">
        <w:rPr>
          <w:rFonts w:eastAsia="Times New Roman" w:cs="Arial"/>
          <w:color w:val="000000"/>
          <w:lang w:val="en-US"/>
        </w:rPr>
        <w:t xml:space="preserve"> </w:t>
      </w:r>
      <w:r w:rsidRPr="00963F54">
        <w:rPr>
          <w:rFonts w:eastAsia="Times New Roman" w:cs="Arial"/>
          <w:color w:val="000000"/>
          <w:lang w:eastAsia="bg-BG"/>
        </w:rPr>
        <w:t>изследвания е определено, че около 97,5% от циркулиращия амлодипин се свързват с плазмените протеини.</w:t>
      </w:r>
    </w:p>
    <w:p w14:paraId="6BFFA534" w14:textId="77777777" w:rsidR="00963F54" w:rsidRPr="00963F54" w:rsidRDefault="00963F54" w:rsidP="00963F54">
      <w:pPr>
        <w:spacing w:line="240" w:lineRule="auto"/>
        <w:rPr>
          <w:rFonts w:eastAsia="Times New Roman" w:cs="Arial"/>
          <w:color w:val="000000"/>
          <w:lang w:eastAsia="bg-BG"/>
        </w:rPr>
      </w:pPr>
    </w:p>
    <w:p w14:paraId="2EC20FB5" w14:textId="441EC886"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Бионаличността на амлодипин не се повлиява от приема на храна.</w:t>
      </w:r>
    </w:p>
    <w:p w14:paraId="6CA9AB55" w14:textId="77777777" w:rsidR="00963F54" w:rsidRPr="00963F54" w:rsidRDefault="00963F54" w:rsidP="00963F54">
      <w:pPr>
        <w:spacing w:line="240" w:lineRule="auto"/>
        <w:rPr>
          <w:rFonts w:eastAsia="Times New Roman" w:cs="Arial"/>
          <w:i/>
          <w:iCs/>
          <w:color w:val="000000"/>
          <w:u w:val="single"/>
          <w:lang w:eastAsia="bg-BG"/>
        </w:rPr>
      </w:pPr>
    </w:p>
    <w:p w14:paraId="65E161CD" w14:textId="68A713A6"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Биотрансформация/елимин иране</w:t>
      </w:r>
    </w:p>
    <w:p w14:paraId="1271E784" w14:textId="4D0608FC"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Терминалният плазмен елиминационен полуживот е около 35-50 часа и е в съответствие с еднократно дневно дозиране. Амлодипин се метаболизира екстензивно в черния дроб до неактивни метаболити, като 10% от изходното вещество и 60% от метаболитите се екскретират в урината.</w:t>
      </w:r>
    </w:p>
    <w:p w14:paraId="27C5FF05" w14:textId="77777777" w:rsidR="00963F54" w:rsidRPr="00963F54" w:rsidRDefault="00963F54" w:rsidP="00963F54">
      <w:pPr>
        <w:spacing w:line="240" w:lineRule="auto"/>
        <w:rPr>
          <w:rFonts w:eastAsia="Times New Roman" w:cs="Arial"/>
          <w:i/>
          <w:iCs/>
          <w:color w:val="000000"/>
          <w:u w:val="single"/>
          <w:lang w:eastAsia="bg-BG"/>
        </w:rPr>
      </w:pPr>
    </w:p>
    <w:p w14:paraId="36CB77F7" w14:textId="4971A4A4"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Употреба при чернодробно увреждане</w:t>
      </w:r>
    </w:p>
    <w:p w14:paraId="36C5FD5F"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Клиничните данни от прилагането на амлодипин при пациенти с чернодробни нарушения са много ограничени. При пациенти с чернодробна недостатъчност клирънсът на амлодипин е понижен, което води до удължен полуживот и повишени стойности на </w:t>
      </w:r>
      <w:r w:rsidRPr="00963F54">
        <w:rPr>
          <w:rFonts w:eastAsia="Times New Roman" w:cs="Arial"/>
          <w:color w:val="000000"/>
          <w:lang w:val="en-US"/>
        </w:rPr>
        <w:t xml:space="preserve">AUC </w:t>
      </w:r>
      <w:r w:rsidRPr="00963F54">
        <w:rPr>
          <w:rFonts w:eastAsia="Times New Roman" w:cs="Arial"/>
          <w:color w:val="000000"/>
          <w:lang w:eastAsia="bg-BG"/>
        </w:rPr>
        <w:t>с приблизително 40-60%.</w:t>
      </w:r>
    </w:p>
    <w:p w14:paraId="1C5F6C63" w14:textId="77777777" w:rsidR="00963F54" w:rsidRPr="00963F54" w:rsidRDefault="00963F54" w:rsidP="00963F54">
      <w:pPr>
        <w:spacing w:line="240" w:lineRule="auto"/>
        <w:rPr>
          <w:rFonts w:eastAsia="Times New Roman" w:cs="Arial"/>
          <w:i/>
          <w:iCs/>
          <w:color w:val="000000"/>
          <w:u w:val="single"/>
          <w:lang w:eastAsia="bg-BG"/>
        </w:rPr>
      </w:pPr>
    </w:p>
    <w:p w14:paraId="6495F9A7" w14:textId="71D53BAE"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Употреба при пациенти в старческа възраст</w:t>
      </w:r>
    </w:p>
    <w:p w14:paraId="68977B32"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Времето за достигане на максимални плазмени концентрации на амлодипин е сходно при пациенти в старческа възраст и при по-млади пациенти. Амлодипиновият клирънс има тенденция към понижаване, което води до повишаване на </w:t>
      </w:r>
      <w:r w:rsidRPr="00963F54">
        <w:rPr>
          <w:rFonts w:eastAsia="Times New Roman" w:cs="Arial"/>
          <w:color w:val="000000"/>
          <w:lang w:val="en-US"/>
        </w:rPr>
        <w:t xml:space="preserve">AUC </w:t>
      </w:r>
      <w:r w:rsidRPr="00963F54">
        <w:rPr>
          <w:rFonts w:eastAsia="Times New Roman" w:cs="Arial"/>
          <w:color w:val="000000"/>
          <w:lang w:eastAsia="bg-BG"/>
        </w:rPr>
        <w:t xml:space="preserve">и на елиминационния полуживот при пациенти в старческа възраст. Нарастването на </w:t>
      </w:r>
      <w:r w:rsidRPr="00963F54">
        <w:rPr>
          <w:rFonts w:eastAsia="Times New Roman" w:cs="Arial"/>
          <w:color w:val="000000"/>
          <w:lang w:val="en-US"/>
        </w:rPr>
        <w:t xml:space="preserve">AUC </w:t>
      </w:r>
      <w:r w:rsidRPr="00963F54">
        <w:rPr>
          <w:rFonts w:eastAsia="Times New Roman" w:cs="Arial"/>
          <w:color w:val="000000"/>
          <w:lang w:eastAsia="bg-BG"/>
        </w:rPr>
        <w:t>и на елиминационният полуживот при пациенти със застойна сърдечна недостатъчност е било според очакваното за изследваната възрастова група пациенти.</w:t>
      </w:r>
    </w:p>
    <w:p w14:paraId="5A55781D" w14:textId="77777777" w:rsidR="00963F54" w:rsidRPr="00963F54" w:rsidRDefault="00963F54" w:rsidP="00963F54">
      <w:pPr>
        <w:spacing w:line="240" w:lineRule="auto"/>
        <w:rPr>
          <w:rFonts w:eastAsia="Times New Roman" w:cs="Arial"/>
          <w:i/>
          <w:iCs/>
          <w:color w:val="000000"/>
          <w:u w:val="single"/>
          <w:lang w:eastAsia="bg-BG"/>
        </w:rPr>
      </w:pPr>
    </w:p>
    <w:p w14:paraId="165E0CDA" w14:textId="13CDD448"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Педиатрична популация</w:t>
      </w:r>
    </w:p>
    <w:p w14:paraId="311FB8F3"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Проведено е популационно фармакокинетично проучване при 74 деца с хипертония на възраст от 1 до 17 години (34 пациенти на възраст 6-12 години и 28 на възраст 13-17 години), всеки от които получава амлодипин между 1,25 и 20 </w:t>
      </w:r>
      <w:r w:rsidRPr="00963F54">
        <w:rPr>
          <w:rFonts w:eastAsia="Times New Roman" w:cs="Arial"/>
          <w:color w:val="000000"/>
          <w:lang w:val="en-US"/>
        </w:rPr>
        <w:t xml:space="preserve">mg, </w:t>
      </w:r>
      <w:r w:rsidRPr="00963F54">
        <w:rPr>
          <w:rFonts w:eastAsia="Times New Roman" w:cs="Arial"/>
          <w:color w:val="000000"/>
          <w:lang w:eastAsia="bg-BG"/>
        </w:rPr>
        <w:t xml:space="preserve">прилаган еднократно или двукратно дневно. При деца на 6-12 години и при юноши на 13-17 години, типичният перорален клирънс </w:t>
      </w:r>
      <w:r w:rsidRPr="00963F54">
        <w:rPr>
          <w:rFonts w:eastAsia="Times New Roman" w:cs="Arial"/>
          <w:color w:val="000000"/>
          <w:lang w:val="en-US"/>
        </w:rPr>
        <w:t xml:space="preserve">(CL/F) </w:t>
      </w:r>
      <w:r w:rsidRPr="00963F54">
        <w:rPr>
          <w:rFonts w:eastAsia="Times New Roman" w:cs="Arial"/>
          <w:color w:val="000000"/>
          <w:lang w:eastAsia="bg-BG"/>
        </w:rPr>
        <w:t xml:space="preserve">е бил съответно 22,5 и 27,4 </w:t>
      </w:r>
      <w:r w:rsidRPr="00963F54">
        <w:rPr>
          <w:rFonts w:eastAsia="Times New Roman" w:cs="Arial"/>
          <w:color w:val="000000"/>
          <w:lang w:val="en-US"/>
        </w:rPr>
        <w:t>l/</w:t>
      </w:r>
      <w:proofErr w:type="spellStart"/>
      <w:r w:rsidRPr="00963F54">
        <w:rPr>
          <w:rFonts w:eastAsia="Times New Roman" w:cs="Arial"/>
          <w:color w:val="000000"/>
          <w:lang w:val="en-US"/>
        </w:rPr>
        <w:t>hr</w:t>
      </w:r>
      <w:proofErr w:type="spellEnd"/>
      <w:r w:rsidRPr="00963F54">
        <w:rPr>
          <w:rFonts w:eastAsia="Times New Roman" w:cs="Arial"/>
          <w:color w:val="000000"/>
          <w:lang w:val="en-US"/>
        </w:rPr>
        <w:t xml:space="preserve"> </w:t>
      </w:r>
      <w:r w:rsidRPr="00963F54">
        <w:rPr>
          <w:rFonts w:eastAsia="Times New Roman" w:cs="Arial"/>
          <w:color w:val="000000"/>
          <w:lang w:eastAsia="bg-BG"/>
        </w:rPr>
        <w:t xml:space="preserve">при юноши и 16,4 и 21,3 </w:t>
      </w:r>
      <w:r w:rsidRPr="00963F54">
        <w:rPr>
          <w:rFonts w:eastAsia="Times New Roman" w:cs="Arial"/>
          <w:color w:val="000000"/>
          <w:lang w:val="en-US"/>
        </w:rPr>
        <w:t>1/</w:t>
      </w:r>
      <w:proofErr w:type="spellStart"/>
      <w:r w:rsidRPr="00963F54">
        <w:rPr>
          <w:rFonts w:eastAsia="Times New Roman" w:cs="Arial"/>
          <w:color w:val="000000"/>
          <w:lang w:val="en-US"/>
        </w:rPr>
        <w:t>hr</w:t>
      </w:r>
      <w:proofErr w:type="spellEnd"/>
      <w:r w:rsidRPr="00963F54">
        <w:rPr>
          <w:rFonts w:eastAsia="Times New Roman" w:cs="Arial"/>
          <w:color w:val="000000"/>
          <w:lang w:val="en-US"/>
        </w:rPr>
        <w:t xml:space="preserve"> </w:t>
      </w:r>
      <w:r w:rsidRPr="00963F54">
        <w:rPr>
          <w:rFonts w:eastAsia="Times New Roman" w:cs="Arial"/>
          <w:color w:val="000000"/>
          <w:lang w:eastAsia="bg-BG"/>
        </w:rPr>
        <w:t>девойки. Установена е висока интериндивидуална вариабилност в експозицията. Съобщаваните данни при деца на възраст под 6 години са ограничени.</w:t>
      </w:r>
    </w:p>
    <w:p w14:paraId="51812A4F" w14:textId="77777777" w:rsidR="00963F54" w:rsidRPr="00963F54" w:rsidRDefault="00963F54" w:rsidP="00963F54"/>
    <w:p w14:paraId="0CC65FE3" w14:textId="3C3EED41" w:rsidR="00EE6C97" w:rsidRDefault="002C50EE" w:rsidP="00A93499">
      <w:pPr>
        <w:pStyle w:val="Heading2"/>
      </w:pPr>
      <w:r>
        <w:t>5.3. Предклинични данни за безопасност</w:t>
      </w:r>
    </w:p>
    <w:p w14:paraId="55209960" w14:textId="5EA8CBA5" w:rsidR="00963F54" w:rsidRDefault="00963F54" w:rsidP="00963F54"/>
    <w:p w14:paraId="3321A737"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u w:val="single"/>
          <w:lang w:eastAsia="bg-BG"/>
        </w:rPr>
        <w:t>Свързани с рамиприл</w:t>
      </w:r>
    </w:p>
    <w:p w14:paraId="2D18AF90"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Установено е, че пероралното приложение на рамиприл не предизвиква остра токсичност при гризачи и кучета.</w:t>
      </w:r>
    </w:p>
    <w:p w14:paraId="0C9955A2" w14:textId="6A9C3803" w:rsidR="00963F54" w:rsidRPr="00963F54" w:rsidRDefault="00963F54" w:rsidP="00963F54">
      <w:pPr>
        <w:rPr>
          <w:rFonts w:cs="Arial"/>
        </w:rPr>
      </w:pPr>
    </w:p>
    <w:p w14:paraId="0B0F0358"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Проучвания, включващи продължително перорално приложение са били провеждани при плъхове, кучета и маймуни. Индикации за промени в плазмените електролити и кръвната картина са били установени при трите вида.</w:t>
      </w:r>
    </w:p>
    <w:p w14:paraId="5A00060F"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lastRenderedPageBreak/>
        <w:t xml:space="preserve">При кучета и маймуни при дневни дози от 250 </w:t>
      </w:r>
      <w:r w:rsidRPr="00963F54">
        <w:rPr>
          <w:rFonts w:eastAsia="Times New Roman" w:cs="Arial"/>
          <w:color w:val="000000"/>
          <w:lang w:val="en-US"/>
        </w:rPr>
        <w:t>mg/kg</w:t>
      </w:r>
      <w:r w:rsidRPr="00963F54">
        <w:rPr>
          <w:rFonts w:eastAsia="Times New Roman" w:cs="Arial"/>
          <w:color w:val="000000"/>
          <w:lang w:eastAsia="bg-BG"/>
        </w:rPr>
        <w:t xml:space="preserve">/ден е било наблюдавано значително уголемяване на юкстагломеруларния апарат вследствие фармакодинамичната активност на рамиприл. Плъхове, кучета и маймуни понасят дневни дози съответно от 2,2,5 и 8 </w:t>
      </w:r>
      <w:r w:rsidRPr="00963F54">
        <w:rPr>
          <w:rFonts w:eastAsia="Times New Roman" w:cs="Arial"/>
          <w:color w:val="000000"/>
          <w:lang w:val="en-US"/>
        </w:rPr>
        <w:t xml:space="preserve">mg/kg </w:t>
      </w:r>
      <w:r w:rsidRPr="00963F54">
        <w:rPr>
          <w:rFonts w:eastAsia="Times New Roman" w:cs="Arial"/>
          <w:color w:val="000000"/>
          <w:lang w:eastAsia="bg-BG"/>
        </w:rPr>
        <w:t xml:space="preserve">дневно без данни за увреждащи ефекти. Изпитванията за репродуктивна токсичност при плъхове, зайци и маймуни не показват тератогенни свойства. Фертилитетът не е увреден нито при мъжки, нито при женски плъхове. Прилагането на рамиприл върху женски плъхове по време на феталния период и лактацията причинява необратимо бъбречно увреждане (дилатация на бъбречното легенче) в потомството при дневни дози от 50 </w:t>
      </w:r>
      <w:r w:rsidRPr="00963F54">
        <w:rPr>
          <w:rFonts w:eastAsia="Times New Roman" w:cs="Arial"/>
          <w:color w:val="000000"/>
          <w:lang w:val="en-US"/>
        </w:rPr>
        <w:t xml:space="preserve">mg/kg </w:t>
      </w:r>
      <w:r w:rsidRPr="00963F54">
        <w:rPr>
          <w:rFonts w:eastAsia="Times New Roman" w:cs="Arial"/>
          <w:color w:val="000000"/>
          <w:lang w:eastAsia="bg-BG"/>
        </w:rPr>
        <w:t>телесно тегло или по- високи. Разширено изследване за мутагенност, чрез използване на няколко системи за изследване, не показва, че рамиприл притежава мутагенни или генотоксични свойства. При много млади плъхове следи прилагане на еднократна доза рамиприл се наблюдава необратимо увреждане на бъбреците.</w:t>
      </w:r>
    </w:p>
    <w:p w14:paraId="1C2139DA" w14:textId="77777777" w:rsidR="00963F54" w:rsidRPr="00963F54" w:rsidRDefault="00963F54" w:rsidP="00963F54">
      <w:pPr>
        <w:spacing w:line="240" w:lineRule="auto"/>
        <w:rPr>
          <w:rFonts w:eastAsia="Times New Roman" w:cs="Arial"/>
          <w:color w:val="000000"/>
          <w:u w:val="single"/>
          <w:lang w:eastAsia="bg-BG"/>
        </w:rPr>
      </w:pPr>
    </w:p>
    <w:p w14:paraId="4DF5450A" w14:textId="5B1DAA75"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u w:val="single"/>
          <w:lang w:eastAsia="bg-BG"/>
        </w:rPr>
        <w:t>Свързани с амлодипин</w:t>
      </w:r>
    </w:p>
    <w:p w14:paraId="5A47C496" w14:textId="77777777" w:rsidR="00963F54" w:rsidRPr="00963F54" w:rsidRDefault="00963F54" w:rsidP="00963F54">
      <w:pPr>
        <w:spacing w:line="240" w:lineRule="auto"/>
        <w:rPr>
          <w:rFonts w:eastAsia="Times New Roman" w:cs="Arial"/>
          <w:i/>
          <w:iCs/>
          <w:color w:val="000000"/>
          <w:u w:val="single"/>
          <w:lang w:eastAsia="bg-BG"/>
        </w:rPr>
      </w:pPr>
    </w:p>
    <w:p w14:paraId="5566776F" w14:textId="41B51086"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Репродуктивна токсичност</w:t>
      </w:r>
    </w:p>
    <w:p w14:paraId="5700BF41"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При репродуктивни проучвания върху плъхове и мишки с приложение на дози 50 пъти по- високи от максималната препоръчвана при хора, изчислена на база </w:t>
      </w:r>
      <w:r w:rsidRPr="00963F54">
        <w:rPr>
          <w:rFonts w:eastAsia="Times New Roman" w:cs="Arial"/>
          <w:color w:val="000000"/>
          <w:lang w:val="en-US"/>
        </w:rPr>
        <w:t xml:space="preserve">mg/kg, </w:t>
      </w:r>
      <w:r w:rsidRPr="00963F54">
        <w:rPr>
          <w:rFonts w:eastAsia="Times New Roman" w:cs="Arial"/>
          <w:color w:val="000000"/>
          <w:lang w:eastAsia="bg-BG"/>
        </w:rPr>
        <w:t>се наблюдават удължаване и затрудняване на родилния процес и понижена неонатална преживяемост.</w:t>
      </w:r>
    </w:p>
    <w:p w14:paraId="5253D571" w14:textId="77777777" w:rsidR="00963F54" w:rsidRPr="00963F54" w:rsidRDefault="00963F54" w:rsidP="00963F54">
      <w:pPr>
        <w:spacing w:line="240" w:lineRule="auto"/>
        <w:rPr>
          <w:rFonts w:eastAsia="Times New Roman" w:cs="Arial"/>
          <w:i/>
          <w:iCs/>
          <w:color w:val="000000"/>
          <w:u w:val="single"/>
          <w:lang w:eastAsia="bg-BG"/>
        </w:rPr>
      </w:pPr>
    </w:p>
    <w:p w14:paraId="52B609F6" w14:textId="35139017"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 xml:space="preserve">Увреждане на </w:t>
      </w:r>
      <w:r w:rsidRPr="00963F54">
        <w:rPr>
          <w:rFonts w:eastAsia="Times New Roman" w:cs="Arial"/>
          <w:i/>
          <w:iCs/>
          <w:color w:val="000000"/>
          <w:u w:val="single"/>
          <w:lang w:eastAsia="bg-BG"/>
        </w:rPr>
        <w:t>ф</w:t>
      </w:r>
      <w:r w:rsidRPr="00963F54">
        <w:rPr>
          <w:rFonts w:eastAsia="Times New Roman" w:cs="Arial"/>
          <w:i/>
          <w:iCs/>
          <w:color w:val="000000"/>
          <w:u w:val="single"/>
          <w:lang w:eastAsia="bg-BG"/>
        </w:rPr>
        <w:t>ертилитета</w:t>
      </w:r>
    </w:p>
    <w:p w14:paraId="2CA90B0B"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Не се наблюдава ефект върху фертилитета на плъхове, лекувани с амлодипин (животните от мъжки пол са лекувани 64 дни, а от женски пол -14 дни преди чифтосването) в дневни дози до 10 </w:t>
      </w:r>
      <w:r w:rsidRPr="00963F54">
        <w:rPr>
          <w:rFonts w:eastAsia="Times New Roman" w:cs="Arial"/>
          <w:color w:val="000000"/>
          <w:lang w:val="en-US"/>
        </w:rPr>
        <w:t xml:space="preserve">mg/kg </w:t>
      </w:r>
      <w:r w:rsidRPr="00963F54">
        <w:rPr>
          <w:rFonts w:eastAsia="Times New Roman" w:cs="Arial"/>
          <w:color w:val="000000"/>
          <w:lang w:eastAsia="bg-BG"/>
        </w:rPr>
        <w:t xml:space="preserve">(8 пъти* по-високи от максималната препоръчителна доза при хора, изчислена на база </w:t>
      </w:r>
      <w:r w:rsidRPr="00963F54">
        <w:rPr>
          <w:rFonts w:eastAsia="Times New Roman" w:cs="Arial"/>
          <w:color w:val="000000"/>
          <w:lang w:val="en-US"/>
        </w:rPr>
        <w:t>mg/m</w:t>
      </w:r>
      <w:r w:rsidRPr="00963F54">
        <w:rPr>
          <w:rFonts w:eastAsia="Times New Roman" w:cs="Arial"/>
          <w:color w:val="000000"/>
          <w:vertAlign w:val="superscript"/>
          <w:lang w:val="en-US"/>
        </w:rPr>
        <w:t>2</w:t>
      </w:r>
      <w:r w:rsidRPr="00963F54">
        <w:rPr>
          <w:rFonts w:eastAsia="Times New Roman" w:cs="Arial"/>
          <w:color w:val="000000"/>
          <w:lang w:val="en-US"/>
        </w:rPr>
        <w:t>).</w:t>
      </w:r>
    </w:p>
    <w:p w14:paraId="65480620" w14:textId="77777777" w:rsidR="00963F54" w:rsidRPr="00963F54" w:rsidRDefault="00963F54" w:rsidP="00963F54">
      <w:pPr>
        <w:spacing w:line="240" w:lineRule="auto"/>
        <w:rPr>
          <w:rFonts w:eastAsia="Times New Roman" w:cs="Arial"/>
          <w:color w:val="000000"/>
          <w:lang w:eastAsia="bg-BG"/>
        </w:rPr>
      </w:pPr>
    </w:p>
    <w:p w14:paraId="6C197551" w14:textId="4A8B83B1"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В друго проучване върху плъхове, при което животните от мъжки пол са лекувани с амлодипин безилат в продължение на 30 дни в дози, сравними с дозите, прилагани при хора, изчислени на база </w:t>
      </w:r>
      <w:r w:rsidRPr="00963F54">
        <w:rPr>
          <w:rFonts w:eastAsia="Times New Roman" w:cs="Arial"/>
          <w:color w:val="000000"/>
          <w:lang w:val="en-US"/>
        </w:rPr>
        <w:t xml:space="preserve">mg/kg, </w:t>
      </w:r>
      <w:r w:rsidRPr="00963F54">
        <w:rPr>
          <w:rFonts w:eastAsia="Times New Roman" w:cs="Arial"/>
          <w:color w:val="000000"/>
          <w:lang w:eastAsia="bg-BG"/>
        </w:rPr>
        <w:t>се установяват понижени стойности на фоликулостимулиращия хормон и на тестостерона в плазмата, както и понижаване на спермалната плътност и на броя на зрелите сперматиди и Сертолиеви клетки.</w:t>
      </w:r>
    </w:p>
    <w:p w14:paraId="3BA9E646" w14:textId="77777777" w:rsidR="00963F54" w:rsidRPr="00963F54" w:rsidRDefault="00963F54" w:rsidP="00963F54">
      <w:pPr>
        <w:spacing w:line="240" w:lineRule="auto"/>
        <w:rPr>
          <w:rFonts w:eastAsia="Times New Roman" w:cs="Arial"/>
          <w:i/>
          <w:iCs/>
          <w:color w:val="000000"/>
          <w:u w:val="single"/>
          <w:lang w:eastAsia="bg-BG"/>
        </w:rPr>
      </w:pPr>
    </w:p>
    <w:p w14:paraId="27B699D7" w14:textId="171FD7E3" w:rsidR="00963F54" w:rsidRPr="00963F54" w:rsidRDefault="00963F54" w:rsidP="00963F54">
      <w:pPr>
        <w:spacing w:line="240" w:lineRule="auto"/>
        <w:rPr>
          <w:rFonts w:eastAsia="Times New Roman" w:cs="Arial"/>
          <w:sz w:val="24"/>
          <w:szCs w:val="24"/>
          <w:lang w:eastAsia="bg-BG"/>
        </w:rPr>
      </w:pPr>
      <w:r w:rsidRPr="00963F54">
        <w:rPr>
          <w:rFonts w:eastAsia="Times New Roman" w:cs="Arial"/>
          <w:i/>
          <w:iCs/>
          <w:color w:val="000000"/>
          <w:u w:val="single"/>
          <w:lang w:eastAsia="bg-BG"/>
        </w:rPr>
        <w:t>Карциногенеза, мутагенеза</w:t>
      </w:r>
    </w:p>
    <w:p w14:paraId="233898DC"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При плъхове и мишки, лекувани с амлодипин, поставян в храната в продължение на 2 години с концентрации, изчислени да осигуряват дневни дози от 0,5,1,25 и 2,5 </w:t>
      </w:r>
      <w:r w:rsidRPr="00963F54">
        <w:rPr>
          <w:rFonts w:eastAsia="Times New Roman" w:cs="Arial"/>
          <w:color w:val="000000"/>
          <w:lang w:val="en-US"/>
        </w:rPr>
        <w:t xml:space="preserve">mg/kg </w:t>
      </w:r>
      <w:r w:rsidRPr="00963F54">
        <w:rPr>
          <w:rFonts w:eastAsia="Times New Roman" w:cs="Arial"/>
          <w:color w:val="000000"/>
          <w:lang w:eastAsia="bg-BG"/>
        </w:rPr>
        <w:t xml:space="preserve">няма данни за канцерогенност. Най-високите дози, които са прилагани (за мишки подобни на и за плъхове двукратно над максималните препоръчвани клинични дози от 10 </w:t>
      </w:r>
      <w:r w:rsidRPr="00963F54">
        <w:rPr>
          <w:rFonts w:eastAsia="Times New Roman" w:cs="Arial"/>
          <w:color w:val="000000"/>
          <w:lang w:val="en-US"/>
        </w:rPr>
        <w:t xml:space="preserve">mg </w:t>
      </w:r>
      <w:r w:rsidRPr="00963F54">
        <w:rPr>
          <w:rFonts w:eastAsia="Times New Roman" w:cs="Arial"/>
          <w:color w:val="000000"/>
          <w:lang w:eastAsia="bg-BG"/>
        </w:rPr>
        <w:t xml:space="preserve">въз основа на </w:t>
      </w:r>
      <w:r w:rsidRPr="00963F54">
        <w:rPr>
          <w:rFonts w:eastAsia="Times New Roman" w:cs="Arial"/>
          <w:color w:val="000000"/>
          <w:lang w:val="en-US"/>
        </w:rPr>
        <w:t>mg/m</w:t>
      </w:r>
      <w:r w:rsidRPr="00963F54">
        <w:rPr>
          <w:rFonts w:eastAsia="Times New Roman" w:cs="Arial"/>
          <w:color w:val="000000"/>
          <w:vertAlign w:val="superscript"/>
          <w:lang w:val="en-US"/>
        </w:rPr>
        <w:t>2</w:t>
      </w:r>
      <w:r w:rsidRPr="00963F54">
        <w:rPr>
          <w:rFonts w:eastAsia="Times New Roman" w:cs="Arial"/>
          <w:color w:val="000000"/>
          <w:lang w:val="en-US"/>
        </w:rPr>
        <w:t xml:space="preserve">) </w:t>
      </w:r>
      <w:r w:rsidRPr="00963F54">
        <w:rPr>
          <w:rFonts w:eastAsia="Times New Roman" w:cs="Arial"/>
          <w:color w:val="000000"/>
          <w:lang w:eastAsia="bg-BG"/>
        </w:rPr>
        <w:t>са близки до максималната поносима доза за мишки, но не и за плъхове.</w:t>
      </w:r>
    </w:p>
    <w:p w14:paraId="4D4CFBE6" w14:textId="77777777"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Проучванията за мутагенност не показват ефекти, свързани с лекарствения продукт на генно или хромозомно ниво.</w:t>
      </w:r>
    </w:p>
    <w:p w14:paraId="48ACD0E3" w14:textId="77777777" w:rsidR="00963F54" w:rsidRPr="00963F54" w:rsidRDefault="00963F54" w:rsidP="00963F54">
      <w:pPr>
        <w:spacing w:line="240" w:lineRule="auto"/>
        <w:rPr>
          <w:rFonts w:eastAsia="Times New Roman" w:cs="Arial"/>
          <w:color w:val="000000"/>
          <w:lang w:eastAsia="bg-BG"/>
        </w:rPr>
      </w:pPr>
    </w:p>
    <w:p w14:paraId="1D688770" w14:textId="7FF3D7DA" w:rsidR="00963F54" w:rsidRPr="00963F54" w:rsidRDefault="00963F54" w:rsidP="00963F54">
      <w:pPr>
        <w:spacing w:line="240" w:lineRule="auto"/>
        <w:rPr>
          <w:rFonts w:eastAsia="Times New Roman" w:cs="Arial"/>
          <w:sz w:val="24"/>
          <w:szCs w:val="24"/>
          <w:lang w:eastAsia="bg-BG"/>
        </w:rPr>
      </w:pPr>
      <w:r w:rsidRPr="00963F54">
        <w:rPr>
          <w:rFonts w:eastAsia="Times New Roman" w:cs="Arial"/>
          <w:color w:val="000000"/>
          <w:lang w:eastAsia="bg-BG"/>
        </w:rPr>
        <w:t xml:space="preserve">*при тегло на пациента 50 </w:t>
      </w:r>
      <w:r w:rsidRPr="00963F54">
        <w:rPr>
          <w:rFonts w:eastAsia="Times New Roman" w:cs="Arial"/>
          <w:color w:val="000000"/>
          <w:lang w:val="en-US"/>
        </w:rPr>
        <w:t>kg</w:t>
      </w:r>
    </w:p>
    <w:p w14:paraId="061DAD1A" w14:textId="77777777" w:rsidR="00963F54" w:rsidRPr="00963F54" w:rsidRDefault="00963F54" w:rsidP="00963F54"/>
    <w:p w14:paraId="357049A8" w14:textId="7D7452BC" w:rsidR="00BB22B4" w:rsidRDefault="002C50EE" w:rsidP="00471F10">
      <w:pPr>
        <w:pStyle w:val="Heading1"/>
      </w:pPr>
      <w:r>
        <w:t>7. ПРИТЕЖАТЕЛ НА РАЗРЕШЕНИЕТО ЗА УПОТРЕБА</w:t>
      </w:r>
    </w:p>
    <w:p w14:paraId="7296FD8A" w14:textId="25899218" w:rsidR="00963F54" w:rsidRDefault="00963F54" w:rsidP="00963F54"/>
    <w:p w14:paraId="09190D22" w14:textId="77777777" w:rsidR="00963F54" w:rsidRPr="00963F54" w:rsidRDefault="00963F54" w:rsidP="00963F54">
      <w:pPr>
        <w:rPr>
          <w:sz w:val="24"/>
          <w:szCs w:val="24"/>
          <w:lang w:val="en-US" w:eastAsia="bg-BG"/>
        </w:rPr>
      </w:pPr>
      <w:r w:rsidRPr="00963F54">
        <w:rPr>
          <w:lang w:val="en-US"/>
        </w:rPr>
        <w:t>Teva</w:t>
      </w:r>
      <w:r w:rsidRPr="00963F54">
        <w:rPr>
          <w:lang w:eastAsia="bg-BG"/>
        </w:rPr>
        <w:t xml:space="preserve"> </w:t>
      </w:r>
      <w:r w:rsidRPr="00963F54">
        <w:rPr>
          <w:lang w:val="en-US"/>
        </w:rPr>
        <w:t>B.V.</w:t>
      </w:r>
    </w:p>
    <w:p w14:paraId="211980A2" w14:textId="77777777" w:rsidR="00963F54" w:rsidRPr="00963F54" w:rsidRDefault="00963F54" w:rsidP="00963F54">
      <w:pPr>
        <w:rPr>
          <w:sz w:val="24"/>
          <w:szCs w:val="24"/>
          <w:lang w:val="en-US" w:eastAsia="bg-BG"/>
        </w:rPr>
      </w:pPr>
      <w:proofErr w:type="spellStart"/>
      <w:r w:rsidRPr="00963F54">
        <w:rPr>
          <w:lang w:val="en-US"/>
        </w:rPr>
        <w:t>Swensweg</w:t>
      </w:r>
      <w:proofErr w:type="spellEnd"/>
      <w:r w:rsidRPr="00963F54">
        <w:rPr>
          <w:lang w:val="en-US"/>
        </w:rPr>
        <w:t xml:space="preserve"> </w:t>
      </w:r>
      <w:r w:rsidRPr="00963F54">
        <w:rPr>
          <w:lang w:eastAsia="bg-BG"/>
        </w:rPr>
        <w:t>5</w:t>
      </w:r>
    </w:p>
    <w:p w14:paraId="6A6891ED" w14:textId="77777777" w:rsidR="00963F54" w:rsidRPr="00963F54" w:rsidRDefault="00963F54" w:rsidP="00963F54">
      <w:pPr>
        <w:rPr>
          <w:sz w:val="24"/>
          <w:szCs w:val="24"/>
          <w:lang w:val="en-US" w:eastAsia="bg-BG"/>
        </w:rPr>
      </w:pPr>
      <w:r w:rsidRPr="00963F54">
        <w:rPr>
          <w:lang w:eastAsia="bg-BG"/>
        </w:rPr>
        <w:lastRenderedPageBreak/>
        <w:t xml:space="preserve">2031 </w:t>
      </w:r>
      <w:r w:rsidRPr="00963F54">
        <w:rPr>
          <w:lang w:val="en-US"/>
        </w:rPr>
        <w:t>GA Haarlem</w:t>
      </w:r>
    </w:p>
    <w:p w14:paraId="29B6590B" w14:textId="48B33173" w:rsidR="00963F54" w:rsidRPr="00963F54" w:rsidRDefault="00963F54" w:rsidP="00963F54">
      <w:r w:rsidRPr="00963F54">
        <w:rPr>
          <w:lang w:eastAsia="bg-BG"/>
        </w:rPr>
        <w:t>Нидерландия</w:t>
      </w:r>
    </w:p>
    <w:p w14:paraId="0A53321D" w14:textId="2F725896" w:rsidR="00EE6C97" w:rsidRDefault="00936AD0" w:rsidP="00A93499">
      <w:pPr>
        <w:pStyle w:val="Heading1"/>
      </w:pPr>
      <w:r>
        <w:t>8.</w:t>
      </w:r>
      <w:r w:rsidR="002C50EE">
        <w:t>НОМЕР НА РАЗРЕШЕНИЕТО ЗА УПОТРЕБА</w:t>
      </w:r>
    </w:p>
    <w:p w14:paraId="50BD3960" w14:textId="064EEB46" w:rsidR="00963F54" w:rsidRDefault="00963F54" w:rsidP="00963F54"/>
    <w:p w14:paraId="10A45E6B" w14:textId="77777777" w:rsidR="00963F54" w:rsidRPr="00963F54" w:rsidRDefault="00963F54" w:rsidP="00963F54">
      <w:pPr>
        <w:rPr>
          <w:sz w:val="24"/>
          <w:szCs w:val="24"/>
          <w:lang w:eastAsia="bg-BG"/>
        </w:rPr>
      </w:pPr>
      <w:r w:rsidRPr="00963F54">
        <w:rPr>
          <w:lang w:eastAsia="bg-BG"/>
        </w:rPr>
        <w:t xml:space="preserve">Вивейс Дуо 5 </w:t>
      </w:r>
      <w:r w:rsidRPr="00963F54">
        <w:rPr>
          <w:lang w:val="en-US"/>
        </w:rPr>
        <w:t xml:space="preserve">mg/5 mg </w:t>
      </w:r>
      <w:r w:rsidRPr="00963F54">
        <w:rPr>
          <w:lang w:eastAsia="bg-BG"/>
        </w:rPr>
        <w:t xml:space="preserve">твърди капсули - </w:t>
      </w:r>
      <w:r w:rsidRPr="00963F54">
        <w:rPr>
          <w:lang w:val="en-US"/>
        </w:rPr>
        <w:t xml:space="preserve">per. </w:t>
      </w:r>
      <w:r w:rsidRPr="00963F54">
        <w:rPr>
          <w:lang w:eastAsia="bg-BG"/>
        </w:rPr>
        <w:t>№ 20150266</w:t>
      </w:r>
    </w:p>
    <w:p w14:paraId="0CC6F395" w14:textId="77777777" w:rsidR="00963F54" w:rsidRPr="00963F54" w:rsidRDefault="00963F54" w:rsidP="00963F54">
      <w:pPr>
        <w:rPr>
          <w:sz w:val="24"/>
          <w:szCs w:val="24"/>
          <w:lang w:eastAsia="bg-BG"/>
        </w:rPr>
      </w:pPr>
      <w:r w:rsidRPr="00963F54">
        <w:rPr>
          <w:lang w:eastAsia="bg-BG"/>
        </w:rPr>
        <w:t xml:space="preserve">Вивейс Дуо 10 </w:t>
      </w:r>
      <w:r w:rsidRPr="00963F54">
        <w:rPr>
          <w:lang w:val="en-US"/>
        </w:rPr>
        <w:t xml:space="preserve">mg/5 mg </w:t>
      </w:r>
      <w:r w:rsidRPr="00963F54">
        <w:rPr>
          <w:lang w:eastAsia="bg-BG"/>
        </w:rPr>
        <w:t xml:space="preserve">твърди капсули - </w:t>
      </w:r>
      <w:r w:rsidRPr="00963F54">
        <w:rPr>
          <w:lang w:val="en-US"/>
        </w:rPr>
        <w:t xml:space="preserve">per. </w:t>
      </w:r>
      <w:r w:rsidRPr="00963F54">
        <w:rPr>
          <w:lang w:eastAsia="bg-BG"/>
        </w:rPr>
        <w:t>№ 20150268</w:t>
      </w:r>
    </w:p>
    <w:p w14:paraId="1CA49647" w14:textId="477B6442" w:rsidR="00963F54" w:rsidRPr="00963F54" w:rsidRDefault="00963F54" w:rsidP="00963F54">
      <w:r w:rsidRPr="00963F54">
        <w:rPr>
          <w:lang w:eastAsia="bg-BG"/>
        </w:rPr>
        <w:t xml:space="preserve">Вивейс Дуо 10 </w:t>
      </w:r>
      <w:r w:rsidRPr="00963F54">
        <w:rPr>
          <w:lang w:val="en-US"/>
        </w:rPr>
        <w:t xml:space="preserve">mg/10 mg </w:t>
      </w:r>
      <w:r w:rsidRPr="00963F54">
        <w:rPr>
          <w:lang w:eastAsia="bg-BG"/>
        </w:rPr>
        <w:t xml:space="preserve">твърди капсули - </w:t>
      </w:r>
      <w:r w:rsidRPr="00963F54">
        <w:rPr>
          <w:lang w:val="en-US"/>
        </w:rPr>
        <w:t xml:space="preserve">per. </w:t>
      </w:r>
      <w:r w:rsidRPr="00963F54">
        <w:rPr>
          <w:lang w:eastAsia="bg-BG"/>
        </w:rPr>
        <w:t>№ 20150269</w:t>
      </w:r>
    </w:p>
    <w:p w14:paraId="3715C10B" w14:textId="5934AC06" w:rsidR="00BB22B4" w:rsidRDefault="002C50EE" w:rsidP="00471F10">
      <w:pPr>
        <w:pStyle w:val="Heading1"/>
      </w:pPr>
      <w:r>
        <w:t>9. ДАТА НА ПЪРВО РАЗРЕШАВАНЕ/ПОДНОВЯВАНЕ НА РАЗРЕШЕНИЕТО ЗА УПОТРЕБА</w:t>
      </w:r>
    </w:p>
    <w:p w14:paraId="54B839FF" w14:textId="3A95C0FB" w:rsidR="00963F54" w:rsidRDefault="00963F54" w:rsidP="00963F54"/>
    <w:p w14:paraId="2F2FCE0F" w14:textId="77777777" w:rsidR="00963F54" w:rsidRPr="00963F54" w:rsidRDefault="00963F54" w:rsidP="00963F54">
      <w:pPr>
        <w:rPr>
          <w:sz w:val="24"/>
          <w:szCs w:val="24"/>
          <w:lang w:eastAsia="bg-BG"/>
        </w:rPr>
      </w:pPr>
      <w:r w:rsidRPr="00963F54">
        <w:rPr>
          <w:lang w:eastAsia="bg-BG"/>
        </w:rPr>
        <w:t>Дата на първо разрешаване: 06.08.2015 г.</w:t>
      </w:r>
    </w:p>
    <w:p w14:paraId="1E1932C1" w14:textId="5800D104" w:rsidR="00963F54" w:rsidRPr="00963F54" w:rsidRDefault="00963F54" w:rsidP="00963F54">
      <w:r w:rsidRPr="00963F54">
        <w:rPr>
          <w:lang w:eastAsia="bg-BG"/>
        </w:rPr>
        <w:t>Дата на последно подновяване: 09.11.2020 г.</w:t>
      </w:r>
    </w:p>
    <w:p w14:paraId="43FB38A2" w14:textId="41987118" w:rsidR="007C605B" w:rsidRDefault="002C50EE" w:rsidP="005726E3">
      <w:pPr>
        <w:pStyle w:val="Heading1"/>
      </w:pPr>
      <w:r>
        <w:t>10. ДАТА НА АКТУАЛИЗИРАНЕ НА ТЕКСТА</w:t>
      </w:r>
      <w:bookmarkEnd w:id="0"/>
    </w:p>
    <w:p w14:paraId="2AAB59C7" w14:textId="6AD575CE" w:rsidR="00963F54" w:rsidRPr="00963F54" w:rsidRDefault="00963F54" w:rsidP="00963F54">
      <w:r>
        <w:t>16.06.2022</w:t>
      </w:r>
    </w:p>
    <w:p w14:paraId="472617BD" w14:textId="3BA44A42" w:rsidR="00BB22B4" w:rsidRPr="00BB22B4" w:rsidRDefault="00BB22B4" w:rsidP="00EE6C97"/>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541B5"/>
    <w:multiLevelType w:val="hybridMultilevel"/>
    <w:tmpl w:val="0DFA82C6"/>
    <w:lvl w:ilvl="0" w:tplc="61A8CAF0">
      <w:start w:val="4"/>
      <w:numFmt w:val="bullet"/>
      <w:lvlText w:val="-"/>
      <w:lvlJc w:val="left"/>
      <w:pPr>
        <w:ind w:left="720" w:hanging="360"/>
      </w:pPr>
      <w:rPr>
        <w:rFonts w:ascii="Arial" w:eastAsiaTheme="minorHAnsi" w:hAnsi="Arial" w:cs="Arial"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40" w15:restartNumberingAfterBreak="0">
    <w:nsid w:val="7F73326A"/>
    <w:multiLevelType w:val="hybridMultilevel"/>
    <w:tmpl w:val="8F5C412A"/>
    <w:lvl w:ilvl="0" w:tplc="61A8CAF0">
      <w:start w:val="4"/>
      <w:numFmt w:val="bullet"/>
      <w:lvlText w:val="-"/>
      <w:lvlJc w:val="left"/>
      <w:pPr>
        <w:ind w:left="720" w:hanging="360"/>
      </w:pPr>
      <w:rPr>
        <w:rFonts w:ascii="Arial" w:eastAsiaTheme="minorHAnsi" w:hAnsi="Arial" w:cs="Arial"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4"/>
  </w:num>
  <w:num w:numId="12" w16cid:durableId="1434934028">
    <w:abstractNumId w:val="16"/>
  </w:num>
  <w:num w:numId="13" w16cid:durableId="479157895">
    <w:abstractNumId w:val="22"/>
  </w:num>
  <w:num w:numId="14" w16cid:durableId="1670476636">
    <w:abstractNumId w:val="14"/>
  </w:num>
  <w:num w:numId="15" w16cid:durableId="1000155783">
    <w:abstractNumId w:val="33"/>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5"/>
  </w:num>
  <w:num w:numId="28" w16cid:durableId="1820733422">
    <w:abstractNumId w:val="6"/>
  </w:num>
  <w:num w:numId="29" w16cid:durableId="973678124">
    <w:abstractNumId w:val="23"/>
  </w:num>
  <w:num w:numId="30" w16cid:durableId="154884452">
    <w:abstractNumId w:val="39"/>
  </w:num>
  <w:num w:numId="31" w16cid:durableId="1053964910">
    <w:abstractNumId w:val="5"/>
  </w:num>
  <w:num w:numId="32" w16cid:durableId="2073575793">
    <w:abstractNumId w:val="37"/>
  </w:num>
  <w:num w:numId="33" w16cid:durableId="1566643170">
    <w:abstractNumId w:val="31"/>
  </w:num>
  <w:num w:numId="34" w16cid:durableId="2060787732">
    <w:abstractNumId w:val="36"/>
  </w:num>
  <w:num w:numId="35" w16cid:durableId="34161354">
    <w:abstractNumId w:val="7"/>
  </w:num>
  <w:num w:numId="36" w16cid:durableId="1976908676">
    <w:abstractNumId w:val="10"/>
  </w:num>
  <w:num w:numId="37" w16cid:durableId="758528303">
    <w:abstractNumId w:val="17"/>
  </w:num>
  <w:num w:numId="38" w16cid:durableId="178396561">
    <w:abstractNumId w:val="38"/>
  </w:num>
  <w:num w:numId="39" w16cid:durableId="934825996">
    <w:abstractNumId w:val="13"/>
  </w:num>
  <w:num w:numId="40" w16cid:durableId="314455102">
    <w:abstractNumId w:val="32"/>
  </w:num>
  <w:num w:numId="41" w16cid:durableId="191084696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71ABE"/>
    <w:rsid w:val="00185A46"/>
    <w:rsid w:val="001915B6"/>
    <w:rsid w:val="001A6EBD"/>
    <w:rsid w:val="001D1B23"/>
    <w:rsid w:val="002B3C38"/>
    <w:rsid w:val="002B4DBB"/>
    <w:rsid w:val="002C50EE"/>
    <w:rsid w:val="00340A0A"/>
    <w:rsid w:val="003765DC"/>
    <w:rsid w:val="00395555"/>
    <w:rsid w:val="003E3126"/>
    <w:rsid w:val="00426E5F"/>
    <w:rsid w:val="00471F10"/>
    <w:rsid w:val="004A448E"/>
    <w:rsid w:val="004D4D6B"/>
    <w:rsid w:val="004F1CE7"/>
    <w:rsid w:val="004F498A"/>
    <w:rsid w:val="00517A5B"/>
    <w:rsid w:val="005726E3"/>
    <w:rsid w:val="00593A00"/>
    <w:rsid w:val="0059764A"/>
    <w:rsid w:val="005A66D9"/>
    <w:rsid w:val="005B7C63"/>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54129"/>
    <w:rsid w:val="00963F54"/>
    <w:rsid w:val="009773E4"/>
    <w:rsid w:val="009B171C"/>
    <w:rsid w:val="009F1313"/>
    <w:rsid w:val="00A20351"/>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8641</Words>
  <Characters>49260</Characters>
  <Application>Microsoft Office Word</Application>
  <DocSecurity>0</DocSecurity>
  <Lines>410</Lines>
  <Paragraphs>115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2023-01-09T00:15:00Z</dcterms:created>
  <dcterms:modified xsi:type="dcterms:W3CDTF">2023-01-09T00:15:00Z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