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345A65B4" w:rsidR="00C40420" w:rsidRDefault="00DD466D" w:rsidP="004A448E">
      <w:pPr>
        <w:pStyle w:val="Heading1"/>
      </w:pPr>
      <w:r>
        <w:t>1.ИМЕ НА ЛЕКАРСТВЕНИЯ ПРОДУКТ</w:t>
      </w:r>
    </w:p>
    <w:p w14:paraId="0AFC77CC" w14:textId="128C7294" w:rsidR="00FE5976" w:rsidRDefault="00FE5976" w:rsidP="00FE5976"/>
    <w:p w14:paraId="44D08FDD" w14:textId="77777777" w:rsidR="00FE5976" w:rsidRDefault="00FE5976" w:rsidP="00FE5976">
      <w:r>
        <w:t xml:space="preserve">Вивекс 500 </w:t>
      </w:r>
      <w:r>
        <w:rPr>
          <w:lang w:val="en-US"/>
        </w:rPr>
        <w:t>mg</w:t>
      </w:r>
      <w:r w:rsidRPr="00FE5976">
        <w:t xml:space="preserve"> </w:t>
      </w:r>
      <w:r>
        <w:t xml:space="preserve">филмирани таблетки </w:t>
      </w:r>
    </w:p>
    <w:p w14:paraId="31144459" w14:textId="47167D45" w:rsidR="00FE5976" w:rsidRPr="00FE5976" w:rsidRDefault="00FE5976" w:rsidP="00FE5976">
      <w:proofErr w:type="spellStart"/>
      <w:r>
        <w:rPr>
          <w:lang w:val="en-US"/>
        </w:rPr>
        <w:t>Vivex</w:t>
      </w:r>
      <w:proofErr w:type="spellEnd"/>
      <w:r w:rsidRPr="00FE5976">
        <w:t xml:space="preserve"> </w:t>
      </w:r>
      <w:r>
        <w:t xml:space="preserve">500 </w:t>
      </w:r>
      <w:r>
        <w:rPr>
          <w:lang w:val="en-US"/>
        </w:rPr>
        <w:t>mg</w:t>
      </w:r>
      <w:r w:rsidRPr="00FE5976">
        <w:t xml:space="preserve"> </w:t>
      </w:r>
      <w:r>
        <w:rPr>
          <w:lang w:val="en-US"/>
        </w:rPr>
        <w:t>film</w:t>
      </w:r>
      <w:r w:rsidRPr="00FE5976">
        <w:t>-</w:t>
      </w:r>
      <w:r>
        <w:rPr>
          <w:lang w:val="en-US"/>
        </w:rPr>
        <w:t>coated</w:t>
      </w:r>
      <w:r w:rsidRPr="00FE5976">
        <w:t xml:space="preserve"> </w:t>
      </w:r>
      <w:r>
        <w:rPr>
          <w:lang w:val="en-US"/>
        </w:rPr>
        <w:t>tablets</w:t>
      </w:r>
    </w:p>
    <w:p w14:paraId="6920A680" w14:textId="102BFC49" w:rsidR="00C40420" w:rsidRDefault="00DD466D" w:rsidP="004A448E">
      <w:pPr>
        <w:pStyle w:val="Heading1"/>
      </w:pPr>
      <w:r>
        <w:t>2. КАЧЕСТВЕН И КОЛИЧЕСТВЕН СЪСТАВ</w:t>
      </w:r>
    </w:p>
    <w:p w14:paraId="027A3EAF" w14:textId="26C381F6" w:rsidR="00FE5976" w:rsidRDefault="00FE5976" w:rsidP="00FE5976"/>
    <w:p w14:paraId="1E9E53E1" w14:textId="77777777" w:rsidR="00FE5976" w:rsidRPr="00FE5976" w:rsidRDefault="00FE5976" w:rsidP="00FE5976">
      <w:pPr>
        <w:rPr>
          <w:sz w:val="24"/>
          <w:szCs w:val="24"/>
        </w:rPr>
      </w:pPr>
      <w:r w:rsidRPr="00FE5976">
        <w:rPr>
          <w:lang w:eastAsia="bg-BG"/>
        </w:rPr>
        <w:t xml:space="preserve">Всяка филмирана таблетка съдържа 512,46 </w:t>
      </w:r>
      <w:r w:rsidRPr="00FE5976">
        <w:rPr>
          <w:lang w:val="en-US"/>
        </w:rPr>
        <w:t>mg</w:t>
      </w:r>
      <w:r w:rsidRPr="00FE5976">
        <w:t xml:space="preserve"> </w:t>
      </w:r>
      <w:r w:rsidRPr="00FE5976">
        <w:rPr>
          <w:lang w:eastAsia="bg-BG"/>
        </w:rPr>
        <w:t xml:space="preserve">левофлоксацин хемихидрат </w:t>
      </w:r>
      <w:r w:rsidRPr="00FE5976">
        <w:t>(</w:t>
      </w:r>
      <w:r w:rsidRPr="00FE5976">
        <w:rPr>
          <w:lang w:val="en-US"/>
        </w:rPr>
        <w:t>levofloxacin</w:t>
      </w:r>
      <w:r w:rsidRPr="00FE5976">
        <w:t xml:space="preserve"> </w:t>
      </w:r>
      <w:r w:rsidRPr="00FE5976">
        <w:rPr>
          <w:lang w:val="en-US"/>
        </w:rPr>
        <w:t>hemihydrate</w:t>
      </w:r>
      <w:r w:rsidRPr="00FE5976">
        <w:t xml:space="preserve">), </w:t>
      </w:r>
      <w:r w:rsidRPr="00FE5976">
        <w:rPr>
          <w:lang w:eastAsia="bg-BG"/>
        </w:rPr>
        <w:t xml:space="preserve">отговарящ на 500 </w:t>
      </w:r>
      <w:r w:rsidRPr="00FE5976">
        <w:rPr>
          <w:lang w:val="en-US"/>
        </w:rPr>
        <w:t>mg</w:t>
      </w:r>
      <w:r w:rsidRPr="00FE5976">
        <w:t xml:space="preserve"> </w:t>
      </w:r>
      <w:r w:rsidRPr="00FE5976">
        <w:rPr>
          <w:lang w:eastAsia="bg-BG"/>
        </w:rPr>
        <w:t xml:space="preserve">левофлоксацин </w:t>
      </w:r>
      <w:r w:rsidRPr="00FE5976">
        <w:rPr>
          <w:i/>
          <w:iCs/>
        </w:rPr>
        <w:t>(</w:t>
      </w:r>
      <w:r w:rsidRPr="00FE5976">
        <w:rPr>
          <w:i/>
          <w:iCs/>
          <w:lang w:val="en-US"/>
        </w:rPr>
        <w:t>levofloxacin</w:t>
      </w:r>
      <w:r w:rsidRPr="00FE5976">
        <w:rPr>
          <w:i/>
          <w:iCs/>
        </w:rPr>
        <w:t>).</w:t>
      </w:r>
    </w:p>
    <w:p w14:paraId="7EF5F757" w14:textId="77777777" w:rsidR="00FE5976" w:rsidRDefault="00FE5976" w:rsidP="00FE5976">
      <w:pPr>
        <w:rPr>
          <w:lang w:eastAsia="bg-BG"/>
        </w:rPr>
      </w:pPr>
    </w:p>
    <w:p w14:paraId="355D91A9" w14:textId="0B7332DF" w:rsidR="00FE5976" w:rsidRDefault="00FE5976" w:rsidP="00FE5976">
      <w:pPr>
        <w:rPr>
          <w:lang w:eastAsia="bg-BG"/>
        </w:rPr>
      </w:pPr>
      <w:r w:rsidRPr="00FE5976">
        <w:rPr>
          <w:lang w:eastAsia="bg-BG"/>
        </w:rPr>
        <w:t xml:space="preserve">Всяка филмирана таблетка съдържа 7,2 </w:t>
      </w:r>
      <w:r w:rsidRPr="00FE5976">
        <w:rPr>
          <w:lang w:val="en-US"/>
        </w:rPr>
        <w:t>mg</w:t>
      </w:r>
      <w:r w:rsidRPr="00FE5976">
        <w:rPr>
          <w:lang w:val="ru-RU"/>
        </w:rPr>
        <w:t xml:space="preserve"> </w:t>
      </w:r>
      <w:r w:rsidRPr="00FE5976">
        <w:rPr>
          <w:lang w:eastAsia="bg-BG"/>
        </w:rPr>
        <w:t>лактоза монохидрат като част от филмиращото покритие.</w:t>
      </w:r>
    </w:p>
    <w:p w14:paraId="5D733B00" w14:textId="77777777" w:rsidR="00FE5976" w:rsidRPr="00FE5976" w:rsidRDefault="00FE5976" w:rsidP="00FE5976"/>
    <w:p w14:paraId="614984C4" w14:textId="3D1ECF86" w:rsidR="008A6AF2" w:rsidRDefault="00DD466D" w:rsidP="002C50EE">
      <w:pPr>
        <w:pStyle w:val="Heading1"/>
      </w:pPr>
      <w:r>
        <w:t>3. ЛЕКАРСТВЕНА ФОРМА</w:t>
      </w:r>
    </w:p>
    <w:p w14:paraId="620C1887" w14:textId="0515CC83" w:rsidR="00FE5976" w:rsidRDefault="00FE5976" w:rsidP="00FE5976"/>
    <w:p w14:paraId="18E0FF81" w14:textId="77777777" w:rsidR="00FE5976" w:rsidRPr="00FE5976" w:rsidRDefault="00FE5976" w:rsidP="00FE5976">
      <w:pPr>
        <w:rPr>
          <w:sz w:val="24"/>
          <w:szCs w:val="24"/>
        </w:rPr>
      </w:pPr>
      <w:r w:rsidRPr="00FE5976">
        <w:rPr>
          <w:lang w:eastAsia="bg-BG"/>
        </w:rPr>
        <w:t>Филмирани таблетки.</w:t>
      </w:r>
    </w:p>
    <w:p w14:paraId="0AB6AD11" w14:textId="77777777" w:rsidR="00FE5976" w:rsidRPr="00FE5976" w:rsidRDefault="00FE5976" w:rsidP="00FE5976">
      <w:pPr>
        <w:rPr>
          <w:sz w:val="24"/>
          <w:szCs w:val="24"/>
        </w:rPr>
      </w:pPr>
      <w:r w:rsidRPr="00FE5976">
        <w:rPr>
          <w:lang w:eastAsia="bg-BG"/>
        </w:rPr>
        <w:t>Розови, продълговати, филмирани таблетки с делителна черта от двете страни.</w:t>
      </w:r>
    </w:p>
    <w:p w14:paraId="30536C6C" w14:textId="1D1A174E" w:rsidR="00FE5976" w:rsidRPr="00FE5976" w:rsidRDefault="00FE5976" w:rsidP="00FE5976">
      <w:r w:rsidRPr="00FE5976">
        <w:rPr>
          <w:lang w:eastAsia="bg-BG"/>
        </w:rPr>
        <w:t>Таблетката може да бъде разделена на две равни дози.</w:t>
      </w:r>
    </w:p>
    <w:p w14:paraId="490FC2C4" w14:textId="32682B15" w:rsidR="002C50EE" w:rsidRDefault="002C50EE" w:rsidP="002C50EE">
      <w:pPr>
        <w:pStyle w:val="Heading1"/>
      </w:pPr>
      <w:r>
        <w:t>4. КЛИНИЧНИ ДАННИ</w:t>
      </w:r>
    </w:p>
    <w:p w14:paraId="0C8E6903" w14:textId="0CFCD2AC" w:rsidR="008134C8" w:rsidRDefault="002C50EE" w:rsidP="004A448E">
      <w:pPr>
        <w:pStyle w:val="Heading2"/>
      </w:pPr>
      <w:r>
        <w:t>4.1. Терапевтични показания</w:t>
      </w:r>
    </w:p>
    <w:p w14:paraId="5A2AC0F6" w14:textId="35398B37" w:rsidR="00FE5976" w:rsidRDefault="00FE5976" w:rsidP="00FE5976"/>
    <w:p w14:paraId="3BCBC864"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е показан при възрастни за лечение на следните инфекции (вж. точки 4.4 и 5.1):</w:t>
      </w:r>
    </w:p>
    <w:p w14:paraId="3C267ED7" w14:textId="77777777" w:rsidR="00FE5976" w:rsidRPr="00FE5976" w:rsidRDefault="00FE5976" w:rsidP="00FE5976">
      <w:pPr>
        <w:pStyle w:val="ListParagraph"/>
        <w:numPr>
          <w:ilvl w:val="0"/>
          <w:numId w:val="35"/>
        </w:numPr>
        <w:spacing w:line="240" w:lineRule="auto"/>
        <w:rPr>
          <w:rFonts w:eastAsia="Times New Roman" w:cs="Arial"/>
          <w:color w:val="000000"/>
          <w:szCs w:val="20"/>
          <w:lang w:eastAsia="bg-BG"/>
        </w:rPr>
      </w:pPr>
      <w:r w:rsidRPr="00FE5976">
        <w:rPr>
          <w:rFonts w:eastAsia="Times New Roman" w:cs="Arial"/>
          <w:color w:val="000000"/>
          <w:szCs w:val="20"/>
          <w:lang w:eastAsia="bg-BG"/>
        </w:rPr>
        <w:t>Остър пиелонефрит и усложнени инфекции на уринарния тракт (вж. точка 4.4);</w:t>
      </w:r>
    </w:p>
    <w:p w14:paraId="18DFEB64" w14:textId="77777777" w:rsidR="00FE5976" w:rsidRPr="00FE5976" w:rsidRDefault="00FE5976" w:rsidP="00FE5976">
      <w:pPr>
        <w:pStyle w:val="ListParagraph"/>
        <w:numPr>
          <w:ilvl w:val="0"/>
          <w:numId w:val="35"/>
        </w:numPr>
        <w:spacing w:line="240" w:lineRule="auto"/>
        <w:rPr>
          <w:rFonts w:eastAsia="Times New Roman" w:cs="Arial"/>
          <w:color w:val="000000"/>
          <w:szCs w:val="20"/>
          <w:lang w:eastAsia="bg-BG"/>
        </w:rPr>
      </w:pPr>
      <w:r w:rsidRPr="00FE5976">
        <w:rPr>
          <w:rFonts w:eastAsia="Times New Roman" w:cs="Arial"/>
          <w:color w:val="000000"/>
          <w:szCs w:val="20"/>
          <w:lang w:eastAsia="bg-BG"/>
        </w:rPr>
        <w:t>Хроничен бактериален простатит;</w:t>
      </w:r>
    </w:p>
    <w:p w14:paraId="54862864" w14:textId="296B6A76" w:rsidR="00FE5976" w:rsidRPr="00FE5976" w:rsidRDefault="00FE5976" w:rsidP="00FE5976">
      <w:pPr>
        <w:pStyle w:val="ListParagraph"/>
        <w:numPr>
          <w:ilvl w:val="0"/>
          <w:numId w:val="35"/>
        </w:numPr>
        <w:spacing w:line="240" w:lineRule="auto"/>
        <w:rPr>
          <w:rFonts w:eastAsia="Times New Roman" w:cs="Arial"/>
          <w:color w:val="000000"/>
          <w:szCs w:val="20"/>
          <w:lang w:eastAsia="bg-BG"/>
        </w:rPr>
      </w:pPr>
      <w:r w:rsidRPr="00FE5976">
        <w:rPr>
          <w:rFonts w:eastAsia="Times New Roman" w:cs="Arial"/>
          <w:color w:val="000000"/>
          <w:szCs w:val="20"/>
          <w:lang w:eastAsia="bg-BG"/>
        </w:rPr>
        <w:t>Инхалационен антракс: профилактика след експозиция и лечение (вж. точка 4.4).</w:t>
      </w:r>
    </w:p>
    <w:p w14:paraId="3A3E3BD7" w14:textId="77777777" w:rsidR="00FE5976" w:rsidRPr="00FE5976" w:rsidRDefault="00FE5976" w:rsidP="00FE5976">
      <w:pPr>
        <w:spacing w:line="240" w:lineRule="auto"/>
        <w:rPr>
          <w:rFonts w:eastAsia="Times New Roman" w:cs="Arial"/>
          <w:color w:val="000000"/>
          <w:szCs w:val="20"/>
          <w:lang w:eastAsia="bg-BG"/>
        </w:rPr>
      </w:pPr>
    </w:p>
    <w:p w14:paraId="39C86E21" w14:textId="008A89F1" w:rsidR="00FE5976" w:rsidRPr="00FE5976" w:rsidRDefault="00FE5976" w:rsidP="00FE5976">
      <w:pPr>
        <w:spacing w:line="240" w:lineRule="auto"/>
        <w:rPr>
          <w:rFonts w:eastAsia="Times New Roman" w:cs="Arial"/>
          <w:color w:val="000000"/>
          <w:szCs w:val="20"/>
          <w:lang w:eastAsia="bg-BG"/>
        </w:rPr>
      </w:pPr>
      <w:r w:rsidRPr="00FE5976">
        <w:rPr>
          <w:rFonts w:eastAsia="Times New Roman" w:cs="Arial"/>
          <w:color w:val="000000"/>
          <w:szCs w:val="20"/>
          <w:lang w:eastAsia="bg-BG"/>
        </w:rPr>
        <w:t xml:space="preserve">За долупосочените инфекции 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трябва да се използва само, когато употребата на антибактериални средства, които обикновено се препоръчват за първоначално лечение на тези инфекции се смята за неподходяща.</w:t>
      </w:r>
    </w:p>
    <w:p w14:paraId="5DDA8611" w14:textId="77777777" w:rsidR="00FE5976" w:rsidRPr="00FE5976" w:rsidRDefault="00FE5976" w:rsidP="00FE5976">
      <w:pPr>
        <w:spacing w:line="240" w:lineRule="auto"/>
        <w:rPr>
          <w:rFonts w:eastAsia="Times New Roman" w:cs="Arial"/>
          <w:sz w:val="28"/>
          <w:szCs w:val="24"/>
        </w:rPr>
      </w:pPr>
    </w:p>
    <w:p w14:paraId="219F4EF4" w14:textId="77777777" w:rsidR="00FE5976" w:rsidRPr="00FE5976" w:rsidRDefault="00FE5976" w:rsidP="00FE5976">
      <w:pPr>
        <w:pStyle w:val="ListParagraph"/>
        <w:numPr>
          <w:ilvl w:val="0"/>
          <w:numId w:val="36"/>
        </w:numPr>
        <w:spacing w:line="240" w:lineRule="auto"/>
        <w:rPr>
          <w:rFonts w:eastAsia="Times New Roman" w:cs="Arial"/>
          <w:color w:val="000000"/>
          <w:szCs w:val="20"/>
          <w:lang w:eastAsia="bg-BG"/>
        </w:rPr>
      </w:pPr>
      <w:r w:rsidRPr="00FE5976">
        <w:rPr>
          <w:rFonts w:eastAsia="Times New Roman" w:cs="Arial"/>
          <w:color w:val="000000"/>
          <w:szCs w:val="20"/>
          <w:lang w:eastAsia="bg-BG"/>
        </w:rPr>
        <w:t>Остър бактериален синуит;</w:t>
      </w:r>
    </w:p>
    <w:p w14:paraId="4EA98CD0" w14:textId="77777777" w:rsidR="00FE5976" w:rsidRPr="00FE5976" w:rsidRDefault="00FE5976" w:rsidP="00FE5976">
      <w:pPr>
        <w:pStyle w:val="ListParagraph"/>
        <w:numPr>
          <w:ilvl w:val="0"/>
          <w:numId w:val="36"/>
        </w:numPr>
        <w:spacing w:line="240" w:lineRule="auto"/>
        <w:rPr>
          <w:rFonts w:eastAsia="Times New Roman" w:cs="Arial"/>
          <w:color w:val="000000"/>
          <w:szCs w:val="20"/>
          <w:lang w:eastAsia="bg-BG"/>
        </w:rPr>
      </w:pPr>
      <w:r w:rsidRPr="00FE5976">
        <w:rPr>
          <w:rFonts w:eastAsia="Times New Roman" w:cs="Arial"/>
          <w:color w:val="000000"/>
          <w:szCs w:val="20"/>
          <w:lang w:eastAsia="bg-BG"/>
        </w:rPr>
        <w:t>Остра екзацербация на хронична обструктивна белодробна болест, включително бронхит;</w:t>
      </w:r>
    </w:p>
    <w:p w14:paraId="2E8BCA41" w14:textId="77777777" w:rsidR="00FE5976" w:rsidRPr="00FE5976" w:rsidRDefault="00FE5976" w:rsidP="00FE5976">
      <w:pPr>
        <w:pStyle w:val="ListParagraph"/>
        <w:numPr>
          <w:ilvl w:val="0"/>
          <w:numId w:val="36"/>
        </w:numPr>
        <w:spacing w:line="240" w:lineRule="auto"/>
        <w:rPr>
          <w:rFonts w:eastAsia="Times New Roman" w:cs="Arial"/>
          <w:color w:val="000000"/>
          <w:szCs w:val="20"/>
          <w:lang w:eastAsia="bg-BG"/>
        </w:rPr>
      </w:pPr>
      <w:r w:rsidRPr="00FE5976">
        <w:rPr>
          <w:rFonts w:eastAsia="Times New Roman" w:cs="Arial"/>
          <w:color w:val="000000"/>
          <w:szCs w:val="20"/>
          <w:lang w:eastAsia="bg-BG"/>
        </w:rPr>
        <w:t>Придобита в обществото пневмония;</w:t>
      </w:r>
    </w:p>
    <w:p w14:paraId="29C55D1F" w14:textId="77777777" w:rsidR="00FE5976" w:rsidRPr="00FE5976" w:rsidRDefault="00FE5976" w:rsidP="00FE5976">
      <w:pPr>
        <w:pStyle w:val="ListParagraph"/>
        <w:numPr>
          <w:ilvl w:val="0"/>
          <w:numId w:val="36"/>
        </w:numPr>
        <w:spacing w:line="240" w:lineRule="auto"/>
        <w:rPr>
          <w:rFonts w:eastAsia="Times New Roman" w:cs="Arial"/>
          <w:color w:val="000000"/>
          <w:szCs w:val="20"/>
          <w:lang w:eastAsia="bg-BG"/>
        </w:rPr>
      </w:pPr>
      <w:r w:rsidRPr="00FE5976">
        <w:rPr>
          <w:rFonts w:eastAsia="Times New Roman" w:cs="Arial"/>
          <w:color w:val="000000"/>
          <w:szCs w:val="20"/>
          <w:lang w:eastAsia="bg-BG"/>
        </w:rPr>
        <w:t>Усложнени инфекции на кожата и меките тъкани;</w:t>
      </w:r>
    </w:p>
    <w:p w14:paraId="2A5541C2" w14:textId="4E72EB9A" w:rsidR="00FE5976" w:rsidRPr="00FE5976" w:rsidRDefault="00FE5976" w:rsidP="00FE5976">
      <w:pPr>
        <w:pStyle w:val="ListParagraph"/>
        <w:numPr>
          <w:ilvl w:val="0"/>
          <w:numId w:val="36"/>
        </w:numPr>
        <w:spacing w:line="240" w:lineRule="auto"/>
        <w:rPr>
          <w:rFonts w:eastAsia="Times New Roman" w:cs="Arial"/>
          <w:color w:val="000000"/>
          <w:szCs w:val="20"/>
          <w:lang w:eastAsia="bg-BG"/>
        </w:rPr>
      </w:pPr>
      <w:r w:rsidRPr="00FE5976">
        <w:rPr>
          <w:rFonts w:eastAsia="Times New Roman" w:cs="Arial"/>
          <w:color w:val="000000"/>
          <w:szCs w:val="20"/>
          <w:lang w:eastAsia="bg-BG"/>
        </w:rPr>
        <w:t>Неусложнен цистит (вж. точка 4.4).</w:t>
      </w:r>
    </w:p>
    <w:p w14:paraId="38DA7420" w14:textId="77777777" w:rsidR="00FE5976" w:rsidRPr="00FE5976" w:rsidRDefault="00FE5976" w:rsidP="00FE5976">
      <w:pPr>
        <w:spacing w:line="240" w:lineRule="auto"/>
        <w:rPr>
          <w:rFonts w:eastAsia="Times New Roman" w:cs="Arial"/>
          <w:color w:val="000000"/>
          <w:szCs w:val="20"/>
          <w:lang w:eastAsia="bg-BG"/>
        </w:rPr>
      </w:pPr>
    </w:p>
    <w:p w14:paraId="23C8753D" w14:textId="235617C4"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може също да се използва за завършване на курса на лечение при пациенти, показали подобрение при начално лечение с интравенозен левофлоксацин.</w:t>
      </w:r>
    </w:p>
    <w:p w14:paraId="02C7B318" w14:textId="77777777" w:rsidR="00FE5976" w:rsidRPr="00FE5976" w:rsidRDefault="00FE5976" w:rsidP="00FE5976">
      <w:pPr>
        <w:spacing w:line="240" w:lineRule="auto"/>
        <w:rPr>
          <w:rFonts w:eastAsia="Times New Roman" w:cs="Arial"/>
          <w:color w:val="000000"/>
          <w:szCs w:val="20"/>
          <w:lang w:eastAsia="bg-BG"/>
        </w:rPr>
      </w:pPr>
    </w:p>
    <w:p w14:paraId="5C465CC1" w14:textId="2FA5B2C3"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lastRenderedPageBreak/>
        <w:t>Необходимо е да се вземат предвид официалните препоръки за подходяща употреба на антибактериални средства.</w:t>
      </w:r>
    </w:p>
    <w:p w14:paraId="7B9E7B64" w14:textId="77777777" w:rsidR="00FE5976" w:rsidRPr="00FE5976" w:rsidRDefault="00FE5976" w:rsidP="00FE5976"/>
    <w:p w14:paraId="30BE2C7B" w14:textId="4E1AA0B1" w:rsidR="008134C8" w:rsidRDefault="002C50EE" w:rsidP="004A448E">
      <w:pPr>
        <w:pStyle w:val="Heading2"/>
      </w:pPr>
      <w:r>
        <w:t>4.2. Дозировка и начин на приложение</w:t>
      </w:r>
    </w:p>
    <w:p w14:paraId="6E93798B" w14:textId="2AAAC222" w:rsidR="00FE5976" w:rsidRDefault="00FE5976" w:rsidP="00FE5976"/>
    <w:p w14:paraId="73E656E8" w14:textId="1655B7C5" w:rsidR="00FE5976" w:rsidRPr="00FE5976" w:rsidRDefault="00FE5976" w:rsidP="00FE5976">
      <w:pPr>
        <w:rPr>
          <w:rFonts w:cs="Arial"/>
          <w:szCs w:val="20"/>
        </w:rPr>
      </w:pPr>
      <w:r w:rsidRPr="00FE5976">
        <w:rPr>
          <w:rFonts w:cs="Arial"/>
          <w:szCs w:val="20"/>
        </w:rPr>
        <w:t xml:space="preserve">Вивекс 500 </w:t>
      </w:r>
      <w:r w:rsidRPr="00FE5976">
        <w:rPr>
          <w:rFonts w:cs="Arial"/>
          <w:szCs w:val="20"/>
          <w:lang w:val="en-US"/>
        </w:rPr>
        <w:t>mg</w:t>
      </w:r>
      <w:r w:rsidRPr="00FE5976">
        <w:rPr>
          <w:rFonts w:cs="Arial"/>
          <w:szCs w:val="20"/>
          <w:lang w:val="ru-RU"/>
        </w:rPr>
        <w:t xml:space="preserve"> </w:t>
      </w:r>
      <w:r w:rsidRPr="00FE5976">
        <w:rPr>
          <w:rFonts w:cs="Arial"/>
          <w:szCs w:val="20"/>
        </w:rPr>
        <w:t>таблетки се прилагат веднъж или два пъти дневно. Дозировката зависи от вида и тежестта на инфекцията и от чувствителността на предполагаемия патогенен причинител.</w:t>
      </w:r>
    </w:p>
    <w:p w14:paraId="7177B5EA" w14:textId="188AB870" w:rsidR="00FE5976" w:rsidRPr="00FE5976" w:rsidRDefault="00FE5976" w:rsidP="00FE5976">
      <w:pPr>
        <w:rPr>
          <w:rFonts w:cs="Arial"/>
          <w:szCs w:val="20"/>
        </w:rPr>
      </w:pPr>
    </w:p>
    <w:p w14:paraId="0AB3BEAE"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таблетки могат също да се прилагат за завършване на курса на лечение при пациенти, които са показали подобрение при начално лечение с интравенозен левофлоксацин; поради биоеквивалентността на парентералната и пероралната форма, може да се прилага същата доза.</w:t>
      </w:r>
    </w:p>
    <w:p w14:paraId="1659A9DD" w14:textId="77777777" w:rsidR="00FE5976" w:rsidRPr="00FE5976" w:rsidRDefault="00FE5976" w:rsidP="00FE5976">
      <w:pPr>
        <w:spacing w:line="240" w:lineRule="auto"/>
        <w:rPr>
          <w:rFonts w:eastAsia="Times New Roman" w:cs="Arial"/>
          <w:color w:val="000000"/>
          <w:szCs w:val="20"/>
          <w:u w:val="single"/>
          <w:lang w:eastAsia="bg-BG"/>
        </w:rPr>
      </w:pPr>
    </w:p>
    <w:p w14:paraId="2CA6BF47" w14:textId="6237EBB0" w:rsidR="00FE5976" w:rsidRPr="00FE5976" w:rsidRDefault="00FE5976" w:rsidP="00FE5976">
      <w:pPr>
        <w:pStyle w:val="Heading3"/>
        <w:rPr>
          <w:rFonts w:eastAsia="Times New Roman"/>
          <w:sz w:val="28"/>
          <w:u w:val="single"/>
        </w:rPr>
      </w:pPr>
      <w:r w:rsidRPr="00FE5976">
        <w:rPr>
          <w:rFonts w:eastAsia="Times New Roman"/>
          <w:u w:val="single"/>
          <w:lang w:eastAsia="bg-BG"/>
        </w:rPr>
        <w:t>Дозировка</w:t>
      </w:r>
    </w:p>
    <w:p w14:paraId="1404C4C3"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Могат да бъдат дадени следните препоръки за дозиране на Вивекс 500 </w:t>
      </w:r>
      <w:r w:rsidRPr="00FE5976">
        <w:rPr>
          <w:rFonts w:eastAsia="Times New Roman" w:cs="Arial"/>
          <w:color w:val="000000"/>
          <w:szCs w:val="20"/>
          <w:lang w:val="en-US"/>
        </w:rPr>
        <w:t>mg</w:t>
      </w:r>
      <w:r w:rsidRPr="00FE5976">
        <w:rPr>
          <w:rFonts w:eastAsia="Times New Roman" w:cs="Arial"/>
          <w:color w:val="000000"/>
          <w:szCs w:val="20"/>
          <w:lang w:val="ru-RU"/>
        </w:rPr>
        <w:t>:</w:t>
      </w:r>
    </w:p>
    <w:p w14:paraId="7C65A355" w14:textId="77777777" w:rsidR="00FE5976" w:rsidRPr="00FE5976" w:rsidRDefault="00FE5976" w:rsidP="00FE5976">
      <w:pPr>
        <w:spacing w:line="240" w:lineRule="auto"/>
        <w:rPr>
          <w:rFonts w:eastAsia="Times New Roman" w:cs="Arial"/>
          <w:i/>
          <w:iCs/>
          <w:color w:val="000000"/>
          <w:szCs w:val="20"/>
          <w:u w:val="single"/>
          <w:lang w:eastAsia="bg-BG"/>
        </w:rPr>
      </w:pPr>
    </w:p>
    <w:p w14:paraId="15FD28A3" w14:textId="2C0CA6BE" w:rsidR="00FE5976" w:rsidRPr="00FE5976" w:rsidRDefault="00FE5976" w:rsidP="00FE5976">
      <w:pPr>
        <w:spacing w:line="240" w:lineRule="auto"/>
        <w:rPr>
          <w:rFonts w:ascii="Times New Roman" w:eastAsia="Times New Roman" w:hAnsi="Times New Roman" w:cs="Times New Roman"/>
          <w:sz w:val="24"/>
          <w:szCs w:val="24"/>
        </w:rPr>
      </w:pPr>
      <w:r w:rsidRPr="00FE5976">
        <w:rPr>
          <w:rFonts w:eastAsia="Times New Roman" w:cs="Arial"/>
          <w:i/>
          <w:iCs/>
          <w:color w:val="000000"/>
          <w:szCs w:val="20"/>
          <w:u w:val="single"/>
          <w:lang w:eastAsia="bg-BG"/>
        </w:rPr>
        <w:t xml:space="preserve">Дозировка при пациенти с нормална бъбречна функция (креатининов клирънс &gt;50 </w:t>
      </w:r>
      <w:r w:rsidRPr="00FE5976">
        <w:rPr>
          <w:rFonts w:eastAsia="Times New Roman" w:cs="Arial"/>
          <w:i/>
          <w:iCs/>
          <w:color w:val="000000"/>
          <w:szCs w:val="20"/>
          <w:u w:val="single"/>
          <w:lang w:val="en-US"/>
        </w:rPr>
        <w:t>ml</w:t>
      </w:r>
      <w:r w:rsidRPr="00FE5976">
        <w:rPr>
          <w:rFonts w:eastAsia="Times New Roman" w:cs="Arial"/>
          <w:i/>
          <w:iCs/>
          <w:color w:val="000000"/>
          <w:szCs w:val="20"/>
          <w:u w:val="single"/>
          <w:lang w:val="ru-RU"/>
        </w:rPr>
        <w:t>/</w:t>
      </w:r>
      <w:r w:rsidRPr="00FE5976">
        <w:rPr>
          <w:rFonts w:eastAsia="Times New Roman" w:cs="Arial"/>
          <w:i/>
          <w:iCs/>
          <w:color w:val="000000"/>
          <w:szCs w:val="20"/>
          <w:u w:val="single"/>
          <w:lang w:val="en-US"/>
        </w:rPr>
        <w:t>min</w:t>
      </w:r>
      <w:r w:rsidRPr="00FE5976">
        <w:rPr>
          <w:rFonts w:ascii="Times New Roman" w:eastAsia="Times New Roman" w:hAnsi="Times New Roman" w:cs="Times New Roman"/>
          <w:i/>
          <w:iCs/>
          <w:color w:val="000000"/>
          <w:sz w:val="20"/>
          <w:szCs w:val="20"/>
          <w:u w:val="single"/>
          <w:lang w:val="ru-RU"/>
        </w:rPr>
        <w:t>)</w:t>
      </w:r>
    </w:p>
    <w:tbl>
      <w:tblPr>
        <w:tblStyle w:val="TableGrid"/>
        <w:tblW w:w="0" w:type="auto"/>
        <w:tblLook w:val="04A0" w:firstRow="1" w:lastRow="0" w:firstColumn="1" w:lastColumn="0" w:noHBand="0" w:noVBand="1"/>
      </w:tblPr>
      <w:tblGrid>
        <w:gridCol w:w="3115"/>
        <w:gridCol w:w="3092"/>
        <w:gridCol w:w="3143"/>
      </w:tblGrid>
      <w:tr w:rsidR="00FE5976" w14:paraId="310EEADA" w14:textId="77777777" w:rsidTr="00FE5976">
        <w:tc>
          <w:tcPr>
            <w:tcW w:w="3192" w:type="dxa"/>
          </w:tcPr>
          <w:p w14:paraId="7653C55A" w14:textId="226BA4D2" w:rsidR="00FE5976" w:rsidRPr="00FE5976" w:rsidRDefault="00FE5976" w:rsidP="00FE5976">
            <w:r w:rsidRPr="00FE5976">
              <w:rPr>
                <w:b/>
                <w:bCs/>
                <w:szCs w:val="20"/>
              </w:rPr>
              <w:t>Показание</w:t>
            </w:r>
          </w:p>
        </w:tc>
        <w:tc>
          <w:tcPr>
            <w:tcW w:w="3192" w:type="dxa"/>
          </w:tcPr>
          <w:p w14:paraId="06C71060" w14:textId="169ED08D" w:rsidR="00FE5976" w:rsidRPr="00FE5976" w:rsidRDefault="00FE5976" w:rsidP="00FE5976">
            <w:r w:rsidRPr="00FE5976">
              <w:rPr>
                <w:b/>
                <w:bCs/>
                <w:szCs w:val="20"/>
              </w:rPr>
              <w:t>Дневна дозова схема (според тежестта)</w:t>
            </w:r>
          </w:p>
        </w:tc>
        <w:tc>
          <w:tcPr>
            <w:tcW w:w="3192" w:type="dxa"/>
          </w:tcPr>
          <w:p w14:paraId="1DCBDDF6" w14:textId="65B376E7" w:rsidR="00FE5976" w:rsidRPr="00FE5976" w:rsidRDefault="00FE5976" w:rsidP="00FE5976">
            <w:r w:rsidRPr="00FE5976">
              <w:rPr>
                <w:b/>
                <w:bCs/>
                <w:szCs w:val="20"/>
              </w:rPr>
              <w:t>Продължителност на лечението (според тежестта)</w:t>
            </w:r>
          </w:p>
        </w:tc>
      </w:tr>
      <w:tr w:rsidR="00FE5976" w14:paraId="6EB908CD" w14:textId="77777777" w:rsidTr="00FE5976">
        <w:tc>
          <w:tcPr>
            <w:tcW w:w="3192" w:type="dxa"/>
          </w:tcPr>
          <w:p w14:paraId="245487C9" w14:textId="30E57946" w:rsidR="00FE5976" w:rsidRPr="00FE5976" w:rsidRDefault="00FE5976" w:rsidP="00FE5976">
            <w:r w:rsidRPr="00FE5976">
              <w:rPr>
                <w:szCs w:val="20"/>
              </w:rPr>
              <w:t>Остър бактериален синузит</w:t>
            </w:r>
          </w:p>
        </w:tc>
        <w:tc>
          <w:tcPr>
            <w:tcW w:w="3192" w:type="dxa"/>
          </w:tcPr>
          <w:p w14:paraId="59E9F4A6" w14:textId="6E6A47D8" w:rsidR="00FE5976" w:rsidRPr="00FE5976" w:rsidRDefault="00FE5976" w:rsidP="00FE5976">
            <w:r w:rsidRPr="00FE5976">
              <w:rPr>
                <w:szCs w:val="20"/>
              </w:rPr>
              <w:t xml:space="preserve">500 </w:t>
            </w:r>
            <w:r w:rsidRPr="00FE5976">
              <w:rPr>
                <w:szCs w:val="20"/>
                <w:lang w:val="en-US"/>
              </w:rPr>
              <w:t xml:space="preserve">mg </w:t>
            </w:r>
            <w:r w:rsidRPr="00FE5976">
              <w:rPr>
                <w:szCs w:val="20"/>
              </w:rPr>
              <w:t>веднъж дневно</w:t>
            </w:r>
          </w:p>
        </w:tc>
        <w:tc>
          <w:tcPr>
            <w:tcW w:w="3192" w:type="dxa"/>
          </w:tcPr>
          <w:p w14:paraId="7F5B5AD8" w14:textId="7E532C5D" w:rsidR="00FE5976" w:rsidRPr="00FE5976" w:rsidRDefault="00FE5976" w:rsidP="00FE5976">
            <w:r w:rsidRPr="00FE5976">
              <w:rPr>
                <w:szCs w:val="20"/>
              </w:rPr>
              <w:t>10 -14 дни</w:t>
            </w:r>
          </w:p>
        </w:tc>
      </w:tr>
      <w:tr w:rsidR="00FE5976" w14:paraId="4386D3D2" w14:textId="77777777" w:rsidTr="00FE5976">
        <w:tc>
          <w:tcPr>
            <w:tcW w:w="3192" w:type="dxa"/>
          </w:tcPr>
          <w:p w14:paraId="4B9395E3" w14:textId="57D9F893" w:rsidR="00FE5976" w:rsidRPr="00FE5976" w:rsidRDefault="00FE5976" w:rsidP="00FE5976">
            <w:r w:rsidRPr="00FE5976">
              <w:rPr>
                <w:szCs w:val="20"/>
              </w:rPr>
              <w:t>Остра екзацербация на хронична обструктивна белодробна болест, включително бронхит</w:t>
            </w:r>
          </w:p>
        </w:tc>
        <w:tc>
          <w:tcPr>
            <w:tcW w:w="3192" w:type="dxa"/>
          </w:tcPr>
          <w:p w14:paraId="77E9F137" w14:textId="602204EE" w:rsidR="00FE5976" w:rsidRPr="00FE5976" w:rsidRDefault="00FE5976" w:rsidP="00FE5976">
            <w:r w:rsidRPr="00FE5976">
              <w:rPr>
                <w:szCs w:val="20"/>
              </w:rPr>
              <w:t xml:space="preserve">500 </w:t>
            </w:r>
            <w:r w:rsidRPr="00FE5976">
              <w:rPr>
                <w:szCs w:val="20"/>
                <w:lang w:val="en-US"/>
              </w:rPr>
              <w:t xml:space="preserve">mg </w:t>
            </w:r>
            <w:r w:rsidRPr="00FE5976">
              <w:rPr>
                <w:szCs w:val="20"/>
              </w:rPr>
              <w:t>веднъж дневно</w:t>
            </w:r>
          </w:p>
        </w:tc>
        <w:tc>
          <w:tcPr>
            <w:tcW w:w="3192" w:type="dxa"/>
          </w:tcPr>
          <w:p w14:paraId="64D7BD52" w14:textId="1423FD06" w:rsidR="00FE5976" w:rsidRPr="00FE5976" w:rsidRDefault="00FE5976" w:rsidP="00FE5976">
            <w:r w:rsidRPr="00FE5976">
              <w:rPr>
                <w:szCs w:val="20"/>
              </w:rPr>
              <w:t>7-10 дни</w:t>
            </w:r>
          </w:p>
        </w:tc>
      </w:tr>
      <w:tr w:rsidR="00FE5976" w14:paraId="76A6E88F" w14:textId="77777777" w:rsidTr="00FE5976">
        <w:tc>
          <w:tcPr>
            <w:tcW w:w="3192" w:type="dxa"/>
          </w:tcPr>
          <w:p w14:paraId="267901BF" w14:textId="43AE8B7F" w:rsidR="00FE5976" w:rsidRPr="00FE5976" w:rsidRDefault="00FE5976" w:rsidP="00FE5976">
            <w:r w:rsidRPr="00FE5976">
              <w:rPr>
                <w:szCs w:val="20"/>
              </w:rPr>
              <w:t>Придобита в обществото пневмония</w:t>
            </w:r>
          </w:p>
        </w:tc>
        <w:tc>
          <w:tcPr>
            <w:tcW w:w="3192" w:type="dxa"/>
          </w:tcPr>
          <w:p w14:paraId="0B44C9CB" w14:textId="1A2A6972" w:rsidR="00FE5976" w:rsidRPr="00FE5976" w:rsidRDefault="00FE5976" w:rsidP="00FE5976">
            <w:r w:rsidRPr="00FE5976">
              <w:rPr>
                <w:szCs w:val="20"/>
              </w:rPr>
              <w:t xml:space="preserve">500 </w:t>
            </w:r>
            <w:r w:rsidRPr="00FE5976">
              <w:rPr>
                <w:szCs w:val="20"/>
                <w:lang w:val="en-US"/>
              </w:rPr>
              <w:t>mg</w:t>
            </w:r>
            <w:r w:rsidRPr="00FE5976">
              <w:rPr>
                <w:szCs w:val="20"/>
                <w:lang w:val="ru-RU"/>
              </w:rPr>
              <w:t xml:space="preserve"> </w:t>
            </w:r>
            <w:r w:rsidRPr="00FE5976">
              <w:rPr>
                <w:szCs w:val="20"/>
              </w:rPr>
              <w:t>веднъж или два пъти дневно</w:t>
            </w:r>
          </w:p>
        </w:tc>
        <w:tc>
          <w:tcPr>
            <w:tcW w:w="3192" w:type="dxa"/>
          </w:tcPr>
          <w:p w14:paraId="68FE1635" w14:textId="681BF9E0" w:rsidR="00FE5976" w:rsidRPr="00FE5976" w:rsidRDefault="00FE5976" w:rsidP="00FE5976">
            <w:r w:rsidRPr="00FE5976">
              <w:rPr>
                <w:szCs w:val="20"/>
              </w:rPr>
              <w:t>7-14 дни</w:t>
            </w:r>
          </w:p>
        </w:tc>
      </w:tr>
      <w:tr w:rsidR="00FE5976" w14:paraId="44D82DEC" w14:textId="77777777" w:rsidTr="00FE5976">
        <w:tc>
          <w:tcPr>
            <w:tcW w:w="3192" w:type="dxa"/>
          </w:tcPr>
          <w:p w14:paraId="7C34B912" w14:textId="144E00D0" w:rsidR="00FE5976" w:rsidRPr="00FE5976" w:rsidRDefault="00FE5976" w:rsidP="00FE5976">
            <w:r w:rsidRPr="00FE5976">
              <w:rPr>
                <w:szCs w:val="20"/>
              </w:rPr>
              <w:t>Остър пиелонефрит</w:t>
            </w:r>
          </w:p>
        </w:tc>
        <w:tc>
          <w:tcPr>
            <w:tcW w:w="3192" w:type="dxa"/>
          </w:tcPr>
          <w:p w14:paraId="0DACE2F3" w14:textId="0F81D766" w:rsidR="00FE5976" w:rsidRPr="00FE5976" w:rsidRDefault="00FE5976" w:rsidP="00FE5976">
            <w:r w:rsidRPr="00FE5976">
              <w:rPr>
                <w:szCs w:val="20"/>
              </w:rPr>
              <w:t xml:space="preserve">500 </w:t>
            </w:r>
            <w:r w:rsidRPr="00FE5976">
              <w:rPr>
                <w:szCs w:val="20"/>
                <w:lang w:val="en-US"/>
              </w:rPr>
              <w:t xml:space="preserve">mg </w:t>
            </w:r>
            <w:r w:rsidRPr="00FE5976">
              <w:rPr>
                <w:szCs w:val="20"/>
              </w:rPr>
              <w:t>веднъж дневно</w:t>
            </w:r>
          </w:p>
        </w:tc>
        <w:tc>
          <w:tcPr>
            <w:tcW w:w="3192" w:type="dxa"/>
          </w:tcPr>
          <w:p w14:paraId="3C8B3E0C" w14:textId="03312180" w:rsidR="00FE5976" w:rsidRPr="00FE5976" w:rsidRDefault="00FE5976" w:rsidP="00FE5976">
            <w:r w:rsidRPr="00FE5976">
              <w:rPr>
                <w:szCs w:val="20"/>
              </w:rPr>
              <w:t>7 -10 дни</w:t>
            </w:r>
          </w:p>
        </w:tc>
      </w:tr>
      <w:tr w:rsidR="00FE5976" w14:paraId="4EEC42D2" w14:textId="77777777" w:rsidTr="00FE5976">
        <w:tc>
          <w:tcPr>
            <w:tcW w:w="3192" w:type="dxa"/>
          </w:tcPr>
          <w:p w14:paraId="34668F3A" w14:textId="2C126B53" w:rsidR="00FE5976" w:rsidRPr="00FE5976" w:rsidRDefault="00FE5976" w:rsidP="00FE5976">
            <w:r w:rsidRPr="00FE5976">
              <w:rPr>
                <w:szCs w:val="20"/>
              </w:rPr>
              <w:t>Усложнени инфекции на уринарния тракт</w:t>
            </w:r>
          </w:p>
        </w:tc>
        <w:tc>
          <w:tcPr>
            <w:tcW w:w="3192" w:type="dxa"/>
          </w:tcPr>
          <w:p w14:paraId="5D916B67" w14:textId="59AC1FB3" w:rsidR="00FE5976" w:rsidRPr="00FE5976" w:rsidRDefault="00FE5976" w:rsidP="00FE5976">
            <w:r w:rsidRPr="00FE5976">
              <w:rPr>
                <w:szCs w:val="20"/>
              </w:rPr>
              <w:t xml:space="preserve">500 </w:t>
            </w:r>
            <w:r w:rsidRPr="00FE5976">
              <w:rPr>
                <w:szCs w:val="20"/>
                <w:lang w:val="en-US"/>
              </w:rPr>
              <w:t xml:space="preserve">mg </w:t>
            </w:r>
            <w:r w:rsidRPr="00FE5976">
              <w:rPr>
                <w:szCs w:val="20"/>
              </w:rPr>
              <w:t>веднъж дневно</w:t>
            </w:r>
          </w:p>
        </w:tc>
        <w:tc>
          <w:tcPr>
            <w:tcW w:w="3192" w:type="dxa"/>
          </w:tcPr>
          <w:p w14:paraId="2ED22543" w14:textId="3B48F9FB" w:rsidR="00FE5976" w:rsidRPr="00FE5976" w:rsidRDefault="00FE5976" w:rsidP="00FE5976">
            <w:r w:rsidRPr="00FE5976">
              <w:rPr>
                <w:szCs w:val="20"/>
              </w:rPr>
              <w:t>7-14 дни</w:t>
            </w:r>
          </w:p>
        </w:tc>
      </w:tr>
      <w:tr w:rsidR="00FE5976" w14:paraId="5A5D3DD9" w14:textId="77777777" w:rsidTr="00FE5976">
        <w:tc>
          <w:tcPr>
            <w:tcW w:w="3192" w:type="dxa"/>
          </w:tcPr>
          <w:p w14:paraId="58CC5711" w14:textId="79AAF7DC" w:rsidR="00FE5976" w:rsidRPr="00FE5976" w:rsidRDefault="00FE5976" w:rsidP="00FE5976">
            <w:r w:rsidRPr="00FE5976">
              <w:rPr>
                <w:szCs w:val="20"/>
              </w:rPr>
              <w:t>Неусложнен цистит</w:t>
            </w:r>
          </w:p>
        </w:tc>
        <w:tc>
          <w:tcPr>
            <w:tcW w:w="3192" w:type="dxa"/>
          </w:tcPr>
          <w:p w14:paraId="32350CC8" w14:textId="2EF39F6B" w:rsidR="00FE5976" w:rsidRPr="00FE5976" w:rsidRDefault="00FE5976" w:rsidP="00FE5976">
            <w:r w:rsidRPr="00FE5976">
              <w:rPr>
                <w:szCs w:val="20"/>
              </w:rPr>
              <w:t xml:space="preserve">250 </w:t>
            </w:r>
            <w:r w:rsidRPr="00FE5976">
              <w:rPr>
                <w:szCs w:val="20"/>
                <w:lang w:val="en-US"/>
              </w:rPr>
              <w:t xml:space="preserve">mg </w:t>
            </w:r>
            <w:r w:rsidRPr="00FE5976">
              <w:rPr>
                <w:szCs w:val="20"/>
              </w:rPr>
              <w:t>веднъж дневно</w:t>
            </w:r>
          </w:p>
        </w:tc>
        <w:tc>
          <w:tcPr>
            <w:tcW w:w="3192" w:type="dxa"/>
          </w:tcPr>
          <w:p w14:paraId="383813D2" w14:textId="5337A64F" w:rsidR="00FE5976" w:rsidRPr="00FE5976" w:rsidRDefault="00FE5976" w:rsidP="00FE5976">
            <w:r w:rsidRPr="00FE5976">
              <w:rPr>
                <w:szCs w:val="20"/>
              </w:rPr>
              <w:t>3 дни</w:t>
            </w:r>
          </w:p>
        </w:tc>
      </w:tr>
      <w:tr w:rsidR="00FE5976" w14:paraId="56A139E3" w14:textId="77777777" w:rsidTr="00FE5976">
        <w:tc>
          <w:tcPr>
            <w:tcW w:w="3192" w:type="dxa"/>
          </w:tcPr>
          <w:p w14:paraId="461A9083" w14:textId="18F407C2" w:rsidR="00FE5976" w:rsidRPr="00FE5976" w:rsidRDefault="00FE5976" w:rsidP="00FE5976">
            <w:r w:rsidRPr="00FE5976">
              <w:rPr>
                <w:szCs w:val="20"/>
              </w:rPr>
              <w:t>Хроничен бактериален простатит</w:t>
            </w:r>
          </w:p>
        </w:tc>
        <w:tc>
          <w:tcPr>
            <w:tcW w:w="3192" w:type="dxa"/>
          </w:tcPr>
          <w:p w14:paraId="0426D3E6" w14:textId="64DA55E5" w:rsidR="00FE5976" w:rsidRPr="00FE5976" w:rsidRDefault="00FE5976" w:rsidP="00FE5976">
            <w:r w:rsidRPr="00FE5976">
              <w:rPr>
                <w:szCs w:val="20"/>
              </w:rPr>
              <w:t xml:space="preserve">500 </w:t>
            </w:r>
            <w:r w:rsidRPr="00FE5976">
              <w:rPr>
                <w:szCs w:val="20"/>
                <w:lang w:val="en-US"/>
              </w:rPr>
              <w:t xml:space="preserve">mg </w:t>
            </w:r>
            <w:r w:rsidRPr="00FE5976">
              <w:rPr>
                <w:szCs w:val="20"/>
              </w:rPr>
              <w:t>веднъж дневно</w:t>
            </w:r>
          </w:p>
        </w:tc>
        <w:tc>
          <w:tcPr>
            <w:tcW w:w="3192" w:type="dxa"/>
          </w:tcPr>
          <w:p w14:paraId="609BDE04" w14:textId="271E29C7" w:rsidR="00FE5976" w:rsidRPr="00FE5976" w:rsidRDefault="00FE5976" w:rsidP="00FE5976">
            <w:r w:rsidRPr="00FE5976">
              <w:rPr>
                <w:szCs w:val="20"/>
              </w:rPr>
              <w:t>28 дни</w:t>
            </w:r>
          </w:p>
        </w:tc>
      </w:tr>
      <w:tr w:rsidR="00FE5976" w14:paraId="45352E70" w14:textId="77777777" w:rsidTr="00FE5976">
        <w:tc>
          <w:tcPr>
            <w:tcW w:w="3192" w:type="dxa"/>
          </w:tcPr>
          <w:p w14:paraId="02368BAA" w14:textId="4B358D3C" w:rsidR="00FE5976" w:rsidRPr="00FE5976" w:rsidRDefault="00FE5976" w:rsidP="00FE5976">
            <w:r w:rsidRPr="00FE5976">
              <w:rPr>
                <w:szCs w:val="20"/>
              </w:rPr>
              <w:t>Усложнени инфекции на кожата и меките тъкани</w:t>
            </w:r>
          </w:p>
        </w:tc>
        <w:tc>
          <w:tcPr>
            <w:tcW w:w="3192" w:type="dxa"/>
          </w:tcPr>
          <w:p w14:paraId="0198B634" w14:textId="60781DBF" w:rsidR="00FE5976" w:rsidRPr="00FE5976" w:rsidRDefault="00FE5976" w:rsidP="00FE5976">
            <w:r w:rsidRPr="00FE5976">
              <w:rPr>
                <w:szCs w:val="20"/>
              </w:rPr>
              <w:t xml:space="preserve">500 </w:t>
            </w:r>
            <w:r w:rsidRPr="00FE5976">
              <w:rPr>
                <w:szCs w:val="20"/>
                <w:lang w:val="en-US"/>
              </w:rPr>
              <w:t>mg</w:t>
            </w:r>
            <w:r w:rsidRPr="00FE5976">
              <w:rPr>
                <w:szCs w:val="20"/>
                <w:lang w:val="ru-RU"/>
              </w:rPr>
              <w:t xml:space="preserve"> </w:t>
            </w:r>
            <w:r w:rsidRPr="00FE5976">
              <w:rPr>
                <w:szCs w:val="20"/>
              </w:rPr>
              <w:t>веднъж или два пъти дневно</w:t>
            </w:r>
          </w:p>
        </w:tc>
        <w:tc>
          <w:tcPr>
            <w:tcW w:w="3192" w:type="dxa"/>
          </w:tcPr>
          <w:p w14:paraId="5A929A45" w14:textId="7B1A1840" w:rsidR="00FE5976" w:rsidRPr="00FE5976" w:rsidRDefault="00FE5976" w:rsidP="00FE5976">
            <w:r w:rsidRPr="00FE5976">
              <w:rPr>
                <w:szCs w:val="20"/>
              </w:rPr>
              <w:t>7-14 дни</w:t>
            </w:r>
          </w:p>
        </w:tc>
      </w:tr>
      <w:tr w:rsidR="00FE5976" w14:paraId="2DDE6969" w14:textId="77777777" w:rsidTr="00FE5976">
        <w:tc>
          <w:tcPr>
            <w:tcW w:w="3192" w:type="dxa"/>
          </w:tcPr>
          <w:p w14:paraId="24436292" w14:textId="332156B9" w:rsidR="00FE5976" w:rsidRPr="00FE5976" w:rsidRDefault="00FE5976" w:rsidP="00FE5976">
            <w:r w:rsidRPr="00FE5976">
              <w:rPr>
                <w:szCs w:val="20"/>
              </w:rPr>
              <w:t>Инхалационен антракс</w:t>
            </w:r>
          </w:p>
        </w:tc>
        <w:tc>
          <w:tcPr>
            <w:tcW w:w="3192" w:type="dxa"/>
          </w:tcPr>
          <w:p w14:paraId="48293363" w14:textId="2108BA45" w:rsidR="00FE5976" w:rsidRPr="00FE5976" w:rsidRDefault="00FE5976" w:rsidP="00FE5976">
            <w:r w:rsidRPr="00FE5976">
              <w:rPr>
                <w:szCs w:val="20"/>
              </w:rPr>
              <w:t xml:space="preserve">500 </w:t>
            </w:r>
            <w:r w:rsidRPr="00FE5976">
              <w:rPr>
                <w:szCs w:val="20"/>
                <w:lang w:val="en-US"/>
              </w:rPr>
              <w:t xml:space="preserve">mg </w:t>
            </w:r>
            <w:r w:rsidRPr="00FE5976">
              <w:rPr>
                <w:szCs w:val="20"/>
              </w:rPr>
              <w:t>веднъж дневно</w:t>
            </w:r>
          </w:p>
        </w:tc>
        <w:tc>
          <w:tcPr>
            <w:tcW w:w="3192" w:type="dxa"/>
          </w:tcPr>
          <w:p w14:paraId="6FA52737" w14:textId="66DEB258" w:rsidR="00FE5976" w:rsidRPr="00FE5976" w:rsidRDefault="00FE5976" w:rsidP="00FE5976">
            <w:r w:rsidRPr="00FE5976">
              <w:rPr>
                <w:szCs w:val="20"/>
              </w:rPr>
              <w:t>8 седмици</w:t>
            </w:r>
          </w:p>
        </w:tc>
      </w:tr>
    </w:tbl>
    <w:p w14:paraId="1CD25FDB" w14:textId="086CCC8A" w:rsidR="00FE5976" w:rsidRDefault="00FE5976" w:rsidP="00FE5976"/>
    <w:p w14:paraId="7FCBD99D" w14:textId="77777777"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u w:val="single"/>
          <w:lang w:eastAsia="bg-BG"/>
        </w:rPr>
        <w:t>Специални популации</w:t>
      </w:r>
    </w:p>
    <w:p w14:paraId="4EBB37CA" w14:textId="77777777" w:rsidR="00FE5976" w:rsidRPr="00FE5976" w:rsidRDefault="00FE5976" w:rsidP="00FE5976">
      <w:pPr>
        <w:rPr>
          <w:rFonts w:eastAsia="Times New Roman" w:cs="Arial"/>
          <w:i/>
          <w:iCs/>
          <w:color w:val="000000"/>
          <w:szCs w:val="20"/>
          <w:lang w:eastAsia="bg-BG"/>
        </w:rPr>
      </w:pPr>
    </w:p>
    <w:p w14:paraId="50EF7331" w14:textId="267D9A87" w:rsidR="00FE5976" w:rsidRDefault="00FE5976" w:rsidP="00FE5976">
      <w:pPr>
        <w:rPr>
          <w:rFonts w:eastAsia="Times New Roman" w:cs="Arial"/>
          <w:i/>
          <w:iCs/>
          <w:color w:val="000000"/>
          <w:szCs w:val="20"/>
          <w:lang w:val="ru-RU"/>
        </w:rPr>
      </w:pPr>
      <w:r w:rsidRPr="00FE5976">
        <w:rPr>
          <w:rFonts w:eastAsia="Times New Roman" w:cs="Arial"/>
          <w:i/>
          <w:iCs/>
          <w:color w:val="000000"/>
          <w:szCs w:val="20"/>
          <w:lang w:eastAsia="bg-BG"/>
        </w:rPr>
        <w:t xml:space="preserve">Нарушена бъбречна функция (креатининов клирънс ≤50 </w:t>
      </w:r>
      <w:r w:rsidRPr="00FE5976">
        <w:rPr>
          <w:rFonts w:eastAsia="Times New Roman" w:cs="Arial"/>
          <w:i/>
          <w:iCs/>
          <w:color w:val="000000"/>
          <w:szCs w:val="20"/>
          <w:lang w:val="en-US"/>
        </w:rPr>
        <w:t>ml</w:t>
      </w:r>
      <w:r w:rsidRPr="00FE5976">
        <w:rPr>
          <w:rFonts w:eastAsia="Times New Roman" w:cs="Arial"/>
          <w:i/>
          <w:iCs/>
          <w:color w:val="000000"/>
          <w:szCs w:val="20"/>
          <w:lang w:val="ru-RU"/>
        </w:rPr>
        <w:t>/</w:t>
      </w:r>
      <w:r w:rsidRPr="00FE5976">
        <w:rPr>
          <w:rFonts w:eastAsia="Times New Roman" w:cs="Arial"/>
          <w:i/>
          <w:iCs/>
          <w:color w:val="000000"/>
          <w:szCs w:val="20"/>
          <w:lang w:val="en-US"/>
        </w:rPr>
        <w:t>min</w:t>
      </w:r>
      <w:r w:rsidRPr="00FE5976">
        <w:rPr>
          <w:rFonts w:eastAsia="Times New Roman" w:cs="Arial"/>
          <w:i/>
          <w:iCs/>
          <w:color w:val="000000"/>
          <w:szCs w:val="20"/>
          <w:lang w:val="ru-RU"/>
        </w:rPr>
        <w:t>)</w:t>
      </w:r>
    </w:p>
    <w:tbl>
      <w:tblPr>
        <w:tblStyle w:val="TableGrid"/>
        <w:tblW w:w="0" w:type="auto"/>
        <w:tblLook w:val="04A0" w:firstRow="1" w:lastRow="0" w:firstColumn="1" w:lastColumn="0" w:noHBand="0" w:noVBand="1"/>
      </w:tblPr>
      <w:tblGrid>
        <w:gridCol w:w="2351"/>
        <w:gridCol w:w="2333"/>
        <w:gridCol w:w="2333"/>
        <w:gridCol w:w="2333"/>
      </w:tblGrid>
      <w:tr w:rsidR="00FE5976" w14:paraId="6E24B01E" w14:textId="77777777" w:rsidTr="00B67921">
        <w:tc>
          <w:tcPr>
            <w:tcW w:w="2394" w:type="dxa"/>
          </w:tcPr>
          <w:p w14:paraId="0569FAA4" w14:textId="77777777" w:rsidR="00FE5976" w:rsidRPr="00FE5976" w:rsidRDefault="00FE5976" w:rsidP="00FE5976">
            <w:pPr>
              <w:rPr>
                <w:rFonts w:cs="Arial"/>
                <w:lang w:val="ru-RU"/>
              </w:rPr>
            </w:pPr>
          </w:p>
        </w:tc>
        <w:tc>
          <w:tcPr>
            <w:tcW w:w="2394" w:type="dxa"/>
            <w:vAlign w:val="center"/>
          </w:tcPr>
          <w:p w14:paraId="4DC109FE" w14:textId="2EFAEDD9" w:rsidR="00FE5976" w:rsidRPr="00FE5976" w:rsidRDefault="00FE5976" w:rsidP="00FE5976">
            <w:pPr>
              <w:rPr>
                <w:rFonts w:cs="Arial"/>
                <w:lang w:val="ru-RU"/>
              </w:rPr>
            </w:pPr>
            <w:r w:rsidRPr="00FE5976">
              <w:rPr>
                <w:b/>
                <w:bCs/>
                <w:szCs w:val="20"/>
              </w:rPr>
              <w:t>Дозова схема</w:t>
            </w:r>
          </w:p>
        </w:tc>
        <w:tc>
          <w:tcPr>
            <w:tcW w:w="2394" w:type="dxa"/>
          </w:tcPr>
          <w:p w14:paraId="01A939C2" w14:textId="77777777" w:rsidR="00FE5976" w:rsidRPr="00FE5976" w:rsidRDefault="00FE5976" w:rsidP="00FE5976">
            <w:pPr>
              <w:rPr>
                <w:rFonts w:cs="Arial"/>
                <w:lang w:val="ru-RU"/>
              </w:rPr>
            </w:pPr>
          </w:p>
        </w:tc>
        <w:tc>
          <w:tcPr>
            <w:tcW w:w="2394" w:type="dxa"/>
          </w:tcPr>
          <w:p w14:paraId="54196AD8" w14:textId="77777777" w:rsidR="00FE5976" w:rsidRPr="00FE5976" w:rsidRDefault="00FE5976" w:rsidP="00FE5976">
            <w:pPr>
              <w:rPr>
                <w:rFonts w:cs="Arial"/>
                <w:lang w:val="ru-RU"/>
              </w:rPr>
            </w:pPr>
          </w:p>
        </w:tc>
      </w:tr>
      <w:tr w:rsidR="00FE5976" w14:paraId="01F9F087" w14:textId="77777777" w:rsidTr="00FE5976">
        <w:tc>
          <w:tcPr>
            <w:tcW w:w="2394" w:type="dxa"/>
          </w:tcPr>
          <w:p w14:paraId="1085576D" w14:textId="77777777" w:rsidR="00FE5976" w:rsidRPr="00FE5976" w:rsidRDefault="00FE5976" w:rsidP="00FE5976">
            <w:pPr>
              <w:rPr>
                <w:rFonts w:cs="Arial"/>
                <w:lang w:val="ru-RU"/>
              </w:rPr>
            </w:pPr>
          </w:p>
        </w:tc>
        <w:tc>
          <w:tcPr>
            <w:tcW w:w="2394" w:type="dxa"/>
          </w:tcPr>
          <w:p w14:paraId="6677B30F" w14:textId="6B8368D5" w:rsidR="00FE5976" w:rsidRPr="00FE5976" w:rsidRDefault="00FE5976" w:rsidP="00FE5976">
            <w:pPr>
              <w:rPr>
                <w:rFonts w:cs="Arial"/>
                <w:lang w:val="ru-RU"/>
              </w:rPr>
            </w:pPr>
            <w:r w:rsidRPr="00FE5976">
              <w:rPr>
                <w:szCs w:val="20"/>
                <w:lang w:val="en-US"/>
              </w:rPr>
              <w:t>250mg/24h</w:t>
            </w:r>
          </w:p>
        </w:tc>
        <w:tc>
          <w:tcPr>
            <w:tcW w:w="2394" w:type="dxa"/>
          </w:tcPr>
          <w:p w14:paraId="191D24B6" w14:textId="2B59ACC4" w:rsidR="00FE5976" w:rsidRPr="00FE5976" w:rsidRDefault="00FE5976" w:rsidP="00FE5976">
            <w:pPr>
              <w:rPr>
                <w:rFonts w:cs="Arial"/>
                <w:lang w:val="ru-RU"/>
              </w:rPr>
            </w:pPr>
            <w:r w:rsidRPr="00FE5976">
              <w:rPr>
                <w:szCs w:val="20"/>
                <w:lang w:val="en-US"/>
              </w:rPr>
              <w:t>500mg/24h</w:t>
            </w:r>
          </w:p>
        </w:tc>
        <w:tc>
          <w:tcPr>
            <w:tcW w:w="2394" w:type="dxa"/>
          </w:tcPr>
          <w:p w14:paraId="0E1620EE" w14:textId="2A459892" w:rsidR="00FE5976" w:rsidRPr="00FE5976" w:rsidRDefault="00FE5976" w:rsidP="00FE5976">
            <w:pPr>
              <w:rPr>
                <w:rFonts w:cs="Arial"/>
                <w:lang w:val="ru-RU"/>
              </w:rPr>
            </w:pPr>
            <w:r w:rsidRPr="00FE5976">
              <w:rPr>
                <w:szCs w:val="20"/>
              </w:rPr>
              <w:t xml:space="preserve">500 </w:t>
            </w:r>
            <w:r w:rsidRPr="00FE5976">
              <w:rPr>
                <w:szCs w:val="20"/>
                <w:lang w:val="en-US"/>
              </w:rPr>
              <w:t>mg/12 h</w:t>
            </w:r>
          </w:p>
        </w:tc>
      </w:tr>
      <w:tr w:rsidR="00FE5976" w14:paraId="5EA1CA35" w14:textId="77777777" w:rsidTr="00B67921">
        <w:tc>
          <w:tcPr>
            <w:tcW w:w="2394" w:type="dxa"/>
            <w:vAlign w:val="bottom"/>
          </w:tcPr>
          <w:p w14:paraId="6C8D2902" w14:textId="4AFAE9D0" w:rsidR="00FE5976" w:rsidRPr="00FE5976" w:rsidRDefault="00FE5976" w:rsidP="00FE5976">
            <w:pPr>
              <w:rPr>
                <w:rFonts w:cs="Arial"/>
                <w:lang w:val="ru-RU"/>
              </w:rPr>
            </w:pPr>
            <w:r w:rsidRPr="00FE5976">
              <w:rPr>
                <w:szCs w:val="20"/>
              </w:rPr>
              <w:t>Креатининов клирънс</w:t>
            </w:r>
          </w:p>
        </w:tc>
        <w:tc>
          <w:tcPr>
            <w:tcW w:w="2394" w:type="dxa"/>
          </w:tcPr>
          <w:p w14:paraId="7E6B13E2" w14:textId="16E8A310" w:rsidR="00FE5976" w:rsidRPr="00FE5976" w:rsidRDefault="00FE5976" w:rsidP="00FE5976">
            <w:pPr>
              <w:rPr>
                <w:rFonts w:cs="Arial"/>
                <w:lang w:val="ru-RU"/>
              </w:rPr>
            </w:pPr>
            <w:r w:rsidRPr="00FE5976">
              <w:rPr>
                <w:szCs w:val="20"/>
              </w:rPr>
              <w:t xml:space="preserve">Първа доза: 250 </w:t>
            </w:r>
            <w:r w:rsidRPr="00FE5976">
              <w:rPr>
                <w:szCs w:val="20"/>
                <w:lang w:val="en-US"/>
              </w:rPr>
              <w:t>mg</w:t>
            </w:r>
          </w:p>
        </w:tc>
        <w:tc>
          <w:tcPr>
            <w:tcW w:w="2394" w:type="dxa"/>
          </w:tcPr>
          <w:p w14:paraId="6CE6B411" w14:textId="75C44FC3" w:rsidR="00FE5976" w:rsidRPr="00FE5976" w:rsidRDefault="00FE5976" w:rsidP="00FE5976">
            <w:pPr>
              <w:rPr>
                <w:rFonts w:cs="Arial"/>
                <w:lang w:val="ru-RU"/>
              </w:rPr>
            </w:pPr>
            <w:r w:rsidRPr="00FE5976">
              <w:rPr>
                <w:szCs w:val="20"/>
              </w:rPr>
              <w:t xml:space="preserve">Първа доза: 500 </w:t>
            </w:r>
            <w:r w:rsidRPr="00FE5976">
              <w:rPr>
                <w:szCs w:val="20"/>
                <w:lang w:val="en-US"/>
              </w:rPr>
              <w:t>mg</w:t>
            </w:r>
          </w:p>
        </w:tc>
        <w:tc>
          <w:tcPr>
            <w:tcW w:w="2394" w:type="dxa"/>
            <w:vAlign w:val="bottom"/>
          </w:tcPr>
          <w:p w14:paraId="0734D977" w14:textId="77777777" w:rsidR="00FE5976" w:rsidRPr="00FE5976" w:rsidRDefault="00FE5976" w:rsidP="00FE5976">
            <w:r w:rsidRPr="00FE5976">
              <w:rPr>
                <w:szCs w:val="20"/>
              </w:rPr>
              <w:t>Първа доза:</w:t>
            </w:r>
          </w:p>
          <w:p w14:paraId="6996F0D3" w14:textId="118753D2" w:rsidR="00FE5976" w:rsidRPr="00FE5976" w:rsidRDefault="00FE5976" w:rsidP="00FE5976">
            <w:pPr>
              <w:rPr>
                <w:rFonts w:cs="Arial"/>
                <w:lang w:val="ru-RU"/>
              </w:rPr>
            </w:pPr>
            <w:r w:rsidRPr="00FE5976">
              <w:rPr>
                <w:szCs w:val="20"/>
              </w:rPr>
              <w:t xml:space="preserve">500 </w:t>
            </w:r>
            <w:r w:rsidRPr="00FE5976">
              <w:rPr>
                <w:szCs w:val="20"/>
                <w:lang w:val="en-US"/>
              </w:rPr>
              <w:t>mg</w:t>
            </w:r>
          </w:p>
        </w:tc>
      </w:tr>
      <w:tr w:rsidR="00FE5976" w14:paraId="66705F50" w14:textId="77777777" w:rsidTr="00FE5976">
        <w:tc>
          <w:tcPr>
            <w:tcW w:w="2394" w:type="dxa"/>
          </w:tcPr>
          <w:p w14:paraId="7FD7413F" w14:textId="4E5E7032" w:rsidR="00FE5976" w:rsidRPr="00FE5976" w:rsidRDefault="00FE5976" w:rsidP="00FE5976">
            <w:pPr>
              <w:rPr>
                <w:rFonts w:cs="Arial"/>
                <w:lang w:val="ru-RU"/>
              </w:rPr>
            </w:pPr>
            <w:r w:rsidRPr="00FE5976">
              <w:rPr>
                <w:szCs w:val="20"/>
              </w:rPr>
              <w:lastRenderedPageBreak/>
              <w:t xml:space="preserve">50-20 </w:t>
            </w:r>
            <w:r w:rsidRPr="00FE5976">
              <w:rPr>
                <w:szCs w:val="20"/>
                <w:lang w:val="en-US"/>
              </w:rPr>
              <w:t>ml/min</w:t>
            </w:r>
          </w:p>
        </w:tc>
        <w:tc>
          <w:tcPr>
            <w:tcW w:w="2394" w:type="dxa"/>
          </w:tcPr>
          <w:p w14:paraId="7FEF0099" w14:textId="180305D5" w:rsidR="00FE5976" w:rsidRPr="00FE5976" w:rsidRDefault="00FE5976" w:rsidP="00FE5976">
            <w:pPr>
              <w:rPr>
                <w:rFonts w:cs="Arial"/>
                <w:lang w:val="ru-RU"/>
              </w:rPr>
            </w:pPr>
            <w:r w:rsidRPr="00FE5976">
              <w:rPr>
                <w:szCs w:val="20"/>
              </w:rPr>
              <w:t xml:space="preserve">След това: 125 </w:t>
            </w:r>
            <w:r w:rsidRPr="00FE5976">
              <w:rPr>
                <w:szCs w:val="20"/>
                <w:lang w:val="en-US"/>
              </w:rPr>
              <w:t>mg/24 h</w:t>
            </w:r>
          </w:p>
        </w:tc>
        <w:tc>
          <w:tcPr>
            <w:tcW w:w="2394" w:type="dxa"/>
          </w:tcPr>
          <w:p w14:paraId="0EF6F162" w14:textId="470383C9" w:rsidR="00FE5976" w:rsidRPr="00FE5976" w:rsidRDefault="00FE5976" w:rsidP="00FE5976">
            <w:pPr>
              <w:rPr>
                <w:rFonts w:cs="Arial"/>
                <w:lang w:val="ru-RU"/>
              </w:rPr>
            </w:pPr>
            <w:r w:rsidRPr="00FE5976">
              <w:rPr>
                <w:szCs w:val="20"/>
              </w:rPr>
              <w:t xml:space="preserve">След това: 250 </w:t>
            </w:r>
            <w:r w:rsidRPr="00FE5976">
              <w:rPr>
                <w:szCs w:val="20"/>
                <w:lang w:val="en-US"/>
              </w:rPr>
              <w:t>mg/24 h</w:t>
            </w:r>
          </w:p>
        </w:tc>
        <w:tc>
          <w:tcPr>
            <w:tcW w:w="2394" w:type="dxa"/>
          </w:tcPr>
          <w:p w14:paraId="6CE393D4" w14:textId="77777777" w:rsidR="00FE5976" w:rsidRPr="00FE5976" w:rsidRDefault="00FE5976" w:rsidP="00FE5976">
            <w:r w:rsidRPr="00FE5976">
              <w:rPr>
                <w:szCs w:val="20"/>
              </w:rPr>
              <w:t>След това:</w:t>
            </w:r>
          </w:p>
          <w:p w14:paraId="3297038F" w14:textId="71AB15BD" w:rsidR="00FE5976" w:rsidRPr="00FE5976" w:rsidRDefault="00FE5976" w:rsidP="00FE5976">
            <w:pPr>
              <w:rPr>
                <w:rFonts w:cs="Arial"/>
                <w:lang w:val="ru-RU"/>
              </w:rPr>
            </w:pPr>
            <w:r w:rsidRPr="00FE5976">
              <w:rPr>
                <w:szCs w:val="20"/>
                <w:lang w:val="en-US"/>
              </w:rPr>
              <w:t>250mg/12h</w:t>
            </w:r>
          </w:p>
        </w:tc>
      </w:tr>
      <w:tr w:rsidR="00FE5976" w14:paraId="6D2BAA6E" w14:textId="77777777" w:rsidTr="00FE5976">
        <w:tc>
          <w:tcPr>
            <w:tcW w:w="2394" w:type="dxa"/>
          </w:tcPr>
          <w:p w14:paraId="00055C27" w14:textId="4B6DD8E3" w:rsidR="00FE5976" w:rsidRPr="00FE5976" w:rsidRDefault="00FE5976" w:rsidP="00FE5976">
            <w:pPr>
              <w:rPr>
                <w:rFonts w:cs="Arial"/>
                <w:lang w:val="ru-RU"/>
              </w:rPr>
            </w:pPr>
            <w:r w:rsidRPr="00FE5976">
              <w:rPr>
                <w:szCs w:val="20"/>
              </w:rPr>
              <w:t xml:space="preserve">19-10 </w:t>
            </w:r>
            <w:r w:rsidRPr="00FE5976">
              <w:rPr>
                <w:szCs w:val="20"/>
                <w:lang w:val="en-US"/>
              </w:rPr>
              <w:t>ml/min</w:t>
            </w:r>
          </w:p>
        </w:tc>
        <w:tc>
          <w:tcPr>
            <w:tcW w:w="2394" w:type="dxa"/>
          </w:tcPr>
          <w:p w14:paraId="68AD00B5" w14:textId="50266597" w:rsidR="00FE5976" w:rsidRPr="00FE5976" w:rsidRDefault="00FE5976" w:rsidP="00FE5976">
            <w:pPr>
              <w:rPr>
                <w:rFonts w:cs="Arial"/>
                <w:lang w:val="ru-RU"/>
              </w:rPr>
            </w:pPr>
            <w:r w:rsidRPr="00FE5976">
              <w:rPr>
                <w:szCs w:val="20"/>
              </w:rPr>
              <w:t xml:space="preserve">След това: </w:t>
            </w:r>
            <w:r w:rsidRPr="00FE5976">
              <w:rPr>
                <w:szCs w:val="20"/>
                <w:lang w:val="en-US"/>
              </w:rPr>
              <w:t>125mg/48h</w:t>
            </w:r>
          </w:p>
        </w:tc>
        <w:tc>
          <w:tcPr>
            <w:tcW w:w="2394" w:type="dxa"/>
          </w:tcPr>
          <w:p w14:paraId="500116F7" w14:textId="6C14259F" w:rsidR="00FE5976" w:rsidRPr="00FE5976" w:rsidRDefault="00FE5976" w:rsidP="00FE5976">
            <w:pPr>
              <w:rPr>
                <w:rFonts w:cs="Arial"/>
                <w:lang w:val="ru-RU"/>
              </w:rPr>
            </w:pPr>
            <w:r w:rsidRPr="00FE5976">
              <w:rPr>
                <w:szCs w:val="20"/>
              </w:rPr>
              <w:t xml:space="preserve">След това: 125 </w:t>
            </w:r>
            <w:r w:rsidRPr="00FE5976">
              <w:rPr>
                <w:szCs w:val="20"/>
                <w:lang w:val="en-US"/>
              </w:rPr>
              <w:t>mg/24 h</w:t>
            </w:r>
          </w:p>
        </w:tc>
        <w:tc>
          <w:tcPr>
            <w:tcW w:w="2394" w:type="dxa"/>
          </w:tcPr>
          <w:p w14:paraId="54DAE90E" w14:textId="5BF447CF" w:rsidR="00FE5976" w:rsidRPr="00FE5976" w:rsidRDefault="00FE5976" w:rsidP="00FE5976">
            <w:pPr>
              <w:rPr>
                <w:rFonts w:cs="Arial"/>
                <w:lang w:val="ru-RU"/>
              </w:rPr>
            </w:pPr>
            <w:r w:rsidRPr="00FE5976">
              <w:rPr>
                <w:szCs w:val="20"/>
              </w:rPr>
              <w:t xml:space="preserve">След това: 125 </w:t>
            </w:r>
            <w:r w:rsidRPr="00FE5976">
              <w:rPr>
                <w:szCs w:val="20"/>
                <w:lang w:val="en-US"/>
              </w:rPr>
              <w:t>mg/12h</w:t>
            </w:r>
          </w:p>
        </w:tc>
      </w:tr>
      <w:tr w:rsidR="00FE5976" w14:paraId="40568582" w14:textId="77777777" w:rsidTr="00FE5976">
        <w:tc>
          <w:tcPr>
            <w:tcW w:w="2394" w:type="dxa"/>
          </w:tcPr>
          <w:p w14:paraId="3F3630D4" w14:textId="4573C490" w:rsidR="00FE5976" w:rsidRPr="00FE5976" w:rsidRDefault="00FE5976" w:rsidP="00FE5976">
            <w:pPr>
              <w:rPr>
                <w:rFonts w:cs="Arial"/>
                <w:lang w:val="ru-RU"/>
              </w:rPr>
            </w:pPr>
            <w:r w:rsidRPr="00FE5976">
              <w:rPr>
                <w:szCs w:val="20"/>
              </w:rPr>
              <w:t xml:space="preserve">&lt;10 </w:t>
            </w:r>
            <w:r w:rsidRPr="00FE5976">
              <w:rPr>
                <w:szCs w:val="20"/>
                <w:lang w:val="en-US"/>
              </w:rPr>
              <w:t>ml</w:t>
            </w:r>
            <w:r w:rsidRPr="00FE5976">
              <w:rPr>
                <w:szCs w:val="20"/>
                <w:lang w:val="ru-RU"/>
              </w:rPr>
              <w:t>/</w:t>
            </w:r>
            <w:r w:rsidRPr="00FE5976">
              <w:rPr>
                <w:szCs w:val="20"/>
                <w:lang w:val="en-US"/>
              </w:rPr>
              <w:t>min</w:t>
            </w:r>
            <w:r w:rsidRPr="00FE5976">
              <w:rPr>
                <w:szCs w:val="20"/>
                <w:lang w:val="ru-RU"/>
              </w:rPr>
              <w:t xml:space="preserve"> </w:t>
            </w:r>
            <w:r w:rsidRPr="00FE5976">
              <w:rPr>
                <w:szCs w:val="20"/>
              </w:rPr>
              <w:t>(включително хемодиализа и НАПД)</w:t>
            </w:r>
            <w:r w:rsidRPr="00FE5976">
              <w:rPr>
                <w:szCs w:val="20"/>
                <w:vertAlign w:val="superscript"/>
              </w:rPr>
              <w:t>1</w:t>
            </w:r>
          </w:p>
        </w:tc>
        <w:tc>
          <w:tcPr>
            <w:tcW w:w="2394" w:type="dxa"/>
          </w:tcPr>
          <w:p w14:paraId="1CFBFA07" w14:textId="0548A587" w:rsidR="00FE5976" w:rsidRPr="00FE5976" w:rsidRDefault="00FE5976" w:rsidP="00FE5976">
            <w:pPr>
              <w:rPr>
                <w:rFonts w:cs="Arial"/>
                <w:lang w:val="ru-RU"/>
              </w:rPr>
            </w:pPr>
            <w:r w:rsidRPr="00FE5976">
              <w:rPr>
                <w:szCs w:val="20"/>
              </w:rPr>
              <w:t xml:space="preserve">След това: </w:t>
            </w:r>
            <w:r w:rsidRPr="00FE5976">
              <w:rPr>
                <w:szCs w:val="20"/>
                <w:lang w:val="en-US"/>
              </w:rPr>
              <w:t>125mg/48h</w:t>
            </w:r>
          </w:p>
        </w:tc>
        <w:tc>
          <w:tcPr>
            <w:tcW w:w="2394" w:type="dxa"/>
          </w:tcPr>
          <w:p w14:paraId="09B39D30" w14:textId="4F02DE05" w:rsidR="00FE5976" w:rsidRPr="00FE5976" w:rsidRDefault="00FE5976" w:rsidP="00FE5976">
            <w:pPr>
              <w:rPr>
                <w:rFonts w:cs="Arial"/>
                <w:lang w:val="ru-RU"/>
              </w:rPr>
            </w:pPr>
            <w:r w:rsidRPr="00FE5976">
              <w:rPr>
                <w:szCs w:val="20"/>
              </w:rPr>
              <w:t xml:space="preserve">След това: 125 </w:t>
            </w:r>
            <w:r w:rsidRPr="00FE5976">
              <w:rPr>
                <w:szCs w:val="20"/>
                <w:lang w:val="en-US"/>
              </w:rPr>
              <w:t>mg/24 h</w:t>
            </w:r>
          </w:p>
        </w:tc>
        <w:tc>
          <w:tcPr>
            <w:tcW w:w="2394" w:type="dxa"/>
          </w:tcPr>
          <w:p w14:paraId="4AA1E838" w14:textId="3C0C4593" w:rsidR="00FE5976" w:rsidRPr="00FE5976" w:rsidRDefault="00FE5976" w:rsidP="00FE5976">
            <w:pPr>
              <w:rPr>
                <w:rFonts w:cs="Arial"/>
                <w:lang w:val="ru-RU"/>
              </w:rPr>
            </w:pPr>
            <w:r w:rsidRPr="00FE5976">
              <w:rPr>
                <w:szCs w:val="20"/>
              </w:rPr>
              <w:t xml:space="preserve">След това: 125 </w:t>
            </w:r>
            <w:r w:rsidRPr="00FE5976">
              <w:rPr>
                <w:szCs w:val="20"/>
                <w:lang w:val="en-US"/>
              </w:rPr>
              <w:t>mg/24 h</w:t>
            </w:r>
          </w:p>
        </w:tc>
      </w:tr>
    </w:tbl>
    <w:p w14:paraId="6B47D38F" w14:textId="4E07D7EE" w:rsidR="00FE5976" w:rsidRPr="00FE5976" w:rsidRDefault="00FE5976" w:rsidP="00FE5976">
      <w:pPr>
        <w:spacing w:line="240" w:lineRule="auto"/>
        <w:rPr>
          <w:rFonts w:eastAsia="Times New Roman" w:cs="Arial"/>
        </w:rPr>
      </w:pPr>
      <w:r w:rsidRPr="00FE5976">
        <w:rPr>
          <w:rFonts w:cs="Arial"/>
          <w:vertAlign w:val="superscript"/>
          <w:lang w:val="ru-RU"/>
        </w:rPr>
        <w:t>1</w:t>
      </w:r>
      <w:r w:rsidRPr="00FE5976">
        <w:rPr>
          <w:rFonts w:eastAsia="Times New Roman" w:cs="Arial"/>
          <w:color w:val="000000"/>
          <w:lang w:eastAsia="bg-BG"/>
        </w:rPr>
        <w:t>Не се налагат допълнителни дози след хемодиализа или непрекъсната амбулаторна перитонеална диализа (НАПД).</w:t>
      </w:r>
    </w:p>
    <w:p w14:paraId="248C91A8" w14:textId="77777777" w:rsidR="00FE5976" w:rsidRPr="00FE5976" w:rsidRDefault="00FE5976" w:rsidP="00FE5976">
      <w:pPr>
        <w:spacing w:line="240" w:lineRule="auto"/>
        <w:rPr>
          <w:rFonts w:eastAsia="Times New Roman" w:cs="Arial"/>
          <w:i/>
          <w:iCs/>
          <w:color w:val="000000"/>
          <w:u w:val="single"/>
          <w:lang w:eastAsia="bg-BG"/>
        </w:rPr>
      </w:pPr>
    </w:p>
    <w:p w14:paraId="3D8C0DBC" w14:textId="1DF3944A" w:rsidR="00FE5976" w:rsidRPr="00FE5976" w:rsidRDefault="00FE5976" w:rsidP="00FE5976">
      <w:pPr>
        <w:spacing w:line="240" w:lineRule="auto"/>
        <w:rPr>
          <w:rFonts w:eastAsia="Times New Roman" w:cs="Arial"/>
        </w:rPr>
      </w:pPr>
      <w:r w:rsidRPr="00FE5976">
        <w:rPr>
          <w:rFonts w:eastAsia="Times New Roman" w:cs="Arial"/>
          <w:i/>
          <w:iCs/>
          <w:color w:val="000000"/>
          <w:u w:val="single"/>
          <w:lang w:eastAsia="bg-BG"/>
        </w:rPr>
        <w:t>Нарушена чернодробна функция</w:t>
      </w:r>
    </w:p>
    <w:p w14:paraId="40F7B7A5"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Не се налага корекция на дозата, тъй като левофлоксацин не се метаболизира в значима степен от черния дроб и се екскретира основно чрез бъбреците.</w:t>
      </w:r>
    </w:p>
    <w:p w14:paraId="4408724C" w14:textId="77777777" w:rsidR="00FE5976" w:rsidRPr="00FE5976" w:rsidRDefault="00FE5976" w:rsidP="00FE5976">
      <w:pPr>
        <w:spacing w:line="240" w:lineRule="auto"/>
        <w:rPr>
          <w:rFonts w:eastAsia="Times New Roman" w:cs="Arial"/>
          <w:i/>
          <w:iCs/>
          <w:color w:val="000000"/>
          <w:u w:val="single"/>
          <w:lang w:eastAsia="bg-BG"/>
        </w:rPr>
      </w:pPr>
    </w:p>
    <w:p w14:paraId="7A4D0051" w14:textId="3FBCAB67" w:rsidR="00FE5976" w:rsidRPr="00FE5976" w:rsidRDefault="00FE5976" w:rsidP="00FE5976">
      <w:pPr>
        <w:spacing w:line="240" w:lineRule="auto"/>
        <w:rPr>
          <w:rFonts w:eastAsia="Times New Roman" w:cs="Arial"/>
        </w:rPr>
      </w:pPr>
      <w:r w:rsidRPr="00FE5976">
        <w:rPr>
          <w:rFonts w:eastAsia="Times New Roman" w:cs="Arial"/>
          <w:i/>
          <w:iCs/>
          <w:color w:val="000000"/>
          <w:u w:val="single"/>
          <w:lang w:eastAsia="bg-BG"/>
        </w:rPr>
        <w:t>Старческа възраст</w:t>
      </w:r>
    </w:p>
    <w:p w14:paraId="77121949"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Не се налага корекция на дозата при пациенти в старческа възраст, освен ако не съществуват данни за нарушена бъбречна функция (вж. точка 4.4 „Тендинит и руптури на сухожилията” и „Удължаване на </w:t>
      </w:r>
      <w:r w:rsidRPr="00FE5976">
        <w:rPr>
          <w:rFonts w:eastAsia="Times New Roman" w:cs="Arial"/>
          <w:color w:val="000000"/>
          <w:lang w:val="en-US"/>
        </w:rPr>
        <w:t>QT</w:t>
      </w:r>
      <w:r w:rsidRPr="00FE5976">
        <w:rPr>
          <w:rFonts w:eastAsia="Times New Roman" w:cs="Arial"/>
          <w:color w:val="000000"/>
          <w:lang w:val="ru-RU"/>
        </w:rPr>
        <w:t xml:space="preserve"> </w:t>
      </w:r>
      <w:r w:rsidRPr="00FE5976">
        <w:rPr>
          <w:rFonts w:eastAsia="Times New Roman" w:cs="Arial"/>
          <w:color w:val="000000"/>
          <w:lang w:eastAsia="bg-BG"/>
        </w:rPr>
        <w:t>интервала").</w:t>
      </w:r>
    </w:p>
    <w:p w14:paraId="4180900B" w14:textId="77777777" w:rsidR="00FE5976" w:rsidRPr="00FE5976" w:rsidRDefault="00FE5976" w:rsidP="00FE5976">
      <w:pPr>
        <w:spacing w:line="240" w:lineRule="auto"/>
        <w:rPr>
          <w:rFonts w:eastAsia="Times New Roman" w:cs="Arial"/>
          <w:i/>
          <w:iCs/>
          <w:color w:val="000000"/>
          <w:u w:val="single"/>
          <w:lang w:eastAsia="bg-BG"/>
        </w:rPr>
      </w:pPr>
    </w:p>
    <w:p w14:paraId="0C60FB16" w14:textId="1315AC52" w:rsidR="00FE5976" w:rsidRPr="00FE5976" w:rsidRDefault="00FE5976" w:rsidP="00FE5976">
      <w:pPr>
        <w:spacing w:line="240" w:lineRule="auto"/>
        <w:rPr>
          <w:rFonts w:eastAsia="Times New Roman" w:cs="Arial"/>
        </w:rPr>
      </w:pPr>
      <w:r w:rsidRPr="00FE5976">
        <w:rPr>
          <w:rFonts w:eastAsia="Times New Roman" w:cs="Arial"/>
          <w:i/>
          <w:iCs/>
          <w:color w:val="000000"/>
          <w:u w:val="single"/>
          <w:lang w:eastAsia="bg-BG"/>
        </w:rPr>
        <w:t>Педиатрична популация</w:t>
      </w:r>
    </w:p>
    <w:p w14:paraId="7F8D2E51"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Вивекс 500 </w:t>
      </w:r>
      <w:r w:rsidRPr="00FE5976">
        <w:rPr>
          <w:rFonts w:eastAsia="Times New Roman" w:cs="Arial"/>
          <w:color w:val="000000"/>
          <w:lang w:val="en-US"/>
        </w:rPr>
        <w:t>mg</w:t>
      </w:r>
      <w:r w:rsidRPr="00FE5976">
        <w:rPr>
          <w:rFonts w:eastAsia="Times New Roman" w:cs="Arial"/>
          <w:color w:val="000000"/>
          <w:lang w:val="ru-RU"/>
        </w:rPr>
        <w:t xml:space="preserve"> </w:t>
      </w:r>
      <w:r w:rsidRPr="00FE5976">
        <w:rPr>
          <w:rFonts w:eastAsia="Times New Roman" w:cs="Arial"/>
          <w:color w:val="000000"/>
          <w:lang w:eastAsia="bg-BG"/>
        </w:rPr>
        <w:t>е противопоказан при деца и юноши (вж. точка 4.3).</w:t>
      </w:r>
    </w:p>
    <w:p w14:paraId="5E94B606" w14:textId="77777777" w:rsidR="00FE5976" w:rsidRPr="00FE5976" w:rsidRDefault="00FE5976" w:rsidP="00FE5976">
      <w:pPr>
        <w:spacing w:line="240" w:lineRule="auto"/>
        <w:rPr>
          <w:rFonts w:eastAsia="Times New Roman" w:cs="Arial"/>
          <w:color w:val="000000"/>
          <w:u w:val="single"/>
          <w:lang w:eastAsia="bg-BG"/>
        </w:rPr>
      </w:pPr>
    </w:p>
    <w:p w14:paraId="6636C386" w14:textId="7C22D00E" w:rsidR="00FE5976" w:rsidRPr="00FE5976" w:rsidRDefault="00FE5976" w:rsidP="00FE5976">
      <w:pPr>
        <w:pStyle w:val="Heading3"/>
        <w:rPr>
          <w:rFonts w:eastAsia="Times New Roman"/>
          <w:u w:val="single"/>
        </w:rPr>
      </w:pPr>
      <w:r w:rsidRPr="00FE5976">
        <w:rPr>
          <w:rFonts w:eastAsia="Times New Roman"/>
          <w:u w:val="single"/>
          <w:lang w:eastAsia="bg-BG"/>
        </w:rPr>
        <w:t>Начин на приложение</w:t>
      </w:r>
    </w:p>
    <w:p w14:paraId="5DF7CD4F"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Вивекс 500 </w:t>
      </w:r>
      <w:r w:rsidRPr="00FE5976">
        <w:rPr>
          <w:rFonts w:eastAsia="Times New Roman" w:cs="Arial"/>
          <w:color w:val="000000"/>
          <w:lang w:val="en-US"/>
        </w:rPr>
        <w:t>mg</w:t>
      </w:r>
      <w:r w:rsidRPr="00FE5976">
        <w:rPr>
          <w:rFonts w:eastAsia="Times New Roman" w:cs="Arial"/>
          <w:color w:val="000000"/>
          <w:lang w:val="ru-RU"/>
        </w:rPr>
        <w:t xml:space="preserve"> </w:t>
      </w:r>
      <w:r w:rsidRPr="00FE5976">
        <w:rPr>
          <w:rFonts w:eastAsia="Times New Roman" w:cs="Arial"/>
          <w:color w:val="000000"/>
          <w:lang w:eastAsia="bg-BG"/>
        </w:rPr>
        <w:t xml:space="preserve">таблетки трябва да се поглъщат, без да се разтрошават и с достатъчно количество течност. Могат да се разделят по делителната черта за адаптиране на дозата. Таблетките могат да се приемат по време на хранене или между храненията. Вивекс 500 </w:t>
      </w:r>
      <w:r w:rsidRPr="00FE5976">
        <w:rPr>
          <w:rFonts w:eastAsia="Times New Roman" w:cs="Arial"/>
          <w:color w:val="000000"/>
          <w:lang w:val="en-US"/>
        </w:rPr>
        <w:t>mg</w:t>
      </w:r>
      <w:r w:rsidRPr="00FE5976">
        <w:rPr>
          <w:rFonts w:eastAsia="Times New Roman" w:cs="Arial"/>
          <w:color w:val="000000"/>
          <w:lang w:val="ru-RU"/>
        </w:rPr>
        <w:t xml:space="preserve"> </w:t>
      </w:r>
      <w:r w:rsidRPr="00FE5976">
        <w:rPr>
          <w:rFonts w:eastAsia="Times New Roman" w:cs="Arial"/>
          <w:color w:val="000000"/>
          <w:lang w:eastAsia="bg-BG"/>
        </w:rPr>
        <w:t>таблетки трябва да се приемат поне два часа преди или след приложението на железни соли, цинкови соли, магнезий- или алуминий- съдьржащи антиациди или диданозин (само комбинации на диданозин с алуминий- или магнезий- съдьржащи буфериращи средства), и сукралфат, тъй като може да настъпи намаляване на абсорбцията му (вж. точка 4.5).</w:t>
      </w:r>
    </w:p>
    <w:p w14:paraId="54843D24" w14:textId="77777777" w:rsidR="00FE5976" w:rsidRPr="00FE5976" w:rsidRDefault="00FE5976" w:rsidP="00FE5976">
      <w:pPr>
        <w:rPr>
          <w:rFonts w:cs="Arial"/>
          <w:sz w:val="24"/>
        </w:rPr>
      </w:pPr>
    </w:p>
    <w:p w14:paraId="28C984E8" w14:textId="72480667" w:rsidR="008134C8" w:rsidRDefault="002C50EE" w:rsidP="004A448E">
      <w:pPr>
        <w:pStyle w:val="Heading2"/>
      </w:pPr>
      <w:r>
        <w:t>4.3. Противопоказания</w:t>
      </w:r>
    </w:p>
    <w:p w14:paraId="502A9F0B" w14:textId="0E244C21" w:rsidR="00FE5976" w:rsidRDefault="00FE5976" w:rsidP="00FE5976"/>
    <w:p w14:paraId="1F8E8DEC" w14:textId="77777777" w:rsidR="00FE5976" w:rsidRPr="00FE5976" w:rsidRDefault="00FE5976" w:rsidP="00FE5976">
      <w:pPr>
        <w:rPr>
          <w:sz w:val="24"/>
          <w:szCs w:val="24"/>
        </w:rPr>
      </w:pPr>
      <w:r w:rsidRPr="00FE5976">
        <w:rPr>
          <w:lang w:eastAsia="bg-BG"/>
        </w:rPr>
        <w:t>Левофлоксацин таблетки не трябва да се прилагат:</w:t>
      </w:r>
    </w:p>
    <w:p w14:paraId="3AE7620A" w14:textId="77777777" w:rsidR="00FE5976" w:rsidRPr="00FE5976" w:rsidRDefault="00FE5976" w:rsidP="00FE5976">
      <w:pPr>
        <w:pStyle w:val="ListParagraph"/>
        <w:numPr>
          <w:ilvl w:val="0"/>
          <w:numId w:val="37"/>
        </w:numPr>
        <w:rPr>
          <w:lang w:eastAsia="bg-BG"/>
        </w:rPr>
      </w:pPr>
      <w:r w:rsidRPr="00FE5976">
        <w:rPr>
          <w:lang w:eastAsia="bg-BG"/>
        </w:rPr>
        <w:t>при пациенти, свръхчувствителни към левофлоксацин или други хинолони, или някое от помощните вещества, изброени в точка 6.1</w:t>
      </w:r>
    </w:p>
    <w:p w14:paraId="59A8E22A" w14:textId="77777777" w:rsidR="00FE5976" w:rsidRPr="00FE5976" w:rsidRDefault="00FE5976" w:rsidP="00FE5976">
      <w:pPr>
        <w:pStyle w:val="ListParagraph"/>
        <w:numPr>
          <w:ilvl w:val="0"/>
          <w:numId w:val="37"/>
        </w:numPr>
        <w:rPr>
          <w:lang w:eastAsia="bg-BG"/>
        </w:rPr>
      </w:pPr>
      <w:r w:rsidRPr="00FE5976">
        <w:rPr>
          <w:lang w:eastAsia="bg-BG"/>
        </w:rPr>
        <w:t>при пациенти с епилепсия</w:t>
      </w:r>
    </w:p>
    <w:p w14:paraId="3EF93881" w14:textId="77777777" w:rsidR="00FE5976" w:rsidRPr="00FE5976" w:rsidRDefault="00FE5976" w:rsidP="00FE5976">
      <w:pPr>
        <w:pStyle w:val="ListParagraph"/>
        <w:numPr>
          <w:ilvl w:val="0"/>
          <w:numId w:val="37"/>
        </w:numPr>
        <w:rPr>
          <w:lang w:eastAsia="bg-BG"/>
        </w:rPr>
      </w:pPr>
      <w:r w:rsidRPr="00FE5976">
        <w:rPr>
          <w:lang w:eastAsia="bg-BG"/>
        </w:rPr>
        <w:t>при пациенти с анамнеза за нарушения на сухожилията, свързани с приложение на флуорохинолони</w:t>
      </w:r>
    </w:p>
    <w:p w14:paraId="79F97F22" w14:textId="77777777" w:rsidR="00FE5976" w:rsidRPr="00FE5976" w:rsidRDefault="00FE5976" w:rsidP="00FE5976">
      <w:pPr>
        <w:pStyle w:val="ListParagraph"/>
        <w:numPr>
          <w:ilvl w:val="0"/>
          <w:numId w:val="37"/>
        </w:numPr>
        <w:rPr>
          <w:lang w:eastAsia="bg-BG"/>
        </w:rPr>
      </w:pPr>
      <w:r w:rsidRPr="00FE5976">
        <w:rPr>
          <w:lang w:eastAsia="bg-BG"/>
        </w:rPr>
        <w:t>при деца или юноши,</w:t>
      </w:r>
    </w:p>
    <w:p w14:paraId="738F261F" w14:textId="77777777" w:rsidR="00FE5976" w:rsidRPr="00FE5976" w:rsidRDefault="00FE5976" w:rsidP="00FE5976">
      <w:pPr>
        <w:pStyle w:val="ListParagraph"/>
        <w:numPr>
          <w:ilvl w:val="0"/>
          <w:numId w:val="37"/>
        </w:numPr>
        <w:rPr>
          <w:lang w:eastAsia="bg-BG"/>
        </w:rPr>
      </w:pPr>
      <w:r w:rsidRPr="00FE5976">
        <w:rPr>
          <w:lang w:eastAsia="bg-BG"/>
        </w:rPr>
        <w:t>по време на бременност</w:t>
      </w:r>
    </w:p>
    <w:p w14:paraId="21894D61" w14:textId="5D8F05D3" w:rsidR="00FE5976" w:rsidRDefault="00FE5976" w:rsidP="00FE5976">
      <w:pPr>
        <w:pStyle w:val="ListParagraph"/>
        <w:numPr>
          <w:ilvl w:val="0"/>
          <w:numId w:val="37"/>
        </w:numPr>
      </w:pPr>
      <w:r w:rsidRPr="00FE5976">
        <w:rPr>
          <w:lang w:eastAsia="bg-BG"/>
        </w:rPr>
        <w:t>при кърмачки.</w:t>
      </w:r>
    </w:p>
    <w:p w14:paraId="52DF4D29" w14:textId="77777777" w:rsidR="00FE5976" w:rsidRPr="00FE5976" w:rsidRDefault="00FE5976" w:rsidP="00FE5976"/>
    <w:p w14:paraId="212F509C" w14:textId="3F04B13B" w:rsidR="004F498A" w:rsidRDefault="002C50EE" w:rsidP="004A448E">
      <w:pPr>
        <w:pStyle w:val="Heading2"/>
      </w:pPr>
      <w:r>
        <w:t>4.4. Специални предупреждения и предпазни мерки при употреба</w:t>
      </w:r>
    </w:p>
    <w:p w14:paraId="3210053E" w14:textId="2BA5E913" w:rsidR="00FE5976" w:rsidRDefault="00FE5976" w:rsidP="00FE5976"/>
    <w:p w14:paraId="33D5B7A1"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lastRenderedPageBreak/>
        <w:t>Употребата на левофлоксацин трябва да се избягва при пациенти, които са имали сериозни нежелани реакции в миналото при употреба на продукти, съдържащи хинолони или флуорохинолони (вж. точка 4.8). Лечението на тези пациенти с левофлоксацин трябва да се започва само при липса на алтернативни възможности за лечение и след внимателна оценка на съотношението полза/риск (вж. също точка 4.3).</w:t>
      </w:r>
    </w:p>
    <w:p w14:paraId="4B988E33" w14:textId="77777777" w:rsidR="00FE5976" w:rsidRPr="00FE5976" w:rsidRDefault="00FE5976" w:rsidP="00FE5976">
      <w:pPr>
        <w:spacing w:line="240" w:lineRule="auto"/>
        <w:rPr>
          <w:rFonts w:eastAsia="Times New Roman" w:cs="Arial"/>
          <w:color w:val="000000"/>
          <w:lang w:eastAsia="bg-BG"/>
        </w:rPr>
      </w:pPr>
    </w:p>
    <w:p w14:paraId="28F2691E" w14:textId="11C19C5E"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Много вероятно е метицилин-резистентни </w:t>
      </w:r>
      <w:r w:rsidRPr="00FE5976">
        <w:rPr>
          <w:rFonts w:eastAsia="Times New Roman" w:cs="Arial"/>
          <w:i/>
          <w:iCs/>
          <w:color w:val="000000"/>
          <w:lang w:val="en-US"/>
        </w:rPr>
        <w:t>S</w:t>
      </w:r>
      <w:r w:rsidRPr="00FE5976">
        <w:rPr>
          <w:rFonts w:eastAsia="Times New Roman" w:cs="Arial"/>
          <w:i/>
          <w:iCs/>
          <w:color w:val="000000"/>
          <w:lang w:val="ru-RU"/>
        </w:rPr>
        <w:t xml:space="preserve">. </w:t>
      </w:r>
      <w:proofErr w:type="gramStart"/>
      <w:r w:rsidRPr="00FE5976">
        <w:rPr>
          <w:rFonts w:eastAsia="Times New Roman" w:cs="Arial"/>
          <w:i/>
          <w:iCs/>
          <w:color w:val="000000"/>
          <w:lang w:val="en-US"/>
        </w:rPr>
        <w:t>aureus</w:t>
      </w:r>
      <w:proofErr w:type="gramEnd"/>
      <w:r w:rsidRPr="00FE5976">
        <w:rPr>
          <w:rFonts w:eastAsia="Times New Roman" w:cs="Arial"/>
          <w:color w:val="000000"/>
          <w:lang w:val="ru-RU"/>
        </w:rPr>
        <w:t xml:space="preserve"> </w:t>
      </w:r>
      <w:r w:rsidRPr="00FE5976">
        <w:rPr>
          <w:rFonts w:eastAsia="Times New Roman" w:cs="Arial"/>
          <w:color w:val="000000"/>
          <w:lang w:eastAsia="bg-BG"/>
        </w:rPr>
        <w:t xml:space="preserve">да имат ко-резистентност към флуорохинолони, включително левофлоксацин. Поради това левофлоксацин не се препоръчва за лечението на известни или подозирани инфекции с </w:t>
      </w:r>
      <w:r w:rsidRPr="00FE5976">
        <w:rPr>
          <w:rFonts w:eastAsia="Times New Roman" w:cs="Arial"/>
          <w:color w:val="000000"/>
          <w:lang w:val="en-US"/>
        </w:rPr>
        <w:t>MRSA</w:t>
      </w:r>
      <w:r w:rsidRPr="00FE5976">
        <w:rPr>
          <w:rFonts w:eastAsia="Times New Roman" w:cs="Arial"/>
          <w:color w:val="000000"/>
          <w:lang w:val="ru-RU"/>
        </w:rPr>
        <w:t xml:space="preserve">, </w:t>
      </w:r>
      <w:r w:rsidRPr="00FE5976">
        <w:rPr>
          <w:rFonts w:eastAsia="Times New Roman" w:cs="Arial"/>
          <w:color w:val="000000"/>
          <w:lang w:eastAsia="bg-BG"/>
        </w:rPr>
        <w:t xml:space="preserve">освен ако лабораторни резултати потвърдят чувствителност на микроорганизма спрямо левофлоксацин (и препоръчваните обикновено антибактериални средства за лечение на инфекции с </w:t>
      </w:r>
      <w:r w:rsidRPr="00FE5976">
        <w:rPr>
          <w:rFonts w:eastAsia="Times New Roman" w:cs="Arial"/>
          <w:color w:val="000000"/>
          <w:lang w:val="en-US"/>
        </w:rPr>
        <w:t>MRSA</w:t>
      </w:r>
      <w:r w:rsidRPr="00FE5976">
        <w:rPr>
          <w:rFonts w:eastAsia="Times New Roman" w:cs="Arial"/>
          <w:color w:val="000000"/>
          <w:lang w:val="ru-RU"/>
        </w:rPr>
        <w:t xml:space="preserve"> </w:t>
      </w:r>
      <w:r w:rsidRPr="00FE5976">
        <w:rPr>
          <w:rFonts w:eastAsia="Times New Roman" w:cs="Arial"/>
          <w:color w:val="000000"/>
          <w:lang w:eastAsia="bg-BG"/>
        </w:rPr>
        <w:t>са счетени за неподходящи).</w:t>
      </w:r>
    </w:p>
    <w:p w14:paraId="76B75E44"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Левофлоксацин може да се прилага за лечение на остър бактериален синузит и обостряне на хроничен бронхит, когато тези инфекции са правилно диагностицирани.</w:t>
      </w:r>
    </w:p>
    <w:p w14:paraId="73A843A5"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Резистентността спрямо флуорохинолони на </w:t>
      </w:r>
      <w:r w:rsidRPr="00FE5976">
        <w:rPr>
          <w:rFonts w:eastAsia="Times New Roman" w:cs="Arial"/>
          <w:i/>
          <w:iCs/>
          <w:color w:val="000000"/>
          <w:lang w:eastAsia="bg-BG"/>
        </w:rPr>
        <w:t xml:space="preserve">Е. </w:t>
      </w:r>
      <w:proofErr w:type="gramStart"/>
      <w:r w:rsidRPr="00FE5976">
        <w:rPr>
          <w:rFonts w:eastAsia="Times New Roman" w:cs="Arial"/>
          <w:i/>
          <w:iCs/>
          <w:color w:val="000000"/>
          <w:lang w:val="en-US"/>
        </w:rPr>
        <w:t>coli</w:t>
      </w:r>
      <w:proofErr w:type="gramEnd"/>
      <w:r w:rsidRPr="00FE5976">
        <w:rPr>
          <w:rFonts w:eastAsia="Times New Roman" w:cs="Arial"/>
          <w:i/>
          <w:iCs/>
          <w:color w:val="000000"/>
          <w:lang w:val="ru-RU"/>
        </w:rPr>
        <w:t xml:space="preserve"> </w:t>
      </w:r>
      <w:r w:rsidRPr="00FE5976">
        <w:rPr>
          <w:rFonts w:eastAsia="Times New Roman" w:cs="Arial"/>
          <w:i/>
          <w:iCs/>
          <w:color w:val="000000"/>
          <w:lang w:eastAsia="bg-BG"/>
        </w:rPr>
        <w:t>-</w:t>
      </w:r>
      <w:r w:rsidRPr="00FE5976">
        <w:rPr>
          <w:rFonts w:eastAsia="Times New Roman" w:cs="Arial"/>
          <w:color w:val="000000"/>
          <w:lang w:eastAsia="bg-BG"/>
        </w:rPr>
        <w:t xml:space="preserve"> най-честия патоген, свързан с инфекции на уринарния тракт - варира в Европейския съюз. Предписващите трябва да вземат предвид локално преобладаващата резистентност спрямо флуорохинолони при </w:t>
      </w:r>
      <w:r w:rsidRPr="00FE5976">
        <w:rPr>
          <w:rFonts w:eastAsia="Times New Roman" w:cs="Arial"/>
          <w:i/>
          <w:iCs/>
          <w:color w:val="000000"/>
          <w:lang w:eastAsia="bg-BG"/>
        </w:rPr>
        <w:t xml:space="preserve">Е. </w:t>
      </w:r>
      <w:proofErr w:type="gramStart"/>
      <w:r w:rsidRPr="00FE5976">
        <w:rPr>
          <w:rFonts w:eastAsia="Times New Roman" w:cs="Arial"/>
          <w:i/>
          <w:iCs/>
          <w:color w:val="000000"/>
          <w:lang w:val="en-US"/>
        </w:rPr>
        <w:t>coli</w:t>
      </w:r>
      <w:proofErr w:type="gramEnd"/>
      <w:r w:rsidRPr="00FE5976">
        <w:rPr>
          <w:rFonts w:eastAsia="Times New Roman" w:cs="Arial"/>
          <w:i/>
          <w:iCs/>
          <w:color w:val="000000"/>
          <w:lang w:val="ru-RU"/>
        </w:rPr>
        <w:t>.</w:t>
      </w:r>
    </w:p>
    <w:p w14:paraId="19381558"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Инхалационен антракс: Приложението при хора се основава на данни за чувствителността </w:t>
      </w:r>
      <w:r w:rsidRPr="00FE5976">
        <w:rPr>
          <w:rFonts w:eastAsia="Times New Roman" w:cs="Arial"/>
          <w:color w:val="000000"/>
          <w:lang w:val="en-US"/>
        </w:rPr>
        <w:t>in</w:t>
      </w:r>
      <w:r w:rsidRPr="00FE5976">
        <w:rPr>
          <w:rFonts w:eastAsia="Times New Roman" w:cs="Arial"/>
          <w:color w:val="000000"/>
          <w:lang w:val="ru-RU"/>
        </w:rPr>
        <w:t xml:space="preserve"> </w:t>
      </w:r>
      <w:r w:rsidRPr="00FE5976">
        <w:rPr>
          <w:rFonts w:eastAsia="Times New Roman" w:cs="Arial"/>
          <w:color w:val="000000"/>
          <w:lang w:val="en-US"/>
        </w:rPr>
        <w:t>vitro</w:t>
      </w:r>
      <w:r w:rsidRPr="00FE5976">
        <w:rPr>
          <w:rFonts w:eastAsia="Times New Roman" w:cs="Arial"/>
          <w:color w:val="000000"/>
          <w:lang w:val="ru-RU"/>
        </w:rPr>
        <w:t xml:space="preserve"> </w:t>
      </w:r>
      <w:r w:rsidRPr="00FE5976">
        <w:rPr>
          <w:rFonts w:eastAsia="Times New Roman" w:cs="Arial"/>
          <w:color w:val="000000"/>
          <w:lang w:eastAsia="bg-BG"/>
        </w:rPr>
        <w:t xml:space="preserve">на </w:t>
      </w:r>
      <w:r w:rsidRPr="00FE5976">
        <w:rPr>
          <w:rFonts w:eastAsia="Times New Roman" w:cs="Arial"/>
          <w:color w:val="000000"/>
          <w:lang w:val="en-US"/>
        </w:rPr>
        <w:t>Bacillus</w:t>
      </w:r>
      <w:r w:rsidRPr="00FE5976">
        <w:rPr>
          <w:rFonts w:eastAsia="Times New Roman" w:cs="Arial"/>
          <w:color w:val="000000"/>
          <w:lang w:val="ru-RU"/>
        </w:rPr>
        <w:t xml:space="preserve"> </w:t>
      </w:r>
      <w:proofErr w:type="spellStart"/>
      <w:r w:rsidRPr="00FE5976">
        <w:rPr>
          <w:rFonts w:eastAsia="Times New Roman" w:cs="Arial"/>
          <w:color w:val="000000"/>
          <w:lang w:val="en-US"/>
        </w:rPr>
        <w:t>anthracis</w:t>
      </w:r>
      <w:proofErr w:type="spellEnd"/>
      <w:r w:rsidRPr="00FE5976">
        <w:rPr>
          <w:rFonts w:eastAsia="Times New Roman" w:cs="Arial"/>
          <w:color w:val="000000"/>
          <w:lang w:val="ru-RU"/>
        </w:rPr>
        <w:t xml:space="preserve"> </w:t>
      </w:r>
      <w:r w:rsidRPr="00FE5976">
        <w:rPr>
          <w:rFonts w:eastAsia="Times New Roman" w:cs="Arial"/>
          <w:color w:val="000000"/>
          <w:lang w:eastAsia="bg-BG"/>
        </w:rPr>
        <w:t>и на експериментални данни при животни, заедно с ограничени данни при хора. Лекуващите лекари трябва да се реферират към националните и/или международни консенсусни документи относно лечението на антракс.</w:t>
      </w:r>
    </w:p>
    <w:p w14:paraId="6BF7B3A2" w14:textId="77777777" w:rsidR="00FE5976" w:rsidRPr="00FE5976" w:rsidRDefault="00FE5976" w:rsidP="00FE5976">
      <w:pPr>
        <w:spacing w:line="240" w:lineRule="auto"/>
        <w:rPr>
          <w:rFonts w:eastAsia="Times New Roman" w:cs="Arial"/>
          <w:i/>
          <w:iCs/>
          <w:color w:val="000000"/>
          <w:lang w:eastAsia="bg-BG"/>
        </w:rPr>
      </w:pPr>
    </w:p>
    <w:p w14:paraId="179782F3" w14:textId="36942261"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Тендинит и разкъсване на сухожилие</w:t>
      </w:r>
    </w:p>
    <w:p w14:paraId="2A875DAD"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Тендинит и разкъсване на сухожилие (по-специално ахилесово сухожилие, но без да се ограничава само до него), понякога двустранно, може да се получи още в рамките на 48 часа от започване на лечението с хинолони и флуорохинолони като има съобщения за такива, развили се дори до няколко месеца след прекратяване на лечението. Рискът от тендинит и разкъсване на сухожилие се повишава при по- възрастни пациенти, пациенти с бъбречно увреждане, пациенти с трансплантиран солиден орган, пациенти, приемащи дневни дози левофлоксацин от 1000 </w:t>
      </w:r>
      <w:r w:rsidRPr="00FE5976">
        <w:rPr>
          <w:rFonts w:eastAsia="Times New Roman" w:cs="Arial"/>
          <w:color w:val="000000"/>
          <w:lang w:val="en-US"/>
        </w:rPr>
        <w:t>mg</w:t>
      </w:r>
      <w:r w:rsidRPr="00FE5976">
        <w:rPr>
          <w:rFonts w:eastAsia="Times New Roman" w:cs="Arial"/>
          <w:color w:val="000000"/>
          <w:lang w:val="ru-RU"/>
        </w:rPr>
        <w:t xml:space="preserve"> </w:t>
      </w:r>
      <w:r w:rsidRPr="00FE5976">
        <w:rPr>
          <w:rFonts w:eastAsia="Times New Roman" w:cs="Arial"/>
          <w:color w:val="000000"/>
          <w:lang w:eastAsia="bg-BG"/>
        </w:rPr>
        <w:t>и такива, лекувани съпътстващо с кортикостероиди. По тази причина съпътстващата употреба на кортикостероиди трябва да се избягва.</w:t>
      </w:r>
    </w:p>
    <w:p w14:paraId="3BFEB788" w14:textId="77777777" w:rsidR="00FE5976" w:rsidRPr="00FE5976" w:rsidRDefault="00FE5976" w:rsidP="00FE5976">
      <w:pPr>
        <w:spacing w:line="240" w:lineRule="auto"/>
        <w:rPr>
          <w:rFonts w:eastAsia="Times New Roman" w:cs="Arial"/>
          <w:color w:val="000000"/>
          <w:lang w:eastAsia="bg-BG"/>
        </w:rPr>
      </w:pPr>
    </w:p>
    <w:p w14:paraId="26216E92" w14:textId="25A81372" w:rsidR="00FE5976" w:rsidRPr="00FE5976" w:rsidRDefault="00FE5976" w:rsidP="00FE5976">
      <w:pPr>
        <w:spacing w:line="240" w:lineRule="auto"/>
        <w:rPr>
          <w:rFonts w:eastAsia="Times New Roman" w:cs="Arial"/>
        </w:rPr>
      </w:pPr>
      <w:r w:rsidRPr="00FE5976">
        <w:rPr>
          <w:rFonts w:eastAsia="Times New Roman" w:cs="Arial"/>
          <w:color w:val="000000"/>
          <w:lang w:eastAsia="bg-BG"/>
        </w:rPr>
        <w:t>При първия признак на тендинит (напр. болезнено подуване, възпаление) лечението с левофлоксацин трябва да се прекрати и да се обмисли алтернативно лечение. Засегнатият(те) крайник(ци) трябва да бъде(ат) лекуван(и) по подходящ начин (напр. обездвижване). Не трябва да се използват кортикостероиди, ако се появят признаци на тендинопатия.</w:t>
      </w:r>
    </w:p>
    <w:p w14:paraId="3133A75B" w14:textId="77777777" w:rsidR="00FE5976" w:rsidRPr="00FE5976" w:rsidRDefault="00FE5976" w:rsidP="00FE5976">
      <w:pPr>
        <w:spacing w:line="240" w:lineRule="auto"/>
        <w:rPr>
          <w:rFonts w:eastAsia="Times New Roman" w:cs="Arial"/>
          <w:i/>
          <w:iCs/>
          <w:color w:val="000000"/>
          <w:lang w:eastAsia="bg-BG"/>
        </w:rPr>
      </w:pPr>
    </w:p>
    <w:p w14:paraId="6B9B9DC5" w14:textId="18B34A3C"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 xml:space="preserve">Заболявания свързани с </w:t>
      </w:r>
      <w:r w:rsidRPr="00FE5976">
        <w:rPr>
          <w:rFonts w:eastAsia="Times New Roman" w:cs="Arial"/>
          <w:i/>
          <w:iCs/>
          <w:color w:val="000000"/>
          <w:lang w:val="en-US"/>
        </w:rPr>
        <w:t>Clostridium</w:t>
      </w:r>
      <w:r w:rsidRPr="00FE5976">
        <w:rPr>
          <w:rFonts w:eastAsia="Times New Roman" w:cs="Arial"/>
          <w:i/>
          <w:iCs/>
          <w:color w:val="000000"/>
        </w:rPr>
        <w:t xml:space="preserve"> </w:t>
      </w:r>
      <w:r w:rsidRPr="00FE5976">
        <w:rPr>
          <w:rFonts w:eastAsia="Times New Roman" w:cs="Arial"/>
          <w:i/>
          <w:iCs/>
          <w:color w:val="000000"/>
          <w:lang w:val="en-US"/>
        </w:rPr>
        <w:t>difficile</w:t>
      </w:r>
    </w:p>
    <w:p w14:paraId="4C007A63"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Диария, особено ако е тежка, продължителна и/или кървава, по време на или след лечение с левофлоксацин (включително няколко седмици след лечението), може да бъде симптоматична за заболяване, свързано с </w:t>
      </w:r>
      <w:r w:rsidRPr="00FE5976">
        <w:rPr>
          <w:rFonts w:eastAsia="Times New Roman" w:cs="Arial"/>
          <w:color w:val="000000"/>
          <w:lang w:val="en-US"/>
        </w:rPr>
        <w:t>Clostridium</w:t>
      </w:r>
      <w:r w:rsidRPr="00FE5976">
        <w:rPr>
          <w:rFonts w:eastAsia="Times New Roman" w:cs="Arial"/>
          <w:color w:val="000000"/>
          <w:lang w:val="ru-RU"/>
        </w:rPr>
        <w:t xml:space="preserve"> </w:t>
      </w:r>
      <w:r w:rsidRPr="00FE5976">
        <w:rPr>
          <w:rFonts w:eastAsia="Times New Roman" w:cs="Arial"/>
          <w:color w:val="000000"/>
          <w:lang w:val="en-US"/>
        </w:rPr>
        <w:t>difficile</w:t>
      </w:r>
      <w:r w:rsidRPr="00FE5976">
        <w:rPr>
          <w:rFonts w:eastAsia="Times New Roman" w:cs="Arial"/>
          <w:color w:val="000000"/>
          <w:lang w:val="ru-RU"/>
        </w:rPr>
        <w:t xml:space="preserve"> (</w:t>
      </w:r>
      <w:r w:rsidRPr="00FE5976">
        <w:rPr>
          <w:rFonts w:eastAsia="Times New Roman" w:cs="Arial"/>
          <w:color w:val="000000"/>
          <w:lang w:val="en-US"/>
        </w:rPr>
        <w:t>CDAD</w:t>
      </w:r>
      <w:r w:rsidRPr="00FE5976">
        <w:rPr>
          <w:rFonts w:eastAsia="Times New Roman" w:cs="Arial"/>
          <w:color w:val="000000"/>
          <w:lang w:val="ru-RU"/>
        </w:rPr>
        <w:t xml:space="preserve">). </w:t>
      </w:r>
      <w:r w:rsidRPr="00FE5976">
        <w:rPr>
          <w:rFonts w:eastAsia="Times New Roman" w:cs="Arial"/>
          <w:color w:val="000000"/>
          <w:lang w:val="en-US"/>
        </w:rPr>
        <w:t>CDAD</w:t>
      </w:r>
      <w:r w:rsidRPr="00FE5976">
        <w:rPr>
          <w:rFonts w:eastAsia="Times New Roman" w:cs="Arial"/>
          <w:color w:val="000000"/>
          <w:lang w:val="ru-RU"/>
        </w:rPr>
        <w:t xml:space="preserve"> </w:t>
      </w:r>
      <w:r w:rsidRPr="00FE5976">
        <w:rPr>
          <w:rFonts w:eastAsia="Times New Roman" w:cs="Arial"/>
          <w:color w:val="000000"/>
          <w:lang w:eastAsia="bg-BG"/>
        </w:rPr>
        <w:t xml:space="preserve">може да варира по тежест- от леко до животозастрашаващо, най-тежката форма на което е псевдомембранозен колит (вж. точка 4.8). Ето защо е важно да се вземе предвид тази диагноза при пациенти, които развиват тежка диария по време на или след лечение с левофлоксацин. Ако има съмнение или се потвърди </w:t>
      </w:r>
      <w:r w:rsidRPr="00FE5976">
        <w:rPr>
          <w:rFonts w:eastAsia="Times New Roman" w:cs="Arial"/>
          <w:color w:val="000000"/>
          <w:lang w:val="en-US"/>
        </w:rPr>
        <w:t>CDAD</w:t>
      </w:r>
      <w:r w:rsidRPr="00FE5976">
        <w:rPr>
          <w:rFonts w:eastAsia="Times New Roman" w:cs="Arial"/>
          <w:color w:val="000000"/>
          <w:lang w:val="ru-RU"/>
        </w:rPr>
        <w:t xml:space="preserve">, </w:t>
      </w:r>
      <w:r w:rsidRPr="00FE5976">
        <w:rPr>
          <w:rFonts w:eastAsia="Times New Roman" w:cs="Arial"/>
          <w:color w:val="000000"/>
          <w:lang w:eastAsia="bg-BG"/>
        </w:rPr>
        <w:t>левофлоксацин трябва да се спре незабавно и веднага да се започне подходящо лечение.</w:t>
      </w:r>
    </w:p>
    <w:p w14:paraId="4964107D"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lastRenderedPageBreak/>
        <w:t>Лекарствени продукти, подтискащи перисталтиката са противопоказани при тази клинична ситуация.</w:t>
      </w:r>
    </w:p>
    <w:p w14:paraId="17D22BBD" w14:textId="77777777" w:rsidR="00FE5976" w:rsidRPr="00FE5976" w:rsidRDefault="00FE5976" w:rsidP="00FE5976">
      <w:pPr>
        <w:spacing w:line="240" w:lineRule="auto"/>
        <w:rPr>
          <w:rFonts w:eastAsia="Times New Roman" w:cs="Arial"/>
          <w:i/>
          <w:iCs/>
          <w:color w:val="000000"/>
          <w:lang w:eastAsia="bg-BG"/>
        </w:rPr>
      </w:pPr>
    </w:p>
    <w:p w14:paraId="1ED9742A" w14:textId="35D3C24F"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Пациенти предразположени към припадъци</w:t>
      </w:r>
    </w:p>
    <w:p w14:paraId="35614F69" w14:textId="77777777" w:rsidR="00FE5976" w:rsidRPr="00FE5976" w:rsidRDefault="00FE5976" w:rsidP="00FE5976">
      <w:pPr>
        <w:rPr>
          <w:rFonts w:eastAsia="Times New Roman" w:cs="Arial"/>
        </w:rPr>
      </w:pPr>
      <w:r w:rsidRPr="00FE5976">
        <w:rPr>
          <w:rFonts w:eastAsia="Times New Roman" w:cs="Arial"/>
          <w:color w:val="000000"/>
          <w:lang w:eastAsia="bg-BG"/>
        </w:rPr>
        <w:t>Хинолоните могат да снижат прага на припадъци и могат да предизвикат припадък. Левофлоксацин е противопоказан при пациенти с анамнеза за епилепсия (вж. точка</w:t>
      </w:r>
      <w:r w:rsidRPr="00FE5976">
        <w:rPr>
          <w:rFonts w:eastAsia="Times New Roman" w:cs="Arial"/>
          <w:color w:val="000000"/>
          <w:lang w:val="ru-RU"/>
        </w:rPr>
        <w:t xml:space="preserve"> 4.3) </w:t>
      </w:r>
      <w:r w:rsidRPr="00FE5976">
        <w:rPr>
          <w:rFonts w:eastAsia="Times New Roman" w:cs="Arial"/>
          <w:color w:val="000000"/>
          <w:lang w:eastAsia="bg-BG"/>
        </w:rPr>
        <w:t>и, както при другите хинолони, трябва да се прилага с повишено внимание при пациенти, предразположени към припадъци или на съпътстващо лечение с активни вещества, които снижават церебралния праг на припадъци, като теофилин (вж. точка 4.5). В случай на конвулсивни припадъци (вж. точка 4.8), лечението с левофлоксацин трябва да се прекрати.</w:t>
      </w:r>
    </w:p>
    <w:p w14:paraId="27119AD0" w14:textId="77777777" w:rsidR="00FE5976" w:rsidRPr="00FE5976" w:rsidRDefault="00FE5976" w:rsidP="00FE5976">
      <w:pPr>
        <w:spacing w:line="240" w:lineRule="auto"/>
        <w:rPr>
          <w:rFonts w:eastAsia="Times New Roman" w:cs="Arial"/>
          <w:i/>
          <w:iCs/>
          <w:color w:val="000000"/>
          <w:lang w:eastAsia="bg-BG"/>
        </w:rPr>
      </w:pPr>
    </w:p>
    <w:p w14:paraId="71302C95" w14:textId="37392A1E"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 xml:space="preserve">Пациенти с дефицит на глюкозо-6-фосфат дехидрогеназа </w:t>
      </w:r>
      <w:r w:rsidRPr="00FE5976">
        <w:rPr>
          <w:rFonts w:eastAsia="Times New Roman" w:cs="Arial"/>
          <w:color w:val="000000"/>
          <w:lang w:eastAsia="bg-BG"/>
        </w:rPr>
        <w:t>Пациенти с латентен или изявен дефект на глюкозо-6-фосфат дехидрогеназната активност, могат да проявят склонност към хемолитични реакции, когато са лекувани с хинолонови антибактериални средства. Поради това, ако левофлоксацин се използва при такива пациенти, трябва да се следи за евентуална поява на хемолиза.</w:t>
      </w:r>
    </w:p>
    <w:p w14:paraId="142DFE29" w14:textId="77777777" w:rsidR="00FE5976" w:rsidRPr="00FE5976" w:rsidRDefault="00FE5976" w:rsidP="00FE5976">
      <w:pPr>
        <w:spacing w:line="240" w:lineRule="auto"/>
        <w:rPr>
          <w:rFonts w:eastAsia="Times New Roman" w:cs="Arial"/>
          <w:i/>
          <w:iCs/>
          <w:color w:val="000000"/>
          <w:lang w:eastAsia="bg-BG"/>
        </w:rPr>
      </w:pPr>
    </w:p>
    <w:p w14:paraId="602B4E3B" w14:textId="696CF633"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Пациенти с бъбречни увреждания</w:t>
      </w:r>
    </w:p>
    <w:p w14:paraId="7865223E"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Тъй като левофлоксацин се екскретира основно чрез бъбреците, дозата на Вивекс 500 </w:t>
      </w:r>
      <w:r w:rsidRPr="00FE5976">
        <w:rPr>
          <w:rFonts w:eastAsia="Times New Roman" w:cs="Arial"/>
          <w:color w:val="000000"/>
          <w:lang w:val="en-US"/>
        </w:rPr>
        <w:t>mg</w:t>
      </w:r>
      <w:r w:rsidRPr="00FE5976">
        <w:rPr>
          <w:rFonts w:eastAsia="Times New Roman" w:cs="Arial"/>
          <w:color w:val="000000"/>
          <w:lang w:val="ru-RU"/>
        </w:rPr>
        <w:t xml:space="preserve"> </w:t>
      </w:r>
      <w:r w:rsidRPr="00FE5976">
        <w:rPr>
          <w:rFonts w:eastAsia="Times New Roman" w:cs="Arial"/>
          <w:color w:val="000000"/>
          <w:lang w:eastAsia="bg-BG"/>
        </w:rPr>
        <w:t>трябва да бъде коригирана при пациенти с бъбречно увреждане (вж. точка 4.2).</w:t>
      </w:r>
    </w:p>
    <w:p w14:paraId="0FB6855F" w14:textId="77777777" w:rsidR="00FE5976" w:rsidRPr="00FE5976" w:rsidRDefault="00FE5976" w:rsidP="00FE5976">
      <w:pPr>
        <w:spacing w:line="240" w:lineRule="auto"/>
        <w:rPr>
          <w:rFonts w:eastAsia="Times New Roman" w:cs="Arial"/>
          <w:i/>
          <w:iCs/>
          <w:color w:val="000000"/>
          <w:lang w:eastAsia="bg-BG"/>
        </w:rPr>
      </w:pPr>
    </w:p>
    <w:p w14:paraId="5ADFAB8B" w14:textId="437C397F"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Реакции на свръхчувствителност</w:t>
      </w:r>
    </w:p>
    <w:p w14:paraId="51C4D99F"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Левофлоксацин може да причини сериозни, потенциално фатални реакции на свръхчувствителност (т.е. ангиоедем до анафилактичен шок), понякога последващи началната доза (вж. точка 4.8). Пациентите трябва да прекратят лечението незабавно и да се свържат с техния лекар или с лекар от спешна помощ, който да инициира подходящи спешни действия.</w:t>
      </w:r>
    </w:p>
    <w:p w14:paraId="458A74DB" w14:textId="77777777" w:rsidR="00FE5976" w:rsidRPr="00FE5976" w:rsidRDefault="00FE5976" w:rsidP="00FE5976">
      <w:pPr>
        <w:spacing w:line="240" w:lineRule="auto"/>
        <w:rPr>
          <w:rFonts w:eastAsia="Times New Roman" w:cs="Arial"/>
          <w:i/>
          <w:iCs/>
          <w:color w:val="000000"/>
          <w:lang w:eastAsia="bg-BG"/>
        </w:rPr>
      </w:pPr>
    </w:p>
    <w:p w14:paraId="07DD98B5" w14:textId="682744E2"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Тежки кожни нежелани реакции</w:t>
      </w:r>
    </w:p>
    <w:p w14:paraId="5B381977"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Тежки кожни нежелани реакции </w:t>
      </w:r>
      <w:r w:rsidRPr="00FE5976">
        <w:rPr>
          <w:rFonts w:eastAsia="Times New Roman" w:cs="Arial"/>
          <w:color w:val="000000"/>
        </w:rPr>
        <w:t>(</w:t>
      </w:r>
      <w:r w:rsidRPr="00FE5976">
        <w:rPr>
          <w:rFonts w:eastAsia="Times New Roman" w:cs="Arial"/>
          <w:color w:val="000000"/>
          <w:lang w:val="en-US"/>
        </w:rPr>
        <w:t>SCARs</w:t>
      </w:r>
      <w:r w:rsidRPr="00FE5976">
        <w:rPr>
          <w:rFonts w:eastAsia="Times New Roman" w:cs="Arial"/>
          <w:color w:val="000000"/>
        </w:rPr>
        <w:t xml:space="preserve">), </w:t>
      </w:r>
      <w:r w:rsidRPr="00FE5976">
        <w:rPr>
          <w:rFonts w:eastAsia="Times New Roman" w:cs="Arial"/>
          <w:color w:val="000000"/>
          <w:lang w:eastAsia="bg-BG"/>
        </w:rPr>
        <w:t xml:space="preserve">включващи токсична епидермална некролиза </w:t>
      </w:r>
      <w:r w:rsidRPr="00FE5976">
        <w:rPr>
          <w:rFonts w:eastAsia="Times New Roman" w:cs="Arial"/>
          <w:color w:val="000000"/>
        </w:rPr>
        <w:t>(</w:t>
      </w:r>
      <w:r w:rsidRPr="00FE5976">
        <w:rPr>
          <w:rFonts w:eastAsia="Times New Roman" w:cs="Arial"/>
          <w:color w:val="000000"/>
          <w:lang w:val="en-US"/>
        </w:rPr>
        <w:t>TEN</w:t>
      </w:r>
      <w:r w:rsidRPr="00FE5976">
        <w:rPr>
          <w:rFonts w:eastAsia="Times New Roman" w:cs="Arial"/>
          <w:color w:val="000000"/>
        </w:rPr>
        <w:t xml:space="preserve">: </w:t>
      </w:r>
      <w:r w:rsidRPr="00FE5976">
        <w:rPr>
          <w:rFonts w:eastAsia="Times New Roman" w:cs="Arial"/>
          <w:color w:val="000000"/>
          <w:lang w:eastAsia="bg-BG"/>
        </w:rPr>
        <w:t xml:space="preserve">известна още като синдром на </w:t>
      </w:r>
      <w:r w:rsidRPr="00FE5976">
        <w:rPr>
          <w:rFonts w:eastAsia="Times New Roman" w:cs="Arial"/>
          <w:color w:val="000000"/>
          <w:lang w:val="en-US"/>
        </w:rPr>
        <w:t>Lyell</w:t>
      </w:r>
      <w:r w:rsidRPr="00FE5976">
        <w:rPr>
          <w:rFonts w:eastAsia="Times New Roman" w:cs="Arial"/>
          <w:color w:val="000000"/>
        </w:rPr>
        <w:t xml:space="preserve">), </w:t>
      </w:r>
      <w:r w:rsidRPr="00FE5976">
        <w:rPr>
          <w:rFonts w:eastAsia="Times New Roman" w:cs="Arial"/>
          <w:color w:val="000000"/>
          <w:lang w:eastAsia="bg-BG"/>
        </w:rPr>
        <w:t xml:space="preserve">синдром на </w:t>
      </w:r>
      <w:r w:rsidRPr="00FE5976">
        <w:rPr>
          <w:rFonts w:eastAsia="Times New Roman" w:cs="Arial"/>
          <w:color w:val="000000"/>
          <w:lang w:val="en-US"/>
        </w:rPr>
        <w:t>Stevens</w:t>
      </w:r>
      <w:r w:rsidRPr="00FE5976">
        <w:rPr>
          <w:rFonts w:eastAsia="Times New Roman" w:cs="Arial"/>
          <w:color w:val="000000"/>
        </w:rPr>
        <w:t xml:space="preserve"> </w:t>
      </w:r>
      <w:r w:rsidRPr="00FE5976">
        <w:rPr>
          <w:rFonts w:eastAsia="Times New Roman" w:cs="Arial"/>
          <w:color w:val="000000"/>
          <w:lang w:val="en-US"/>
        </w:rPr>
        <w:t>Johnson</w:t>
      </w:r>
      <w:r w:rsidRPr="00FE5976">
        <w:rPr>
          <w:rFonts w:eastAsia="Times New Roman" w:cs="Arial"/>
          <w:color w:val="000000"/>
        </w:rPr>
        <w:t xml:space="preserve"> (</w:t>
      </w:r>
      <w:r w:rsidRPr="00FE5976">
        <w:rPr>
          <w:rFonts w:eastAsia="Times New Roman" w:cs="Arial"/>
          <w:color w:val="000000"/>
          <w:lang w:val="en-US"/>
        </w:rPr>
        <w:t>SJS</w:t>
      </w:r>
      <w:r w:rsidRPr="00FE5976">
        <w:rPr>
          <w:rFonts w:eastAsia="Times New Roman" w:cs="Arial"/>
          <w:color w:val="000000"/>
        </w:rPr>
        <w:t xml:space="preserve">) </w:t>
      </w:r>
      <w:r w:rsidRPr="00FE5976">
        <w:rPr>
          <w:rFonts w:eastAsia="Times New Roman" w:cs="Arial"/>
          <w:color w:val="000000"/>
          <w:lang w:eastAsia="bg-BG"/>
        </w:rPr>
        <w:t xml:space="preserve">и лекарствена реакция с еозинофилия и системни симптоми </w:t>
      </w:r>
      <w:r w:rsidRPr="00FE5976">
        <w:rPr>
          <w:rFonts w:eastAsia="Times New Roman" w:cs="Arial"/>
          <w:color w:val="000000"/>
        </w:rPr>
        <w:t>(</w:t>
      </w:r>
      <w:r w:rsidRPr="00FE5976">
        <w:rPr>
          <w:rFonts w:eastAsia="Times New Roman" w:cs="Arial"/>
          <w:color w:val="000000"/>
          <w:lang w:val="en-US"/>
        </w:rPr>
        <w:t>DRESS</w:t>
      </w:r>
      <w:r w:rsidRPr="00FE5976">
        <w:rPr>
          <w:rFonts w:eastAsia="Times New Roman" w:cs="Arial"/>
          <w:color w:val="000000"/>
        </w:rPr>
        <w:t xml:space="preserve">), </w:t>
      </w:r>
      <w:r w:rsidRPr="00FE5976">
        <w:rPr>
          <w:rFonts w:eastAsia="Times New Roman" w:cs="Arial"/>
          <w:color w:val="000000"/>
          <w:lang w:eastAsia="bg-BG"/>
        </w:rPr>
        <w:t xml:space="preserve">които може да са животозастрашаващи или с летален изход, се съобщават във връзка с употребата на левофлоксацин (вж. точка 4.8).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тези реакции, приложението на левофлоксацин трябва незабавно да се преустанови и да се обмисли алтернативно лечение. Ако пациентът е развил сериозна реакция, като например </w:t>
      </w:r>
      <w:r w:rsidRPr="00FE5976">
        <w:rPr>
          <w:rFonts w:eastAsia="Times New Roman" w:cs="Arial"/>
          <w:color w:val="000000"/>
          <w:lang w:val="en-US"/>
        </w:rPr>
        <w:t>SJS</w:t>
      </w:r>
      <w:r w:rsidRPr="00FE5976">
        <w:rPr>
          <w:rFonts w:eastAsia="Times New Roman" w:cs="Arial"/>
          <w:color w:val="000000"/>
          <w:lang w:val="ru-RU"/>
        </w:rPr>
        <w:t xml:space="preserve">, </w:t>
      </w:r>
      <w:r w:rsidRPr="00FE5976">
        <w:rPr>
          <w:rFonts w:eastAsia="Times New Roman" w:cs="Arial"/>
          <w:color w:val="000000"/>
          <w:lang w:val="en-US"/>
        </w:rPr>
        <w:t>TEN</w:t>
      </w:r>
      <w:r w:rsidRPr="00FE5976">
        <w:rPr>
          <w:rFonts w:eastAsia="Times New Roman" w:cs="Arial"/>
          <w:color w:val="000000"/>
          <w:lang w:val="ru-RU"/>
        </w:rPr>
        <w:t xml:space="preserve"> </w:t>
      </w:r>
      <w:r w:rsidRPr="00FE5976">
        <w:rPr>
          <w:rFonts w:eastAsia="Times New Roman" w:cs="Arial"/>
          <w:color w:val="000000"/>
          <w:lang w:eastAsia="bg-BG"/>
        </w:rPr>
        <w:t xml:space="preserve">или </w:t>
      </w:r>
      <w:r w:rsidRPr="00FE5976">
        <w:rPr>
          <w:rFonts w:eastAsia="Times New Roman" w:cs="Arial"/>
          <w:color w:val="000000"/>
          <w:lang w:val="en-US"/>
        </w:rPr>
        <w:t>DRESS</w:t>
      </w:r>
      <w:r w:rsidRPr="00FE5976">
        <w:rPr>
          <w:rFonts w:eastAsia="Times New Roman" w:cs="Arial"/>
          <w:color w:val="000000"/>
          <w:lang w:val="ru-RU"/>
        </w:rPr>
        <w:t xml:space="preserve"> </w:t>
      </w:r>
      <w:r w:rsidRPr="00FE5976">
        <w:rPr>
          <w:rFonts w:eastAsia="Times New Roman" w:cs="Arial"/>
          <w:color w:val="000000"/>
          <w:lang w:eastAsia="bg-BG"/>
        </w:rPr>
        <w:t>при употребата на левофлоксацин, лечение с левофлоксацин не трябва да се започва отново при този пациент.</w:t>
      </w:r>
    </w:p>
    <w:p w14:paraId="21BE7316" w14:textId="77777777" w:rsidR="00FE5976" w:rsidRPr="00FE5976" w:rsidRDefault="00FE5976" w:rsidP="00FE5976">
      <w:pPr>
        <w:spacing w:line="240" w:lineRule="auto"/>
        <w:rPr>
          <w:rFonts w:eastAsia="Times New Roman" w:cs="Arial"/>
          <w:i/>
          <w:iCs/>
          <w:color w:val="000000"/>
          <w:lang w:eastAsia="bg-BG"/>
        </w:rPr>
      </w:pPr>
    </w:p>
    <w:p w14:paraId="1235CF89" w14:textId="6BB1DED5"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Дисгликемия</w:t>
      </w:r>
    </w:p>
    <w:p w14:paraId="3567846D"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Както при всички хинолони, има съобщения за нарушения в нивата на кръвната захар, включващи, както хипогликемия, така и хипергликемия (вж. точка 4.8), появяващи се по-често при пациенти в старческа възраст, обикновено при диабетици, на които се прилага съпътстваща терапия с перорални хипогликемични средства (напр. глибенкламид) или с инсулин.</w:t>
      </w:r>
    </w:p>
    <w:p w14:paraId="5F501247"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Съобщавани са случаи на хипогликемична кома. Препоръчва се внимателно проследяване на глюкозата в кръвта при пациенти с диабет (вижте точка 4.8).</w:t>
      </w:r>
    </w:p>
    <w:p w14:paraId="3B28825D" w14:textId="77777777" w:rsidR="00FE5976" w:rsidRPr="00FE5976" w:rsidRDefault="00FE5976" w:rsidP="00FE5976">
      <w:pPr>
        <w:spacing w:line="240" w:lineRule="auto"/>
        <w:rPr>
          <w:rFonts w:eastAsia="Times New Roman" w:cs="Arial"/>
          <w:color w:val="000000"/>
          <w:lang w:eastAsia="bg-BG"/>
        </w:rPr>
      </w:pPr>
    </w:p>
    <w:p w14:paraId="1DDA0EFA" w14:textId="2251E770" w:rsidR="00FE5976" w:rsidRPr="00FE5976" w:rsidRDefault="00FE5976" w:rsidP="00FE5976">
      <w:pPr>
        <w:spacing w:line="240" w:lineRule="auto"/>
        <w:rPr>
          <w:rFonts w:eastAsia="Times New Roman" w:cs="Arial"/>
        </w:rPr>
      </w:pPr>
      <w:r w:rsidRPr="00FE5976">
        <w:rPr>
          <w:rFonts w:eastAsia="Times New Roman" w:cs="Arial"/>
          <w:color w:val="000000"/>
          <w:lang w:eastAsia="bg-BG"/>
        </w:rPr>
        <w:t>Лечението с левофлоксацин трябва да бъде преустановено, ако пациент докладва за промени в стойностите на кръвната глюкоза и да се премине на алтернативна антибиотична терапия, без прием на флуорохинолони.</w:t>
      </w:r>
    </w:p>
    <w:p w14:paraId="44E5B529" w14:textId="77777777" w:rsidR="00FE5976" w:rsidRPr="00FE5976" w:rsidRDefault="00FE5976" w:rsidP="00FE5976">
      <w:pPr>
        <w:spacing w:line="240" w:lineRule="auto"/>
        <w:rPr>
          <w:rFonts w:eastAsia="Times New Roman" w:cs="Arial"/>
          <w:i/>
          <w:iCs/>
          <w:color w:val="000000"/>
          <w:lang w:eastAsia="bg-BG"/>
        </w:rPr>
      </w:pPr>
    </w:p>
    <w:p w14:paraId="517D56D9" w14:textId="1C1DF8FD"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Предпазване от фоточувствителност</w:t>
      </w:r>
    </w:p>
    <w:p w14:paraId="5079AE5A"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При левофлоксацин е съобщавана фоточувствителност (вж. точка 4.8). Препоръчва се</w:t>
      </w:r>
    </w:p>
    <w:p w14:paraId="16EB57AB" w14:textId="3B63C906" w:rsidR="00FE5976" w:rsidRPr="00FE5976" w:rsidRDefault="00FE5976" w:rsidP="00FE5976">
      <w:pPr>
        <w:rPr>
          <w:rFonts w:eastAsia="Times New Roman" w:cs="Arial"/>
          <w:color w:val="000000"/>
          <w:lang w:eastAsia="bg-BG"/>
        </w:rPr>
      </w:pPr>
      <w:r w:rsidRPr="00FE5976">
        <w:rPr>
          <w:rFonts w:eastAsia="Times New Roman" w:cs="Arial"/>
          <w:color w:val="000000"/>
          <w:lang w:eastAsia="bg-BG"/>
        </w:rPr>
        <w:t xml:space="preserve">пациентите да не се излагат излишно на силна слънчева светлина или на изкуствени </w:t>
      </w:r>
      <w:r w:rsidRPr="00FE5976">
        <w:rPr>
          <w:rFonts w:eastAsia="Times New Roman" w:cs="Arial"/>
          <w:color w:val="000000"/>
          <w:lang w:val="en-US"/>
        </w:rPr>
        <w:t>UV</w:t>
      </w:r>
      <w:r w:rsidRPr="00FE5976">
        <w:rPr>
          <w:rFonts w:eastAsia="Times New Roman" w:cs="Arial"/>
          <w:color w:val="000000"/>
          <w:lang w:val="ru-RU"/>
        </w:rPr>
        <w:t xml:space="preserve"> </w:t>
      </w:r>
      <w:r w:rsidRPr="00FE5976">
        <w:rPr>
          <w:rFonts w:eastAsia="Times New Roman" w:cs="Arial"/>
          <w:color w:val="000000"/>
          <w:lang w:eastAsia="bg-BG"/>
        </w:rPr>
        <w:t>лъчи (напр. кварцова лампа, солариум) по време на лечението и 48 часа след прекратяването му, с цел предпазване от фоточувствителност.</w:t>
      </w:r>
    </w:p>
    <w:p w14:paraId="7E23D0EE" w14:textId="3F132DED" w:rsidR="00FE5976" w:rsidRPr="00FE5976" w:rsidRDefault="00FE5976" w:rsidP="00FE5976">
      <w:pPr>
        <w:rPr>
          <w:rFonts w:eastAsia="Times New Roman" w:cs="Arial"/>
          <w:color w:val="000000"/>
          <w:lang w:eastAsia="bg-BG"/>
        </w:rPr>
      </w:pPr>
    </w:p>
    <w:p w14:paraId="62D48A8C" w14:textId="77777777"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Пациенти, лекувани с витамин К антагонисти</w:t>
      </w:r>
    </w:p>
    <w:p w14:paraId="0ED41B1E"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Поради възможното повишаване на коагулационите тестове </w:t>
      </w:r>
      <w:r w:rsidRPr="00FE5976">
        <w:rPr>
          <w:rFonts w:eastAsia="Times New Roman" w:cs="Arial"/>
          <w:color w:val="000000"/>
          <w:lang w:val="ru-RU"/>
        </w:rPr>
        <w:t>(</w:t>
      </w:r>
      <w:r w:rsidRPr="00FE5976">
        <w:rPr>
          <w:rFonts w:eastAsia="Times New Roman" w:cs="Arial"/>
          <w:color w:val="000000"/>
          <w:lang w:val="en-US"/>
        </w:rPr>
        <w:t>PT</w:t>
      </w:r>
      <w:r w:rsidRPr="00FE5976">
        <w:rPr>
          <w:rFonts w:eastAsia="Times New Roman" w:cs="Arial"/>
          <w:color w:val="000000"/>
          <w:lang w:val="ru-RU"/>
        </w:rPr>
        <w:t>/</w:t>
      </w:r>
      <w:r w:rsidRPr="00FE5976">
        <w:rPr>
          <w:rFonts w:eastAsia="Times New Roman" w:cs="Arial"/>
          <w:color w:val="000000"/>
          <w:lang w:val="en-US"/>
        </w:rPr>
        <w:t>INR</w:t>
      </w:r>
      <w:r w:rsidRPr="00FE5976">
        <w:rPr>
          <w:rFonts w:eastAsia="Times New Roman" w:cs="Arial"/>
          <w:color w:val="000000"/>
          <w:lang w:val="ru-RU"/>
        </w:rPr>
        <w:t xml:space="preserve">) </w:t>
      </w:r>
      <w:r w:rsidRPr="00FE5976">
        <w:rPr>
          <w:rFonts w:eastAsia="Times New Roman" w:cs="Arial"/>
          <w:color w:val="000000"/>
          <w:lang w:eastAsia="bg-BG"/>
        </w:rPr>
        <w:t>и/или кървене при пациенти, лекувани с левофлоксацин в комбинация с витамин К антагонисти (напр. варфарин), е необходимо проследяване на коагулационните тестове, когато тези лекарства са прилагани едновременно (виж точка 4.5).</w:t>
      </w:r>
    </w:p>
    <w:p w14:paraId="1DE964C3" w14:textId="77777777" w:rsidR="00FE5976" w:rsidRPr="00FE5976" w:rsidRDefault="00FE5976" w:rsidP="00FE5976">
      <w:pPr>
        <w:spacing w:line="240" w:lineRule="auto"/>
        <w:rPr>
          <w:rFonts w:eastAsia="Times New Roman" w:cs="Arial"/>
          <w:i/>
          <w:iCs/>
          <w:color w:val="000000"/>
          <w:lang w:eastAsia="bg-BG"/>
        </w:rPr>
      </w:pPr>
    </w:p>
    <w:p w14:paraId="7A2103D8" w14:textId="526593F1"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Психотични реакции</w:t>
      </w:r>
    </w:p>
    <w:p w14:paraId="5F9D6D47"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Съобщавани са психотични реакции при пациенти, приемащи хинолони, включително левофлоксацин. В много редки случаи са прогресирали до суицидни мисли и самозастрашаващо поведение, понякога само след единична доза левофлоксацин (вж. точка 4.8). В случай, че пациентът развие тези реакции, приемът на левофлоксацин трябва да се прекрати и да се предпримат подходящи мерки. Препоръчва се повишено внимание, ако левофлоксацин се прила при психотични пациенти или при пациенти с анамнеза за психотично заболяване.</w:t>
      </w:r>
    </w:p>
    <w:p w14:paraId="1ABCA619" w14:textId="77777777" w:rsidR="00FE5976" w:rsidRPr="00FE5976" w:rsidRDefault="00FE5976" w:rsidP="00FE5976">
      <w:pPr>
        <w:spacing w:line="240" w:lineRule="auto"/>
        <w:rPr>
          <w:rFonts w:eastAsia="Times New Roman" w:cs="Arial"/>
          <w:i/>
          <w:iCs/>
          <w:color w:val="000000"/>
          <w:lang w:eastAsia="bg-BG"/>
        </w:rPr>
      </w:pPr>
    </w:p>
    <w:p w14:paraId="357627B7" w14:textId="1DCB4902"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 xml:space="preserve">Удължаване на </w:t>
      </w:r>
      <w:r w:rsidRPr="00FE5976">
        <w:rPr>
          <w:rFonts w:eastAsia="Times New Roman" w:cs="Arial"/>
          <w:i/>
          <w:iCs/>
          <w:color w:val="000000"/>
          <w:lang w:val="en-US"/>
        </w:rPr>
        <w:t>QT</w:t>
      </w:r>
      <w:r w:rsidRPr="00FE5976">
        <w:rPr>
          <w:rFonts w:eastAsia="Times New Roman" w:cs="Arial"/>
          <w:i/>
          <w:iCs/>
          <w:color w:val="000000"/>
          <w:lang w:val="ru-RU"/>
        </w:rPr>
        <w:t xml:space="preserve"> </w:t>
      </w:r>
      <w:r w:rsidRPr="00FE5976">
        <w:rPr>
          <w:rFonts w:eastAsia="Times New Roman" w:cs="Arial"/>
          <w:i/>
          <w:iCs/>
          <w:color w:val="000000"/>
          <w:lang w:eastAsia="bg-BG"/>
        </w:rPr>
        <w:t>интервала</w:t>
      </w:r>
    </w:p>
    <w:p w14:paraId="10DE790A"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Необходимо е повишено внимание, когато флуорохинолони, включително левофлоксацин се прилагат при пациенти с известни рискови фактори за удължаване на </w:t>
      </w:r>
      <w:r w:rsidRPr="00FE5976">
        <w:rPr>
          <w:rFonts w:eastAsia="Times New Roman" w:cs="Arial"/>
          <w:color w:val="000000"/>
          <w:lang w:val="en-US"/>
        </w:rPr>
        <w:t>QT</w:t>
      </w:r>
      <w:r w:rsidRPr="00FE5976">
        <w:rPr>
          <w:rFonts w:eastAsia="Times New Roman" w:cs="Arial"/>
          <w:color w:val="000000"/>
          <w:lang w:val="ru-RU"/>
        </w:rPr>
        <w:t xml:space="preserve"> </w:t>
      </w:r>
      <w:r w:rsidRPr="00FE5976">
        <w:rPr>
          <w:rFonts w:eastAsia="Times New Roman" w:cs="Arial"/>
          <w:color w:val="000000"/>
          <w:lang w:eastAsia="bg-BG"/>
        </w:rPr>
        <w:t>интервала, като например:</w:t>
      </w:r>
    </w:p>
    <w:p w14:paraId="7290CB08" w14:textId="77777777" w:rsidR="00FE5976" w:rsidRPr="00FE5976" w:rsidRDefault="00FE5976" w:rsidP="00FE5976">
      <w:pPr>
        <w:pStyle w:val="ListParagraph"/>
        <w:numPr>
          <w:ilvl w:val="0"/>
          <w:numId w:val="38"/>
        </w:numPr>
        <w:spacing w:line="240" w:lineRule="auto"/>
        <w:rPr>
          <w:rFonts w:eastAsia="Times New Roman" w:cs="Arial"/>
        </w:rPr>
      </w:pPr>
      <w:r w:rsidRPr="00FE5976">
        <w:rPr>
          <w:rFonts w:eastAsia="Times New Roman" w:cs="Arial"/>
          <w:color w:val="000000"/>
          <w:lang w:eastAsia="bg-BG"/>
        </w:rPr>
        <w:t xml:space="preserve">синдром на вроден удължен </w:t>
      </w:r>
      <w:r w:rsidRPr="00FE5976">
        <w:rPr>
          <w:rFonts w:eastAsia="Times New Roman" w:cs="Arial"/>
          <w:color w:val="000000"/>
          <w:lang w:val="en-US"/>
        </w:rPr>
        <w:t>QT</w:t>
      </w:r>
    </w:p>
    <w:p w14:paraId="66960AAD" w14:textId="77777777" w:rsidR="00FE5976" w:rsidRPr="00FE5976" w:rsidRDefault="00FE5976" w:rsidP="00FE5976">
      <w:pPr>
        <w:pStyle w:val="ListParagraph"/>
        <w:numPr>
          <w:ilvl w:val="0"/>
          <w:numId w:val="38"/>
        </w:numPr>
        <w:spacing w:line="240" w:lineRule="auto"/>
        <w:rPr>
          <w:rFonts w:eastAsia="Times New Roman" w:cs="Arial"/>
        </w:rPr>
      </w:pPr>
      <w:r w:rsidRPr="00FE5976">
        <w:rPr>
          <w:rFonts w:eastAsia="Times New Roman" w:cs="Arial"/>
          <w:color w:val="000000"/>
          <w:lang w:eastAsia="bg-BG"/>
        </w:rPr>
        <w:t xml:space="preserve">едновременно приложение на лекарства, за които е известно, че удължават </w:t>
      </w:r>
      <w:r w:rsidRPr="00FE5976">
        <w:rPr>
          <w:rFonts w:eastAsia="Times New Roman" w:cs="Arial"/>
          <w:color w:val="000000"/>
          <w:lang w:val="en-US"/>
        </w:rPr>
        <w:t>QT</w:t>
      </w:r>
      <w:r w:rsidRPr="00FE5976">
        <w:rPr>
          <w:rFonts w:eastAsia="Times New Roman" w:cs="Arial"/>
          <w:color w:val="000000"/>
          <w:lang w:val="ru-RU"/>
        </w:rPr>
        <w:t xml:space="preserve"> </w:t>
      </w:r>
      <w:r w:rsidRPr="00FE5976">
        <w:rPr>
          <w:rFonts w:eastAsia="Times New Roman" w:cs="Arial"/>
          <w:color w:val="000000"/>
          <w:lang w:eastAsia="bg-BG"/>
        </w:rPr>
        <w:t xml:space="preserve">интервала (напр. Клас </w:t>
      </w:r>
      <w:r w:rsidRPr="00FE5976">
        <w:rPr>
          <w:rFonts w:eastAsia="Times New Roman" w:cs="Arial"/>
          <w:color w:val="000000"/>
          <w:lang w:val="en-US"/>
        </w:rPr>
        <w:t>IA</w:t>
      </w:r>
      <w:r w:rsidRPr="00FE5976">
        <w:rPr>
          <w:rFonts w:eastAsia="Times New Roman" w:cs="Arial"/>
          <w:color w:val="000000"/>
          <w:lang w:val="ru-RU"/>
        </w:rPr>
        <w:t xml:space="preserve"> </w:t>
      </w:r>
      <w:r w:rsidRPr="00FE5976">
        <w:rPr>
          <w:rFonts w:eastAsia="Times New Roman" w:cs="Arial"/>
          <w:color w:val="000000"/>
          <w:lang w:eastAsia="bg-BG"/>
        </w:rPr>
        <w:t>и III антиаритмици, трициклични антидепресанти, макролиди, антипсихотици)</w:t>
      </w:r>
    </w:p>
    <w:p w14:paraId="1F7443AC" w14:textId="77777777" w:rsidR="00FE5976" w:rsidRPr="00FE5976" w:rsidRDefault="00FE5976" w:rsidP="00FE5976">
      <w:pPr>
        <w:pStyle w:val="ListParagraph"/>
        <w:numPr>
          <w:ilvl w:val="0"/>
          <w:numId w:val="38"/>
        </w:numPr>
        <w:spacing w:line="240" w:lineRule="auto"/>
        <w:rPr>
          <w:rFonts w:eastAsia="Times New Roman" w:cs="Arial"/>
        </w:rPr>
      </w:pPr>
      <w:r w:rsidRPr="00FE5976">
        <w:rPr>
          <w:rFonts w:eastAsia="Times New Roman" w:cs="Arial"/>
          <w:color w:val="000000"/>
          <w:lang w:eastAsia="bg-BG"/>
        </w:rPr>
        <w:t>некоригиран електролитен дисбаланс (напр. хипокалиемия, хипомагнезиемия)</w:t>
      </w:r>
    </w:p>
    <w:p w14:paraId="137D77A7" w14:textId="2723B219" w:rsidR="00FE5976" w:rsidRPr="00FE5976" w:rsidRDefault="00FE5976" w:rsidP="00FE5976">
      <w:pPr>
        <w:pStyle w:val="ListParagraph"/>
        <w:numPr>
          <w:ilvl w:val="0"/>
          <w:numId w:val="38"/>
        </w:numPr>
        <w:spacing w:line="240" w:lineRule="auto"/>
        <w:rPr>
          <w:rFonts w:eastAsia="Times New Roman" w:cs="Arial"/>
        </w:rPr>
      </w:pPr>
      <w:r w:rsidRPr="00FE5976">
        <w:rPr>
          <w:rFonts w:eastAsia="Times New Roman" w:cs="Arial"/>
          <w:color w:val="000000"/>
          <w:lang w:eastAsia="bg-BG"/>
        </w:rPr>
        <w:t xml:space="preserve">сърдечно заболяване (напр. сърдечна недостатъчност, инфаркт на миокарда, брадикардия) Пациентите в старческа възраст и жените могат да бъдат по-чувствителни спрямо лекарства, удължаващи </w:t>
      </w:r>
      <w:proofErr w:type="spellStart"/>
      <w:r w:rsidRPr="00FE5976">
        <w:rPr>
          <w:rFonts w:eastAsia="Times New Roman" w:cs="Arial"/>
          <w:color w:val="000000"/>
          <w:lang w:val="en-US"/>
        </w:rPr>
        <w:t>QTc</w:t>
      </w:r>
      <w:proofErr w:type="spellEnd"/>
      <w:r w:rsidRPr="00FE5976">
        <w:rPr>
          <w:rFonts w:eastAsia="Times New Roman" w:cs="Arial"/>
          <w:color w:val="000000"/>
          <w:lang w:val="ru-RU"/>
        </w:rPr>
        <w:t xml:space="preserve">. </w:t>
      </w:r>
      <w:r w:rsidRPr="00FE5976">
        <w:rPr>
          <w:rFonts w:eastAsia="Times New Roman" w:cs="Arial"/>
          <w:color w:val="000000"/>
          <w:lang w:eastAsia="bg-BG"/>
        </w:rPr>
        <w:t xml:space="preserve">Поради това е необходимо повишено внимание, когато при тези популации се прилагат флуорохинолони, включително левофлоксацин. (вж. точки 4.2 </w:t>
      </w:r>
      <w:r w:rsidRPr="00FE5976">
        <w:rPr>
          <w:rFonts w:eastAsia="Times New Roman" w:cs="Arial"/>
          <w:i/>
          <w:iCs/>
          <w:color w:val="000000"/>
          <w:lang w:eastAsia="bg-BG"/>
        </w:rPr>
        <w:t xml:space="preserve">Пациенти в старческа възраст, </w:t>
      </w:r>
      <w:r w:rsidRPr="00FE5976">
        <w:rPr>
          <w:rFonts w:eastAsia="Times New Roman" w:cs="Arial"/>
          <w:color w:val="000000"/>
          <w:lang w:eastAsia="bg-BG"/>
        </w:rPr>
        <w:t>4.5,4.8 и 4.9).</w:t>
      </w:r>
    </w:p>
    <w:p w14:paraId="36597714" w14:textId="77777777" w:rsidR="00FE5976" w:rsidRPr="00FE5976" w:rsidRDefault="00FE5976" w:rsidP="00FE5976">
      <w:pPr>
        <w:spacing w:line="240" w:lineRule="auto"/>
        <w:rPr>
          <w:rFonts w:eastAsia="Times New Roman" w:cs="Arial"/>
          <w:i/>
          <w:iCs/>
          <w:color w:val="000000"/>
          <w:lang w:eastAsia="bg-BG"/>
        </w:rPr>
      </w:pPr>
    </w:p>
    <w:p w14:paraId="4F640148" w14:textId="4A54E81D"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Периферна невропатия</w:t>
      </w:r>
    </w:p>
    <w:p w14:paraId="4A92092A"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Съобщава се за случаи на сензорна или сензомоторна полиневропатия, водещи до парестезии, хипоестезия, дизестезия или слабост при пациенти, приемащи хинолони и флуорохинолони. Пациентите, които приемат левофлоксацин трябва да бъдат посъветвани да информират своя лекар, преди да продължат лечението, ако се появят симптоми на невропатия, като болка, усещане за парене, мравучкане, изтръпване или слабост, за да се предотврати развитието на потенциално необратимо заболяване, (вж. точка 4.8).</w:t>
      </w:r>
    </w:p>
    <w:p w14:paraId="4AF44F0F" w14:textId="77777777" w:rsidR="00FE5976" w:rsidRPr="00FE5976" w:rsidRDefault="00FE5976" w:rsidP="00FE5976">
      <w:pPr>
        <w:spacing w:line="240" w:lineRule="auto"/>
        <w:rPr>
          <w:rFonts w:eastAsia="Times New Roman" w:cs="Arial"/>
          <w:i/>
          <w:iCs/>
          <w:color w:val="000000"/>
          <w:lang w:eastAsia="bg-BG"/>
        </w:rPr>
      </w:pPr>
    </w:p>
    <w:p w14:paraId="5F765A36" w14:textId="213A0C3D"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Хепатобилиарни нарушения</w:t>
      </w:r>
    </w:p>
    <w:p w14:paraId="5A6FAE2B"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Съобщавани са случаи на чернодробна некроза до фатална чернодробна недостатъчност при левофлоксацин, предимно при пациенти с тежки подлежащи заболявания, напр. сепсис (вж. точка 4.8). Пациентите трябва да бъдат съветвани да спрат лечението и да се свържат с лекаря си, ако развият признаци и симптоми на чернодробно заболяване като анорексия, жълтеница, тъмна урина, сърбеж или болезнен корем.</w:t>
      </w:r>
    </w:p>
    <w:p w14:paraId="57F8D2D6" w14:textId="77777777" w:rsidR="00FE5976" w:rsidRPr="00FE5976" w:rsidRDefault="00FE5976" w:rsidP="00FE5976">
      <w:pPr>
        <w:spacing w:line="240" w:lineRule="auto"/>
        <w:rPr>
          <w:rFonts w:eastAsia="Times New Roman" w:cs="Arial"/>
          <w:i/>
          <w:iCs/>
          <w:color w:val="000000"/>
          <w:lang w:eastAsia="bg-BG"/>
        </w:rPr>
      </w:pPr>
    </w:p>
    <w:p w14:paraId="09799EB0" w14:textId="1989D68E"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Обостряне на миастения гравис</w:t>
      </w:r>
    </w:p>
    <w:p w14:paraId="19C96B1B"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Флуорохинолоните, включително левофлоксацин, имат невромускулно блокиращо действие и могат да обострят мускулната слабост при пациенти с миастения гравис. Постмаркетингови сериозни нежелани лекарствени реакции, включващи смърт и необходимост от поддържане на дишането, са съобщавани при флуорохинолони, използвани при пациенти с миастения гравис.</w:t>
      </w:r>
    </w:p>
    <w:p w14:paraId="5F1EA1E1"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Левофлоксацин не се препоръчва при пациенти с анамнеза за миастения гравис.</w:t>
      </w:r>
    </w:p>
    <w:p w14:paraId="1A4CF4D4" w14:textId="77777777" w:rsidR="00FE5976" w:rsidRPr="00FE5976" w:rsidRDefault="00FE5976" w:rsidP="00FE5976">
      <w:pPr>
        <w:rPr>
          <w:rFonts w:eastAsia="Times New Roman" w:cs="Arial"/>
          <w:i/>
          <w:iCs/>
          <w:color w:val="000000"/>
          <w:lang w:eastAsia="bg-BG"/>
        </w:rPr>
      </w:pPr>
    </w:p>
    <w:p w14:paraId="5DD5B37D" w14:textId="15591EBE" w:rsidR="00FE5976" w:rsidRPr="00FE5976" w:rsidRDefault="00FE5976" w:rsidP="00FE5976">
      <w:pPr>
        <w:rPr>
          <w:rFonts w:eastAsia="Times New Roman" w:cs="Arial"/>
          <w:i/>
          <w:iCs/>
          <w:color w:val="000000"/>
          <w:lang w:eastAsia="bg-BG"/>
        </w:rPr>
      </w:pPr>
      <w:r w:rsidRPr="00FE5976">
        <w:rPr>
          <w:rFonts w:eastAsia="Times New Roman" w:cs="Arial"/>
          <w:i/>
          <w:iCs/>
          <w:color w:val="000000"/>
          <w:lang w:eastAsia="bg-BG"/>
        </w:rPr>
        <w:t>Зрителни нарушения</w:t>
      </w:r>
    </w:p>
    <w:p w14:paraId="04FA5477"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Ако зрението бъде увредено или възникнат някакви ефекти върху очите, незабавно трябва да се проведе консултация с очен специалист (вж. точки 4.7 и 4.8).</w:t>
      </w:r>
    </w:p>
    <w:p w14:paraId="233C9DFF" w14:textId="77777777" w:rsidR="00FE5976" w:rsidRPr="00FE5976" w:rsidRDefault="00FE5976" w:rsidP="00FE5976">
      <w:pPr>
        <w:spacing w:line="240" w:lineRule="auto"/>
        <w:rPr>
          <w:rFonts w:eastAsia="Times New Roman" w:cs="Arial"/>
          <w:i/>
          <w:iCs/>
          <w:color w:val="000000"/>
          <w:lang w:eastAsia="bg-BG"/>
        </w:rPr>
      </w:pPr>
    </w:p>
    <w:p w14:paraId="12871793" w14:textId="2842BC40"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Суперинфекция</w:t>
      </w:r>
    </w:p>
    <w:p w14:paraId="63A01AAC"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Приложението на левофлоксацин, особено продължителното, може да доведе до сврьхрастеж на нечувствителни микроорганизми. Трябва да се предприемат подходящи мерки, ако настъпи суперинфекция по време на терапията.</w:t>
      </w:r>
    </w:p>
    <w:p w14:paraId="1B22564F" w14:textId="77777777" w:rsidR="00FE5976" w:rsidRPr="00FE5976" w:rsidRDefault="00FE5976" w:rsidP="00FE5976">
      <w:pPr>
        <w:spacing w:line="240" w:lineRule="auto"/>
        <w:rPr>
          <w:rFonts w:eastAsia="Times New Roman" w:cs="Arial"/>
          <w:i/>
          <w:iCs/>
          <w:color w:val="000000"/>
          <w:lang w:eastAsia="bg-BG"/>
        </w:rPr>
      </w:pPr>
    </w:p>
    <w:p w14:paraId="102C2223" w14:textId="678602B2"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Промени в лабораторните изследвания</w:t>
      </w:r>
    </w:p>
    <w:p w14:paraId="0826508A"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При пациенти, лекувани с левофлоксацин, установяването на опиати в урината може да даде фалшиво положителни резултати. Може да е необходимо да се потвърди положителния резултат за опиати с по- специфичен метод.</w:t>
      </w:r>
    </w:p>
    <w:p w14:paraId="40EC7DF9"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Левофлоксацин може да потисне растежа на </w:t>
      </w:r>
      <w:r w:rsidRPr="00FE5976">
        <w:rPr>
          <w:rFonts w:eastAsia="Times New Roman" w:cs="Arial"/>
          <w:i/>
          <w:iCs/>
          <w:color w:val="000000"/>
          <w:lang w:val="en-US"/>
        </w:rPr>
        <w:t>Mycobacterium</w:t>
      </w:r>
      <w:r w:rsidRPr="00FE5976">
        <w:rPr>
          <w:rFonts w:eastAsia="Times New Roman" w:cs="Arial"/>
          <w:i/>
          <w:iCs/>
          <w:color w:val="000000"/>
          <w:lang w:val="ru-RU"/>
        </w:rPr>
        <w:t xml:space="preserve"> </w:t>
      </w:r>
      <w:r w:rsidRPr="00FE5976">
        <w:rPr>
          <w:rFonts w:eastAsia="Times New Roman" w:cs="Arial"/>
          <w:i/>
          <w:iCs/>
          <w:color w:val="000000"/>
          <w:lang w:val="en-US"/>
        </w:rPr>
        <w:t>tuberculosis</w:t>
      </w:r>
      <w:r w:rsidRPr="00FE5976">
        <w:rPr>
          <w:rFonts w:eastAsia="Times New Roman" w:cs="Arial"/>
          <w:color w:val="000000"/>
          <w:lang w:val="ru-RU"/>
        </w:rPr>
        <w:t xml:space="preserve"> </w:t>
      </w:r>
      <w:r w:rsidRPr="00FE5976">
        <w:rPr>
          <w:rFonts w:eastAsia="Times New Roman" w:cs="Arial"/>
          <w:color w:val="000000"/>
          <w:lang w:eastAsia="bg-BG"/>
        </w:rPr>
        <w:t>и поради това, може да даде фалшиво отрицателни резултати при бактериологичната диагноза на туберколоза.</w:t>
      </w:r>
    </w:p>
    <w:p w14:paraId="6CA1CD57" w14:textId="77777777" w:rsidR="00FE5976" w:rsidRPr="00FE5976" w:rsidRDefault="00FE5976" w:rsidP="00FE5976">
      <w:pPr>
        <w:spacing w:line="240" w:lineRule="auto"/>
        <w:rPr>
          <w:rFonts w:eastAsia="Times New Roman" w:cs="Arial"/>
          <w:i/>
          <w:iCs/>
          <w:color w:val="000000"/>
          <w:lang w:eastAsia="bg-BG"/>
        </w:rPr>
      </w:pPr>
    </w:p>
    <w:p w14:paraId="4BA98A01" w14:textId="0F55E0E8"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Повишен риск от аневризма и дисекация на аортата и регургитация/недостатъчност на сърдечните клапи</w:t>
      </w:r>
    </w:p>
    <w:p w14:paraId="42202C51"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Епидемиологичните проучвания показват повишен риск от аневризма и дисекация на аортата, особено при пациенти в старческа възраст, както и от регургитация на аортната и митралната клапа след употреба на флуорохинолони. Съобщени са случаи на аневризма и дисекация на аортата, понякога усложнени поради разкъсване (включително с летален изход) и регургитация/недостатъчност на някои от сърдечните клапи при пациенти, приемащи флуорохинолони (вж. точка 4.8).</w:t>
      </w:r>
    </w:p>
    <w:p w14:paraId="00B3AF79" w14:textId="77777777" w:rsidR="00FE5976" w:rsidRPr="00FE5976" w:rsidRDefault="00FE5976" w:rsidP="00FE5976">
      <w:pPr>
        <w:spacing w:line="240" w:lineRule="auto"/>
        <w:rPr>
          <w:rFonts w:eastAsia="Times New Roman" w:cs="Arial"/>
          <w:color w:val="000000"/>
          <w:lang w:eastAsia="bg-BG"/>
        </w:rPr>
      </w:pPr>
    </w:p>
    <w:p w14:paraId="6751051A" w14:textId="164F7121" w:rsidR="00FE5976" w:rsidRPr="00FE5976" w:rsidRDefault="00FE5976" w:rsidP="00FE5976">
      <w:pPr>
        <w:spacing w:line="240" w:lineRule="auto"/>
        <w:rPr>
          <w:rFonts w:eastAsia="Times New Roman" w:cs="Arial"/>
        </w:rPr>
      </w:pPr>
      <w:r w:rsidRPr="00FE5976">
        <w:rPr>
          <w:rFonts w:eastAsia="Times New Roman" w:cs="Arial"/>
          <w:color w:val="000000"/>
          <w:lang w:eastAsia="bg-BG"/>
        </w:rPr>
        <w:t>Следователно флуорохинолоните трябва да се използват само след внимателна оценка на съотношението полза/риск и след обмисляне на други терапевтични възможности при пациенти с положителна фамилна анамнеза за аневризма или вродено заболяване на сърдечните клапи, или при пациенти диагностицирани с предшестваща аневризма и/или дисекация на аортата или заболяване на сърдечните клапи, или при наличие на други рискови фактори или заболявания предразполагащи:</w:t>
      </w:r>
    </w:p>
    <w:p w14:paraId="63362F23" w14:textId="77777777" w:rsidR="00FE5976" w:rsidRPr="00FE5976" w:rsidRDefault="00FE5976" w:rsidP="00FE5976">
      <w:pPr>
        <w:pStyle w:val="ListParagraph"/>
        <w:numPr>
          <w:ilvl w:val="0"/>
          <w:numId w:val="39"/>
        </w:numPr>
        <w:spacing w:line="240" w:lineRule="auto"/>
        <w:rPr>
          <w:rFonts w:eastAsia="Times New Roman" w:cs="Arial"/>
        </w:rPr>
      </w:pPr>
      <w:r w:rsidRPr="00FE5976">
        <w:rPr>
          <w:rFonts w:eastAsia="Times New Roman" w:cs="Arial"/>
          <w:b/>
          <w:bCs/>
          <w:color w:val="000000"/>
          <w:lang w:eastAsia="bg-BG"/>
        </w:rPr>
        <w:t xml:space="preserve">както </w:t>
      </w:r>
      <w:r w:rsidRPr="00FE5976">
        <w:rPr>
          <w:rFonts w:eastAsia="Times New Roman" w:cs="Arial"/>
          <w:color w:val="000000"/>
          <w:lang w:eastAsia="bg-BG"/>
        </w:rPr>
        <w:t xml:space="preserve">за аневризма, </w:t>
      </w:r>
      <w:r w:rsidRPr="00FE5976">
        <w:rPr>
          <w:rFonts w:eastAsia="Times New Roman" w:cs="Arial"/>
          <w:b/>
          <w:bCs/>
          <w:color w:val="000000"/>
          <w:lang w:eastAsia="bg-BG"/>
        </w:rPr>
        <w:t xml:space="preserve">така и за </w:t>
      </w:r>
      <w:r w:rsidRPr="00FE5976">
        <w:rPr>
          <w:rFonts w:eastAsia="Times New Roman" w:cs="Arial"/>
          <w:color w:val="000000"/>
          <w:lang w:eastAsia="bg-BG"/>
        </w:rPr>
        <w:t xml:space="preserve">дисекация на аортата </w:t>
      </w:r>
      <w:r w:rsidRPr="00FE5976">
        <w:rPr>
          <w:rFonts w:eastAsia="Times New Roman" w:cs="Arial"/>
          <w:b/>
          <w:bCs/>
          <w:color w:val="000000"/>
          <w:lang w:eastAsia="bg-BG"/>
        </w:rPr>
        <w:t xml:space="preserve">и за регургитация/недостатъчност на сърдечните клапи </w:t>
      </w:r>
      <w:r w:rsidRPr="00FE5976">
        <w:rPr>
          <w:rFonts w:eastAsia="Times New Roman" w:cs="Arial"/>
          <w:color w:val="000000"/>
          <w:lang w:eastAsia="bg-BG"/>
        </w:rPr>
        <w:t xml:space="preserve">(напр. </w:t>
      </w:r>
      <w:r w:rsidRPr="00FE5976">
        <w:rPr>
          <w:rFonts w:eastAsia="Times New Roman" w:cs="Arial"/>
          <w:b/>
          <w:bCs/>
          <w:color w:val="000000"/>
          <w:lang w:eastAsia="bg-BG"/>
        </w:rPr>
        <w:t xml:space="preserve">нарушения на съединителната тъкан, напр. </w:t>
      </w:r>
      <w:r w:rsidRPr="00FE5976">
        <w:rPr>
          <w:rFonts w:eastAsia="Times New Roman" w:cs="Arial"/>
          <w:color w:val="000000"/>
          <w:lang w:eastAsia="bg-BG"/>
        </w:rPr>
        <w:t xml:space="preserve">синдром на </w:t>
      </w:r>
      <w:proofErr w:type="spellStart"/>
      <w:r w:rsidRPr="00FE5976">
        <w:rPr>
          <w:rFonts w:eastAsia="Times New Roman" w:cs="Arial"/>
          <w:color w:val="000000"/>
          <w:lang w:val="en-US"/>
        </w:rPr>
        <w:t>Marfan</w:t>
      </w:r>
      <w:proofErr w:type="spellEnd"/>
      <w:r w:rsidRPr="00FE5976">
        <w:rPr>
          <w:rFonts w:eastAsia="Times New Roman" w:cs="Arial"/>
          <w:color w:val="000000"/>
          <w:lang w:val="ru-RU"/>
        </w:rPr>
        <w:t xml:space="preserve"> </w:t>
      </w:r>
      <w:r w:rsidRPr="00FE5976">
        <w:rPr>
          <w:rFonts w:eastAsia="Times New Roman" w:cs="Arial"/>
          <w:b/>
          <w:bCs/>
          <w:color w:val="000000"/>
          <w:lang w:eastAsia="bg-BG"/>
        </w:rPr>
        <w:t xml:space="preserve">или </w:t>
      </w:r>
      <w:r w:rsidRPr="00FE5976">
        <w:rPr>
          <w:rFonts w:eastAsia="Times New Roman" w:cs="Arial"/>
          <w:color w:val="000000"/>
          <w:lang w:eastAsia="bg-BG"/>
        </w:rPr>
        <w:t xml:space="preserve">синдром на </w:t>
      </w:r>
      <w:r w:rsidRPr="00FE5976">
        <w:rPr>
          <w:rFonts w:eastAsia="Times New Roman" w:cs="Arial"/>
          <w:color w:val="000000"/>
          <w:lang w:val="en-US"/>
        </w:rPr>
        <w:t>Ehlers</w:t>
      </w:r>
      <w:r w:rsidRPr="00FE5976">
        <w:rPr>
          <w:rFonts w:eastAsia="Times New Roman" w:cs="Arial"/>
          <w:color w:val="000000"/>
          <w:lang w:val="ru-RU"/>
        </w:rPr>
        <w:t xml:space="preserve">- </w:t>
      </w:r>
      <w:proofErr w:type="spellStart"/>
      <w:r w:rsidRPr="00FE5976">
        <w:rPr>
          <w:rFonts w:eastAsia="Times New Roman" w:cs="Arial"/>
          <w:color w:val="000000"/>
          <w:lang w:val="en-US"/>
        </w:rPr>
        <w:t>Danlos</w:t>
      </w:r>
      <w:proofErr w:type="spellEnd"/>
      <w:r w:rsidRPr="00FE5976">
        <w:rPr>
          <w:rFonts w:eastAsia="Times New Roman" w:cs="Arial"/>
          <w:color w:val="000000"/>
          <w:lang w:val="ru-RU"/>
        </w:rPr>
        <w:t xml:space="preserve">, </w:t>
      </w:r>
      <w:r w:rsidRPr="00FE5976">
        <w:rPr>
          <w:rFonts w:eastAsia="Times New Roman" w:cs="Arial"/>
          <w:b/>
          <w:bCs/>
          <w:color w:val="000000"/>
          <w:lang w:eastAsia="bg-BG"/>
        </w:rPr>
        <w:lastRenderedPageBreak/>
        <w:t xml:space="preserve">синдром на </w:t>
      </w:r>
      <w:r w:rsidRPr="00FE5976">
        <w:rPr>
          <w:rFonts w:eastAsia="Times New Roman" w:cs="Arial"/>
          <w:b/>
          <w:bCs/>
          <w:color w:val="000000"/>
          <w:lang w:val="en-US"/>
        </w:rPr>
        <w:t>Turner</w:t>
      </w:r>
      <w:r w:rsidRPr="00FE5976">
        <w:rPr>
          <w:rFonts w:eastAsia="Times New Roman" w:cs="Arial"/>
          <w:b/>
          <w:bCs/>
          <w:color w:val="000000"/>
          <w:lang w:val="ru-RU"/>
        </w:rPr>
        <w:t xml:space="preserve">, </w:t>
      </w:r>
      <w:r w:rsidRPr="00FE5976">
        <w:rPr>
          <w:rFonts w:eastAsia="Times New Roman" w:cs="Arial"/>
          <w:color w:val="000000"/>
          <w:lang w:eastAsia="bg-BG"/>
        </w:rPr>
        <w:t xml:space="preserve">болест на </w:t>
      </w:r>
      <w:proofErr w:type="spellStart"/>
      <w:r w:rsidRPr="00FE5976">
        <w:rPr>
          <w:rFonts w:eastAsia="Times New Roman" w:cs="Arial"/>
          <w:color w:val="000000"/>
          <w:lang w:val="en-US"/>
        </w:rPr>
        <w:t>Behcet</w:t>
      </w:r>
      <w:proofErr w:type="spellEnd"/>
      <w:r w:rsidRPr="00FE5976">
        <w:rPr>
          <w:rFonts w:eastAsia="Times New Roman" w:cs="Arial"/>
          <w:color w:val="000000"/>
          <w:lang w:val="ru-RU"/>
        </w:rPr>
        <w:t xml:space="preserve">, </w:t>
      </w:r>
      <w:r w:rsidRPr="00FE5976">
        <w:rPr>
          <w:rFonts w:eastAsia="Times New Roman" w:cs="Arial"/>
          <w:color w:val="000000"/>
          <w:lang w:eastAsia="bg-BG"/>
        </w:rPr>
        <w:t xml:space="preserve">хипертония, </w:t>
      </w:r>
      <w:r w:rsidRPr="00FE5976">
        <w:rPr>
          <w:rFonts w:eastAsia="Times New Roman" w:cs="Arial"/>
          <w:b/>
          <w:bCs/>
          <w:color w:val="000000"/>
          <w:lang w:eastAsia="bg-BG"/>
        </w:rPr>
        <w:t>ревматоиден артрит, или допълнително</w:t>
      </w:r>
    </w:p>
    <w:p w14:paraId="6949ADF9" w14:textId="58738806" w:rsidR="00FE5976" w:rsidRPr="00FE5976" w:rsidRDefault="00FE5976" w:rsidP="00FE5976">
      <w:pPr>
        <w:pStyle w:val="ListParagraph"/>
        <w:numPr>
          <w:ilvl w:val="0"/>
          <w:numId w:val="39"/>
        </w:numPr>
        <w:spacing w:line="240" w:lineRule="auto"/>
        <w:rPr>
          <w:rFonts w:eastAsia="Times New Roman" w:cs="Arial"/>
        </w:rPr>
      </w:pPr>
      <w:r w:rsidRPr="00FE5976">
        <w:rPr>
          <w:rFonts w:eastAsia="Times New Roman" w:cs="Arial"/>
          <w:b/>
          <w:bCs/>
          <w:color w:val="000000"/>
          <w:lang w:eastAsia="bg-BG"/>
        </w:rPr>
        <w:t xml:space="preserve">при аневризма и дисекация на аортата (напр. съдови нарушения, като артерннт на </w:t>
      </w:r>
      <w:proofErr w:type="spellStart"/>
      <w:r w:rsidRPr="00FE5976">
        <w:rPr>
          <w:rFonts w:eastAsia="Times New Roman" w:cs="Arial"/>
          <w:b/>
          <w:bCs/>
          <w:color w:val="000000"/>
          <w:lang w:val="en-US"/>
        </w:rPr>
        <w:t>Takayasu</w:t>
      </w:r>
      <w:proofErr w:type="spellEnd"/>
      <w:r w:rsidRPr="00FE5976">
        <w:rPr>
          <w:rFonts w:eastAsia="Times New Roman" w:cs="Arial"/>
          <w:b/>
          <w:bCs/>
          <w:color w:val="000000"/>
          <w:lang w:val="ru-RU"/>
        </w:rPr>
        <w:t xml:space="preserve"> </w:t>
      </w:r>
      <w:r w:rsidRPr="00FE5976">
        <w:rPr>
          <w:rFonts w:eastAsia="Times New Roman" w:cs="Arial"/>
          <w:b/>
          <w:bCs/>
          <w:color w:val="000000"/>
          <w:lang w:eastAsia="bg-BG"/>
        </w:rPr>
        <w:t xml:space="preserve">или гнгантоклетьчен артерннт, или известна атеросклероза или синдром на </w:t>
      </w:r>
      <w:proofErr w:type="spellStart"/>
      <w:r w:rsidRPr="00FE5976">
        <w:rPr>
          <w:rFonts w:eastAsia="Times New Roman" w:cs="Arial"/>
          <w:b/>
          <w:bCs/>
          <w:color w:val="000000"/>
          <w:lang w:val="en-US"/>
        </w:rPr>
        <w:t>Sjogren</w:t>
      </w:r>
      <w:proofErr w:type="spellEnd"/>
      <w:r w:rsidRPr="00FE5976">
        <w:rPr>
          <w:rFonts w:eastAsia="Times New Roman" w:cs="Arial"/>
          <w:b/>
          <w:bCs/>
          <w:color w:val="000000"/>
          <w:lang w:val="ru-RU"/>
        </w:rPr>
        <w:t xml:space="preserve">), </w:t>
      </w:r>
      <w:r w:rsidRPr="00FE5976">
        <w:rPr>
          <w:rFonts w:eastAsia="Times New Roman" w:cs="Arial"/>
          <w:b/>
          <w:bCs/>
          <w:color w:val="000000"/>
          <w:lang w:eastAsia="bg-BG"/>
        </w:rPr>
        <w:t>илн допълнително</w:t>
      </w:r>
    </w:p>
    <w:p w14:paraId="19A0D1FE" w14:textId="4FBEE450" w:rsidR="00FE5976" w:rsidRPr="00FE5976" w:rsidRDefault="00FE5976" w:rsidP="00FE5976">
      <w:pPr>
        <w:pStyle w:val="ListParagraph"/>
        <w:numPr>
          <w:ilvl w:val="0"/>
          <w:numId w:val="39"/>
        </w:numPr>
        <w:spacing w:line="240" w:lineRule="auto"/>
        <w:rPr>
          <w:rFonts w:eastAsia="Times New Roman" w:cs="Arial"/>
        </w:rPr>
      </w:pPr>
      <w:r w:rsidRPr="00FE5976">
        <w:rPr>
          <w:rFonts w:eastAsia="Times New Roman" w:cs="Arial"/>
          <w:b/>
          <w:bCs/>
          <w:color w:val="000000"/>
          <w:lang w:eastAsia="bg-BG"/>
        </w:rPr>
        <w:t>при регургитация/недостатъчност на сърдечните клапн (напр. инфекциозен ендокардит).</w:t>
      </w:r>
    </w:p>
    <w:p w14:paraId="17C1F56A" w14:textId="77777777" w:rsidR="00FE5976" w:rsidRPr="00FE5976" w:rsidRDefault="00FE5976" w:rsidP="00FE5976">
      <w:pPr>
        <w:spacing w:line="240" w:lineRule="auto"/>
        <w:rPr>
          <w:rFonts w:eastAsia="Times New Roman" w:cs="Arial"/>
          <w:color w:val="000000"/>
          <w:lang w:eastAsia="bg-BG"/>
        </w:rPr>
      </w:pPr>
    </w:p>
    <w:p w14:paraId="49A4B9F7" w14:textId="30BB2D34" w:rsidR="00FE5976" w:rsidRPr="00FE5976" w:rsidRDefault="00FE5976" w:rsidP="00FE5976">
      <w:pPr>
        <w:spacing w:line="240" w:lineRule="auto"/>
        <w:rPr>
          <w:rFonts w:eastAsia="Times New Roman" w:cs="Arial"/>
        </w:rPr>
      </w:pPr>
      <w:r w:rsidRPr="00FE5976">
        <w:rPr>
          <w:rFonts w:eastAsia="Times New Roman" w:cs="Arial"/>
          <w:color w:val="000000"/>
          <w:lang w:eastAsia="bg-BG"/>
        </w:rPr>
        <w:t>Рискът от аневризма и дисекация на аортата и тяхното разкъсване може също да се повиши при пациенти, лекувани едновременно със системни кортикостероиди.</w:t>
      </w:r>
    </w:p>
    <w:p w14:paraId="5A74E9D5" w14:textId="77777777" w:rsidR="00FE5976" w:rsidRPr="00FE5976" w:rsidRDefault="00FE5976" w:rsidP="00FE5976">
      <w:pPr>
        <w:spacing w:line="240" w:lineRule="auto"/>
        <w:rPr>
          <w:rFonts w:eastAsia="Times New Roman" w:cs="Arial"/>
          <w:color w:val="000000"/>
          <w:lang w:eastAsia="bg-BG"/>
        </w:rPr>
      </w:pPr>
    </w:p>
    <w:p w14:paraId="4F7F1784" w14:textId="06F0AEF7" w:rsidR="00FE5976" w:rsidRPr="00FE5976" w:rsidRDefault="00FE5976" w:rsidP="00FE5976">
      <w:pPr>
        <w:spacing w:line="240" w:lineRule="auto"/>
        <w:rPr>
          <w:rFonts w:eastAsia="Times New Roman" w:cs="Arial"/>
        </w:rPr>
      </w:pPr>
      <w:r w:rsidRPr="00FE5976">
        <w:rPr>
          <w:rFonts w:eastAsia="Times New Roman" w:cs="Arial"/>
          <w:color w:val="000000"/>
          <w:lang w:eastAsia="bg-BG"/>
        </w:rPr>
        <w:t>При внезапна болка в корема, гръдния кош или гърба пациентите трябва да бъдат посъветвани да се консултират незабавно с лекар в спешно отделение.</w:t>
      </w:r>
    </w:p>
    <w:p w14:paraId="4FED4F68" w14:textId="77777777" w:rsidR="00FE5976" w:rsidRPr="00FE5976" w:rsidRDefault="00FE5976" w:rsidP="00FE5976">
      <w:pPr>
        <w:spacing w:line="240" w:lineRule="auto"/>
        <w:rPr>
          <w:rFonts w:eastAsia="Times New Roman" w:cs="Arial"/>
          <w:color w:val="000000"/>
          <w:lang w:eastAsia="bg-BG"/>
        </w:rPr>
      </w:pPr>
    </w:p>
    <w:p w14:paraId="59B5F42D" w14:textId="523B81BF" w:rsidR="00FE5976" w:rsidRPr="00FE5976" w:rsidRDefault="00FE5976" w:rsidP="00FE5976">
      <w:pPr>
        <w:spacing w:line="240" w:lineRule="auto"/>
        <w:rPr>
          <w:rFonts w:eastAsia="Times New Roman" w:cs="Arial"/>
        </w:rPr>
      </w:pPr>
      <w:r w:rsidRPr="00FE5976">
        <w:rPr>
          <w:rFonts w:eastAsia="Times New Roman" w:cs="Arial"/>
          <w:color w:val="000000"/>
          <w:lang w:eastAsia="bg-BG"/>
        </w:rPr>
        <w:t>Пациентите трябва да бъдат посъветвани да потърсят незабавно медицинска помощ в случай на остра диспнея, поява на сърцебиене (палпитации) или развитие на оток на корема или долните крайници.</w:t>
      </w:r>
    </w:p>
    <w:p w14:paraId="14146E5E" w14:textId="77777777" w:rsidR="00FE5976" w:rsidRPr="00FE5976" w:rsidRDefault="00FE5976" w:rsidP="00FE5976">
      <w:pPr>
        <w:spacing w:line="240" w:lineRule="auto"/>
        <w:rPr>
          <w:rFonts w:eastAsia="Times New Roman" w:cs="Arial"/>
          <w:i/>
          <w:iCs/>
          <w:color w:val="000000"/>
          <w:lang w:eastAsia="bg-BG"/>
        </w:rPr>
      </w:pPr>
    </w:p>
    <w:p w14:paraId="3465384B" w14:textId="5E0C2C82"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Продължителни, инвалидизиращи и потенциално необратими сериозни нежелани лекарствени реакции</w:t>
      </w:r>
    </w:p>
    <w:p w14:paraId="57DC7B78" w14:textId="77777777" w:rsidR="00FE5976" w:rsidRPr="00FE5976" w:rsidRDefault="00FE5976" w:rsidP="00FE5976">
      <w:pPr>
        <w:rPr>
          <w:rFonts w:eastAsia="Times New Roman" w:cs="Arial"/>
          <w:color w:val="000000"/>
          <w:lang w:eastAsia="bg-BG"/>
        </w:rPr>
      </w:pPr>
    </w:p>
    <w:p w14:paraId="09065701" w14:textId="77777777" w:rsidR="00FE5976" w:rsidRPr="00FE5976" w:rsidRDefault="00FE5976" w:rsidP="00FE5976">
      <w:pPr>
        <w:rPr>
          <w:rFonts w:eastAsia="Times New Roman" w:cs="Arial"/>
        </w:rPr>
      </w:pPr>
      <w:r w:rsidRPr="00FE5976">
        <w:rPr>
          <w:rFonts w:eastAsia="Times New Roman" w:cs="Arial"/>
          <w:color w:val="000000"/>
          <w:lang w:eastAsia="bg-BG"/>
        </w:rPr>
        <w:t>Съобщава се за много редки случаи на продължителни (продължаващи месеци или години), инвалидизиращи и потенциално необратими сериозни нежелани лекарствени реакции засягащи</w:t>
      </w:r>
      <w:r w:rsidRPr="00FE5976">
        <w:rPr>
          <w:rFonts w:eastAsia="Times New Roman" w:cs="Arial"/>
          <w:b/>
          <w:bCs/>
          <w:color w:val="000000"/>
          <w:lang w:eastAsia="bg-BG"/>
        </w:rPr>
        <w:t xml:space="preserve"> </w:t>
      </w:r>
      <w:r w:rsidRPr="00FE5976">
        <w:rPr>
          <w:rFonts w:eastAsia="Times New Roman" w:cs="Arial"/>
          <w:color w:val="000000"/>
          <w:lang w:eastAsia="bg-BG"/>
        </w:rPr>
        <w:t>различни, понякога много системи в организма (мускулно-скелетна, нервна система, психика и сетивни органи) при пациенти, получаващи хинолони и флуорохинолони, независимо от тяхната възраст и вече съществуващите рискови фактори. Левофлоксацин трябва да се спре незабавно при първите признаци или симптоми на всяка сериозна нежелана реакция като пациентите трябва да се посъветват да се свържат с техния лекар, предписал лекарството, за съвет.</w:t>
      </w:r>
    </w:p>
    <w:p w14:paraId="68ED84BB" w14:textId="77777777" w:rsidR="00FE5976" w:rsidRPr="00FE5976" w:rsidRDefault="00FE5976" w:rsidP="00FE5976">
      <w:pPr>
        <w:spacing w:line="240" w:lineRule="auto"/>
        <w:rPr>
          <w:rFonts w:eastAsia="Times New Roman" w:cs="Arial"/>
          <w:i/>
          <w:iCs/>
          <w:color w:val="000000"/>
          <w:lang w:eastAsia="bg-BG"/>
        </w:rPr>
      </w:pPr>
    </w:p>
    <w:p w14:paraId="53447969" w14:textId="1C2F982C" w:rsidR="00FE5976" w:rsidRPr="00FE5976" w:rsidRDefault="00FE5976" w:rsidP="00FE5976">
      <w:pPr>
        <w:spacing w:line="240" w:lineRule="auto"/>
        <w:rPr>
          <w:rFonts w:eastAsia="Times New Roman" w:cs="Arial"/>
        </w:rPr>
      </w:pPr>
      <w:r w:rsidRPr="00FE5976">
        <w:rPr>
          <w:rFonts w:eastAsia="Times New Roman" w:cs="Arial"/>
          <w:i/>
          <w:iCs/>
          <w:color w:val="000000"/>
          <w:lang w:eastAsia="bg-BG"/>
        </w:rPr>
        <w:t>Помощни вещества</w:t>
      </w:r>
    </w:p>
    <w:p w14:paraId="04F285E4" w14:textId="77777777" w:rsidR="00FE5976" w:rsidRPr="00FE5976" w:rsidRDefault="00FE5976" w:rsidP="00FE5976">
      <w:pPr>
        <w:spacing w:line="240" w:lineRule="auto"/>
        <w:rPr>
          <w:rFonts w:eastAsia="Times New Roman" w:cs="Arial"/>
        </w:rPr>
      </w:pPr>
      <w:r w:rsidRPr="00FE5976">
        <w:rPr>
          <w:rFonts w:eastAsia="Times New Roman" w:cs="Arial"/>
          <w:color w:val="000000"/>
          <w:lang w:eastAsia="bg-BG"/>
        </w:rPr>
        <w:t>Пациенти с редки наследствени проблеми на непоносимост към галактоза, пълен лактазен дефицит илиглюкозо-галактозна малабсорбция не трябва да приемат това лекарство.</w:t>
      </w:r>
    </w:p>
    <w:p w14:paraId="4815EAAA" w14:textId="77777777" w:rsidR="00FE5976" w:rsidRPr="00FE5976" w:rsidRDefault="00FE5976" w:rsidP="00FE5976">
      <w:pPr>
        <w:spacing w:line="240" w:lineRule="auto"/>
        <w:rPr>
          <w:rFonts w:eastAsia="Times New Roman" w:cs="Arial"/>
          <w:color w:val="000000"/>
          <w:lang w:eastAsia="bg-BG"/>
        </w:rPr>
      </w:pPr>
    </w:p>
    <w:p w14:paraId="67074003" w14:textId="7B09F556" w:rsidR="00FE5976" w:rsidRPr="00FE5976" w:rsidRDefault="00FE5976" w:rsidP="00FE5976">
      <w:pPr>
        <w:spacing w:line="240" w:lineRule="auto"/>
        <w:rPr>
          <w:rFonts w:eastAsia="Times New Roman" w:cs="Arial"/>
        </w:rPr>
      </w:pPr>
      <w:r w:rsidRPr="00FE5976">
        <w:rPr>
          <w:rFonts w:eastAsia="Times New Roman" w:cs="Arial"/>
          <w:color w:val="000000"/>
          <w:lang w:eastAsia="bg-BG"/>
        </w:rPr>
        <w:t xml:space="preserve">Този лекарствен продукт съдържа по-малко от 1 </w:t>
      </w:r>
      <w:proofErr w:type="spellStart"/>
      <w:r w:rsidRPr="00FE5976">
        <w:rPr>
          <w:rFonts w:eastAsia="Times New Roman" w:cs="Arial"/>
          <w:color w:val="000000"/>
          <w:lang w:val="en-US"/>
        </w:rPr>
        <w:t>mmol</w:t>
      </w:r>
      <w:proofErr w:type="spellEnd"/>
      <w:r w:rsidRPr="00FE5976">
        <w:rPr>
          <w:rFonts w:eastAsia="Times New Roman" w:cs="Arial"/>
          <w:color w:val="000000"/>
          <w:lang w:val="ru-RU"/>
        </w:rPr>
        <w:t xml:space="preserve"> </w:t>
      </w:r>
      <w:r w:rsidRPr="00FE5976">
        <w:rPr>
          <w:rFonts w:eastAsia="Times New Roman" w:cs="Arial"/>
          <w:color w:val="000000"/>
          <w:lang w:eastAsia="bg-BG"/>
        </w:rPr>
        <w:t xml:space="preserve">натрий (23 </w:t>
      </w:r>
      <w:r w:rsidRPr="00FE5976">
        <w:rPr>
          <w:rFonts w:eastAsia="Times New Roman" w:cs="Arial"/>
          <w:color w:val="000000"/>
          <w:lang w:val="en-US"/>
        </w:rPr>
        <w:t>mg</w:t>
      </w:r>
      <w:r w:rsidRPr="00FE5976">
        <w:rPr>
          <w:rFonts w:eastAsia="Times New Roman" w:cs="Arial"/>
          <w:color w:val="000000"/>
          <w:lang w:val="ru-RU"/>
        </w:rPr>
        <w:t xml:space="preserve">) </w:t>
      </w:r>
      <w:r w:rsidRPr="00FE5976">
        <w:rPr>
          <w:rFonts w:eastAsia="Times New Roman" w:cs="Arial"/>
          <w:color w:val="000000"/>
          <w:lang w:eastAsia="bg-BG"/>
        </w:rPr>
        <w:t>на филмирана таблетка, т.е. може да се каже, че практически не съдържа натрий.</w:t>
      </w:r>
    </w:p>
    <w:p w14:paraId="4CB73984" w14:textId="2C2667A7" w:rsidR="00FE5976" w:rsidRPr="00FE5976" w:rsidRDefault="00FE5976" w:rsidP="00FE5976"/>
    <w:p w14:paraId="619DED1E" w14:textId="6B498A84"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7F53CA15" w14:textId="4C7C89A1" w:rsidR="00FE5976" w:rsidRDefault="00FE5976" w:rsidP="00FE5976"/>
    <w:p w14:paraId="47620E2B"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u w:val="single"/>
          <w:lang w:eastAsia="bg-BG"/>
        </w:rPr>
        <w:t xml:space="preserve">Ефекти на други лекарствени продукти върху Вивекс 500 </w:t>
      </w:r>
      <w:r w:rsidRPr="00FE5976">
        <w:rPr>
          <w:rFonts w:eastAsia="Times New Roman" w:cs="Arial"/>
          <w:color w:val="000000"/>
          <w:szCs w:val="20"/>
          <w:u w:val="single"/>
          <w:lang w:val="en-US"/>
        </w:rPr>
        <w:t>mg</w:t>
      </w:r>
    </w:p>
    <w:p w14:paraId="125E9950" w14:textId="77777777" w:rsidR="00FE5976" w:rsidRPr="00FE5976" w:rsidRDefault="00FE5976" w:rsidP="00FE5976">
      <w:pPr>
        <w:spacing w:line="240" w:lineRule="auto"/>
        <w:rPr>
          <w:rFonts w:eastAsia="Times New Roman" w:cs="Arial"/>
          <w:i/>
          <w:iCs/>
          <w:color w:val="000000"/>
          <w:szCs w:val="20"/>
          <w:lang w:eastAsia="bg-BG"/>
        </w:rPr>
      </w:pPr>
    </w:p>
    <w:p w14:paraId="17C65493" w14:textId="208E68FE"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Железни соли, цинкови соли, магнезий- или алуминий-съдържащи антиациди, диданозин</w:t>
      </w:r>
    </w:p>
    <w:p w14:paraId="2EA753C9"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Абсорбцията на левофлоксацин е значително намалена, когато 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таблетки се прилага едновременно с железни соли, магнезий- или алуминий-съдържащи антиациди или диданозин (само форми на диданозин с алуминий- или магнезий-съдържащи буфериращи средства).</w:t>
      </w:r>
    </w:p>
    <w:p w14:paraId="64460B54"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lastRenderedPageBreak/>
        <w:t xml:space="preserve">Изглежда, че едновременното приложение на флурохинолони с мултивитамини, съдържащи цинк, намалява тяхната перорална абсорбция. Препоръчва се препаратите, съдържащи двувалентни или тривалентни катиони като железни соли, цинкови соли, или магнезий-, или алуминий-съдържащи антиациди, или диданозин (само форми на диданозин с алуминий- или магнезий-съдържащи буфериращи средства) не трябва да бъдат приемани до 2 часа преди или след приложението на 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таблетки (вж. точка 4.2). Калциевите соли имат минимален ефект върху пероралната абсорбция на левофлоксацин.</w:t>
      </w:r>
    </w:p>
    <w:p w14:paraId="0B45E4D6" w14:textId="77777777" w:rsidR="00FE5976" w:rsidRPr="00FE5976" w:rsidRDefault="00FE5976" w:rsidP="00FE5976">
      <w:pPr>
        <w:spacing w:line="240" w:lineRule="auto"/>
        <w:rPr>
          <w:rFonts w:eastAsia="Times New Roman" w:cs="Arial"/>
          <w:i/>
          <w:iCs/>
          <w:color w:val="000000"/>
          <w:szCs w:val="20"/>
          <w:lang w:eastAsia="bg-BG"/>
        </w:rPr>
      </w:pPr>
    </w:p>
    <w:p w14:paraId="6E2D7007" w14:textId="522C5F03"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Сукралфат</w:t>
      </w:r>
    </w:p>
    <w:p w14:paraId="602FA691"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Бионаличността на 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 xml:space="preserve">таблетки се намалява значително, когато се прилага едновременно със сукралфат. Ако пациентите трябва да приемат и сукралфат, и 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 xml:space="preserve">най-добре е да приемат сукралфат 2 часа след приложението на 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таблетки (вж. точка 4.2).</w:t>
      </w:r>
    </w:p>
    <w:p w14:paraId="3176EC3D" w14:textId="77777777" w:rsidR="00FE5976" w:rsidRPr="00FE5976" w:rsidRDefault="00FE5976" w:rsidP="00FE5976">
      <w:pPr>
        <w:spacing w:line="240" w:lineRule="auto"/>
        <w:rPr>
          <w:rFonts w:eastAsia="Times New Roman" w:cs="Arial"/>
          <w:i/>
          <w:iCs/>
          <w:color w:val="000000"/>
          <w:szCs w:val="20"/>
          <w:lang w:eastAsia="bg-BG"/>
        </w:rPr>
      </w:pPr>
    </w:p>
    <w:p w14:paraId="1F15E36B" w14:textId="1368AB0E"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Теофилин, фенбуфен или подобни нестероидни противовъзпалителни лекарства</w:t>
      </w:r>
    </w:p>
    <w:p w14:paraId="25C23213"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Не са наблюдавани фармакокинетични взаимодействия на левофлоксацин с теофилин в клинично проучване. Въпреки това може да настъпи изразено понижаване на церебралния праг на припадъци при едновременно приложение на хинолони с теофилин, нестероидни противовъзпалителни лекарства или други средства, които снижават прага на припадъци. Концентрацията на левофлоксацин е около 13% по-висока в присъствието на фенбуфен, отколкото при самостоятелното му приложение.</w:t>
      </w:r>
    </w:p>
    <w:p w14:paraId="690689F3" w14:textId="77777777" w:rsidR="00FE5976" w:rsidRPr="00FE5976" w:rsidRDefault="00FE5976" w:rsidP="00FE5976">
      <w:pPr>
        <w:spacing w:line="240" w:lineRule="auto"/>
        <w:rPr>
          <w:rFonts w:eastAsia="Times New Roman" w:cs="Arial"/>
          <w:i/>
          <w:iCs/>
          <w:color w:val="000000"/>
          <w:szCs w:val="20"/>
          <w:lang w:eastAsia="bg-BG"/>
        </w:rPr>
      </w:pPr>
    </w:p>
    <w:p w14:paraId="2607D134" w14:textId="3A51A3D2"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Пробенецид и циметидин</w:t>
      </w:r>
    </w:p>
    <w:p w14:paraId="14F18A9D"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Пробенецид и циметидин имат статистически значим ефект върху елиминирането на левофлоксацин. Бъбречният клирънс на левофлоксацин се намалява от циметидин (24%) и пробенецид (34%). Това се случва тъй като двете лекарства са в състояние да блокират бъбречната тубулна секреция на левофлоксацин. Въпреки това при изпитваните дози в проучването, малко вероятно е статистически значимите кинетични разлики да са от клинична значимост.</w:t>
      </w:r>
    </w:p>
    <w:p w14:paraId="115F70E5"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Необходимо е повишено внимание при едновременно приложение на левофлоксацин с</w:t>
      </w:r>
    </w:p>
    <w:p w14:paraId="60B8C505" w14:textId="3AE7273D" w:rsidR="00FE5976" w:rsidRPr="00FE5976" w:rsidRDefault="00FE5976" w:rsidP="00FE5976">
      <w:pPr>
        <w:rPr>
          <w:rFonts w:eastAsia="Times New Roman" w:cs="Arial"/>
          <w:color w:val="000000"/>
          <w:szCs w:val="20"/>
          <w:lang w:eastAsia="bg-BG"/>
        </w:rPr>
      </w:pPr>
      <w:r w:rsidRPr="00FE5976">
        <w:rPr>
          <w:rFonts w:eastAsia="Times New Roman" w:cs="Arial"/>
          <w:color w:val="000000"/>
          <w:szCs w:val="20"/>
          <w:lang w:eastAsia="bg-BG"/>
        </w:rPr>
        <w:t>лекарства, засягащи бъречната тубулна секреция като пробенецид и циметидин, особено при пациенти с бъбречни увреждания.</w:t>
      </w:r>
    </w:p>
    <w:p w14:paraId="50D92195" w14:textId="34EA237A" w:rsidR="00FE5976" w:rsidRPr="00FE5976" w:rsidRDefault="00FE5976" w:rsidP="00FE5976">
      <w:pPr>
        <w:rPr>
          <w:rFonts w:eastAsia="Times New Roman" w:cs="Arial"/>
          <w:color w:val="000000"/>
          <w:szCs w:val="20"/>
          <w:lang w:eastAsia="bg-BG"/>
        </w:rPr>
      </w:pPr>
    </w:p>
    <w:p w14:paraId="1CA0FECD" w14:textId="77777777"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Друга съществена информация</w:t>
      </w:r>
    </w:p>
    <w:p w14:paraId="675BC472"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Клинични фармакологични проучвания показват, че фармакокинетиката на левофлоксацин не е засегната в клинично значима степен, когато левофлоксацин се прилага заедно със следните лекарства: калциев карбонат, дигоксин, глибенкламид, ранитидин.</w:t>
      </w:r>
    </w:p>
    <w:p w14:paraId="53E33146" w14:textId="77777777" w:rsidR="00FE5976" w:rsidRPr="00FE5976" w:rsidRDefault="00FE5976" w:rsidP="00FE5976">
      <w:pPr>
        <w:spacing w:line="240" w:lineRule="auto"/>
        <w:rPr>
          <w:rFonts w:eastAsia="Times New Roman" w:cs="Arial"/>
          <w:color w:val="000000"/>
          <w:szCs w:val="20"/>
          <w:u w:val="single"/>
          <w:lang w:eastAsia="bg-BG"/>
        </w:rPr>
      </w:pPr>
    </w:p>
    <w:p w14:paraId="468C2D08" w14:textId="49516D84"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u w:val="single"/>
          <w:lang w:eastAsia="bg-BG"/>
        </w:rPr>
        <w:t xml:space="preserve">Ефекти на Вивекс 500 </w:t>
      </w:r>
      <w:r w:rsidRPr="00FE5976">
        <w:rPr>
          <w:rFonts w:eastAsia="Times New Roman" w:cs="Arial"/>
          <w:color w:val="000000"/>
          <w:szCs w:val="20"/>
          <w:u w:val="single"/>
          <w:lang w:val="en-US"/>
        </w:rPr>
        <w:t>mg</w:t>
      </w:r>
      <w:r w:rsidRPr="00FE5976">
        <w:rPr>
          <w:rFonts w:eastAsia="Times New Roman" w:cs="Arial"/>
          <w:color w:val="000000"/>
          <w:szCs w:val="20"/>
          <w:u w:val="single"/>
          <w:lang w:val="ru-RU"/>
        </w:rPr>
        <w:t xml:space="preserve"> </w:t>
      </w:r>
      <w:r w:rsidRPr="00FE5976">
        <w:rPr>
          <w:rFonts w:eastAsia="Times New Roman" w:cs="Arial"/>
          <w:color w:val="000000"/>
          <w:szCs w:val="20"/>
          <w:u w:val="single"/>
          <w:lang w:eastAsia="bg-BG"/>
        </w:rPr>
        <w:t xml:space="preserve">върху други лекарствени </w:t>
      </w:r>
      <w:r w:rsidRPr="00FE5976">
        <w:rPr>
          <w:rFonts w:eastAsia="Times New Roman" w:cs="Arial"/>
          <w:smallCaps/>
          <w:color w:val="000000"/>
          <w:szCs w:val="20"/>
          <w:u w:val="single"/>
          <w:lang w:eastAsia="bg-BG"/>
        </w:rPr>
        <w:t>продукти</w:t>
      </w:r>
    </w:p>
    <w:p w14:paraId="152C0D26" w14:textId="77777777" w:rsidR="00FE5976" w:rsidRPr="00FE5976" w:rsidRDefault="00FE5976" w:rsidP="00FE5976">
      <w:pPr>
        <w:spacing w:line="240" w:lineRule="auto"/>
        <w:rPr>
          <w:rFonts w:eastAsia="Times New Roman" w:cs="Arial"/>
          <w:i/>
          <w:iCs/>
          <w:color w:val="000000"/>
          <w:szCs w:val="20"/>
          <w:lang w:eastAsia="bg-BG"/>
        </w:rPr>
      </w:pPr>
    </w:p>
    <w:p w14:paraId="0AA86560" w14:textId="4DE63FD7"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Циклоспорин</w:t>
      </w:r>
    </w:p>
    <w:p w14:paraId="7945C2B4"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Полуживотьт на циклоспорин се повишава с 33%, когато се прилага с левофлоксацин.</w:t>
      </w:r>
    </w:p>
    <w:p w14:paraId="3CF46274" w14:textId="77777777" w:rsidR="00FE5976" w:rsidRPr="00FE5976" w:rsidRDefault="00FE5976" w:rsidP="00FE5976">
      <w:pPr>
        <w:spacing w:line="240" w:lineRule="auto"/>
        <w:rPr>
          <w:rFonts w:eastAsia="Times New Roman" w:cs="Arial"/>
          <w:i/>
          <w:iCs/>
          <w:color w:val="000000"/>
          <w:szCs w:val="20"/>
          <w:lang w:eastAsia="bg-BG"/>
        </w:rPr>
      </w:pPr>
    </w:p>
    <w:p w14:paraId="044B6164" w14:textId="7C2545D1"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Витамин К антагонисти</w:t>
      </w:r>
    </w:p>
    <w:p w14:paraId="5AE3DF51"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Съобщавани са повишени стойности при коагулационни тестове </w:t>
      </w:r>
      <w:r w:rsidRPr="00FE5976">
        <w:rPr>
          <w:rFonts w:eastAsia="Times New Roman" w:cs="Arial"/>
          <w:color w:val="000000"/>
          <w:szCs w:val="20"/>
          <w:lang w:val="ru-RU"/>
        </w:rPr>
        <w:t>(</w:t>
      </w:r>
      <w:r w:rsidRPr="00FE5976">
        <w:rPr>
          <w:rFonts w:eastAsia="Times New Roman" w:cs="Arial"/>
          <w:color w:val="000000"/>
          <w:szCs w:val="20"/>
          <w:lang w:val="en-US"/>
        </w:rPr>
        <w:t>PT</w:t>
      </w:r>
      <w:r w:rsidRPr="00FE5976">
        <w:rPr>
          <w:rFonts w:eastAsia="Times New Roman" w:cs="Arial"/>
          <w:color w:val="000000"/>
          <w:szCs w:val="20"/>
          <w:lang w:val="ru-RU"/>
        </w:rPr>
        <w:t>/</w:t>
      </w:r>
      <w:r w:rsidRPr="00FE5976">
        <w:rPr>
          <w:rFonts w:eastAsia="Times New Roman" w:cs="Arial"/>
          <w:color w:val="000000"/>
          <w:szCs w:val="20"/>
          <w:lang w:val="en-US"/>
        </w:rPr>
        <w:t>INR</w:t>
      </w:r>
      <w:r w:rsidRPr="00FE5976">
        <w:rPr>
          <w:rFonts w:eastAsia="Times New Roman" w:cs="Arial"/>
          <w:color w:val="000000"/>
          <w:szCs w:val="20"/>
          <w:lang w:val="ru-RU"/>
        </w:rPr>
        <w:t xml:space="preserve">) </w:t>
      </w:r>
      <w:r w:rsidRPr="00FE5976">
        <w:rPr>
          <w:rFonts w:eastAsia="Times New Roman" w:cs="Arial"/>
          <w:color w:val="000000"/>
          <w:szCs w:val="20"/>
          <w:lang w:eastAsia="bg-BG"/>
        </w:rPr>
        <w:t>и/или кървене, което може да бъде тежко, при пациенти лекувани с левофлоксацин в комбинация с витамин К антагонист (напр.</w:t>
      </w:r>
    </w:p>
    <w:p w14:paraId="72FB03C9"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варфарин). Поради това коагулационните тестове трябва да бъдат проследявани при пациенти, лекувани с витамин К антагонисти (виж точка 4.4).</w:t>
      </w:r>
    </w:p>
    <w:p w14:paraId="06942392" w14:textId="77777777" w:rsidR="00FE5976" w:rsidRPr="00FE5976" w:rsidRDefault="00FE5976" w:rsidP="00FE5976">
      <w:pPr>
        <w:spacing w:line="240" w:lineRule="auto"/>
        <w:rPr>
          <w:rFonts w:eastAsia="Times New Roman" w:cs="Arial"/>
          <w:i/>
          <w:iCs/>
          <w:color w:val="000000"/>
          <w:szCs w:val="20"/>
          <w:lang w:eastAsia="bg-BG"/>
        </w:rPr>
      </w:pPr>
    </w:p>
    <w:p w14:paraId="22CD1C4C" w14:textId="56012FD0"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lang w:eastAsia="bg-BG"/>
        </w:rPr>
        <w:t xml:space="preserve">Лекарства, удължаващи </w:t>
      </w:r>
      <w:r w:rsidRPr="00FE5976">
        <w:rPr>
          <w:rFonts w:eastAsia="Times New Roman" w:cs="Arial"/>
          <w:i/>
          <w:iCs/>
          <w:color w:val="000000"/>
          <w:szCs w:val="20"/>
          <w:lang w:val="en-US"/>
        </w:rPr>
        <w:t>QT</w:t>
      </w:r>
      <w:r w:rsidRPr="00FE5976">
        <w:rPr>
          <w:rFonts w:eastAsia="Times New Roman" w:cs="Arial"/>
          <w:i/>
          <w:iCs/>
          <w:color w:val="000000"/>
          <w:szCs w:val="20"/>
          <w:lang w:val="ru-RU"/>
        </w:rPr>
        <w:t xml:space="preserve"> </w:t>
      </w:r>
      <w:r w:rsidRPr="00FE5976">
        <w:rPr>
          <w:rFonts w:eastAsia="Times New Roman" w:cs="Arial"/>
          <w:i/>
          <w:iCs/>
          <w:color w:val="000000"/>
          <w:szCs w:val="20"/>
          <w:lang w:eastAsia="bg-BG"/>
        </w:rPr>
        <w:t>интервала</w:t>
      </w:r>
    </w:p>
    <w:p w14:paraId="31C36734"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 xml:space="preserve">Левофлоксацин подобно на другите флуорохинолони, трябва да бъде прилаган с внимание при пациенти, които приемат лекарства, удължаващи </w:t>
      </w:r>
      <w:r w:rsidRPr="00FE5976">
        <w:rPr>
          <w:rFonts w:eastAsia="Times New Roman" w:cs="Arial"/>
          <w:color w:val="000000"/>
          <w:szCs w:val="20"/>
          <w:lang w:val="en-US"/>
        </w:rPr>
        <w:t>QT</w:t>
      </w:r>
      <w:r w:rsidRPr="00FE5976">
        <w:rPr>
          <w:rFonts w:eastAsia="Times New Roman" w:cs="Arial"/>
          <w:color w:val="000000"/>
          <w:szCs w:val="20"/>
          <w:lang w:val="ru-RU"/>
        </w:rPr>
        <w:t xml:space="preserve"> </w:t>
      </w:r>
      <w:r w:rsidRPr="00FE5976">
        <w:rPr>
          <w:rFonts w:eastAsia="Times New Roman" w:cs="Arial"/>
          <w:color w:val="000000"/>
          <w:szCs w:val="20"/>
          <w:lang w:eastAsia="bg-BG"/>
        </w:rPr>
        <w:t xml:space="preserve">интервала (напр. клас </w:t>
      </w:r>
      <w:r w:rsidRPr="00FE5976">
        <w:rPr>
          <w:rFonts w:eastAsia="Times New Roman" w:cs="Arial"/>
          <w:color w:val="000000"/>
          <w:szCs w:val="20"/>
          <w:lang w:val="en-US"/>
        </w:rPr>
        <w:t>IA</w:t>
      </w:r>
      <w:r w:rsidRPr="00FE5976">
        <w:rPr>
          <w:rFonts w:eastAsia="Times New Roman" w:cs="Arial"/>
          <w:color w:val="000000"/>
          <w:szCs w:val="20"/>
          <w:lang w:val="ru-RU"/>
        </w:rPr>
        <w:t xml:space="preserve"> </w:t>
      </w:r>
      <w:r w:rsidRPr="00FE5976">
        <w:rPr>
          <w:rFonts w:eastAsia="Times New Roman" w:cs="Arial"/>
          <w:color w:val="000000"/>
          <w:szCs w:val="20"/>
          <w:lang w:eastAsia="bg-BG"/>
        </w:rPr>
        <w:t>и III антиаритмици, три циклични антидепресанти, макролиди, антипсихотици) (вж. точка 4.4 Сърдечни нарушения Предупреждения и специални предпазни мерки при употреба).</w:t>
      </w:r>
    </w:p>
    <w:p w14:paraId="5910C582" w14:textId="77777777" w:rsidR="00FE5976" w:rsidRPr="00FE5976" w:rsidRDefault="00FE5976" w:rsidP="00FE5976">
      <w:pPr>
        <w:spacing w:line="240" w:lineRule="auto"/>
        <w:rPr>
          <w:rFonts w:eastAsia="Times New Roman" w:cs="Arial"/>
          <w:i/>
          <w:iCs/>
          <w:color w:val="000000"/>
          <w:szCs w:val="20"/>
          <w:u w:val="single"/>
          <w:lang w:eastAsia="bg-BG"/>
        </w:rPr>
      </w:pPr>
    </w:p>
    <w:p w14:paraId="305AF655" w14:textId="0671DBFA" w:rsidR="00FE5976" w:rsidRPr="00FE5976" w:rsidRDefault="00FE5976" w:rsidP="00FE5976">
      <w:pPr>
        <w:spacing w:line="240" w:lineRule="auto"/>
        <w:rPr>
          <w:rFonts w:eastAsia="Times New Roman" w:cs="Arial"/>
          <w:sz w:val="28"/>
          <w:szCs w:val="24"/>
        </w:rPr>
      </w:pPr>
      <w:r w:rsidRPr="00FE5976">
        <w:rPr>
          <w:rFonts w:eastAsia="Times New Roman" w:cs="Arial"/>
          <w:i/>
          <w:iCs/>
          <w:color w:val="000000"/>
          <w:szCs w:val="20"/>
          <w:u w:val="single"/>
          <w:lang w:eastAsia="bg-BG"/>
        </w:rPr>
        <w:t>Други форми на взаимодействие</w:t>
      </w:r>
    </w:p>
    <w:p w14:paraId="0F4C91BA" w14:textId="77777777" w:rsidR="00FE5976" w:rsidRPr="00FE5976" w:rsidRDefault="00FE5976" w:rsidP="00FE5976">
      <w:pPr>
        <w:spacing w:line="240" w:lineRule="auto"/>
        <w:rPr>
          <w:rFonts w:eastAsia="Times New Roman" w:cs="Arial"/>
          <w:color w:val="000000"/>
          <w:szCs w:val="20"/>
          <w:lang w:eastAsia="bg-BG"/>
        </w:rPr>
      </w:pPr>
    </w:p>
    <w:p w14:paraId="2CA8D673" w14:textId="7375F533"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Храна</w:t>
      </w:r>
    </w:p>
    <w:p w14:paraId="155FCAB3" w14:textId="6E78EF1B" w:rsidR="00FE5976" w:rsidRDefault="00FE5976" w:rsidP="00FE5976">
      <w:pPr>
        <w:rPr>
          <w:rFonts w:eastAsia="Times New Roman" w:cs="Arial"/>
          <w:color w:val="000000"/>
          <w:szCs w:val="20"/>
          <w:lang w:eastAsia="bg-BG"/>
        </w:rPr>
      </w:pPr>
      <w:r w:rsidRPr="00FE5976">
        <w:rPr>
          <w:rFonts w:eastAsia="Times New Roman" w:cs="Arial"/>
          <w:color w:val="000000"/>
          <w:szCs w:val="20"/>
          <w:lang w:eastAsia="bg-BG"/>
        </w:rPr>
        <w:t xml:space="preserve">Не са отбелязани клинично значими взаимодействия с храни. Ето защо, таблетките Вивекс 500 </w:t>
      </w:r>
      <w:r w:rsidRPr="00FE5976">
        <w:rPr>
          <w:rFonts w:eastAsia="Times New Roman" w:cs="Arial"/>
          <w:color w:val="000000"/>
          <w:szCs w:val="20"/>
          <w:lang w:val="en-US"/>
        </w:rPr>
        <w:t>mg</w:t>
      </w:r>
      <w:r w:rsidRPr="00FE5976">
        <w:rPr>
          <w:rFonts w:eastAsia="Times New Roman" w:cs="Arial"/>
          <w:color w:val="000000"/>
          <w:szCs w:val="20"/>
          <w:lang w:val="ru-RU"/>
        </w:rPr>
        <w:t xml:space="preserve"> </w:t>
      </w:r>
      <w:r w:rsidRPr="00FE5976">
        <w:rPr>
          <w:rFonts w:eastAsia="Times New Roman" w:cs="Arial"/>
          <w:color w:val="000000"/>
          <w:szCs w:val="20"/>
          <w:lang w:eastAsia="bg-BG"/>
        </w:rPr>
        <w:t>могат да се прилагат независимо от приема на храна.</w:t>
      </w:r>
    </w:p>
    <w:p w14:paraId="1339DAC1" w14:textId="002B9B0B" w:rsidR="00FE5976" w:rsidRPr="00FE5976" w:rsidRDefault="00FE5976" w:rsidP="00FE5976">
      <w:pPr>
        <w:rPr>
          <w:rFonts w:cs="Arial"/>
          <w:sz w:val="24"/>
        </w:rPr>
      </w:pPr>
    </w:p>
    <w:p w14:paraId="394A7584" w14:textId="23E79CB6" w:rsidR="004F498A" w:rsidRDefault="002C50EE" w:rsidP="004A448E">
      <w:pPr>
        <w:pStyle w:val="Heading2"/>
      </w:pPr>
      <w:r>
        <w:t>4.6. Фертилитет, бременност и кърмене</w:t>
      </w:r>
    </w:p>
    <w:p w14:paraId="0773AFF0" w14:textId="7C31466D" w:rsidR="00FE5976" w:rsidRDefault="00FE5976" w:rsidP="00FE5976"/>
    <w:p w14:paraId="24573C1D" w14:textId="77777777" w:rsidR="00FE5976" w:rsidRPr="00FE5976" w:rsidRDefault="00FE5976" w:rsidP="00FE5976">
      <w:pPr>
        <w:pStyle w:val="Heading3"/>
        <w:rPr>
          <w:rFonts w:eastAsia="Times New Roman"/>
          <w:b/>
          <w:i/>
        </w:rPr>
      </w:pPr>
      <w:r w:rsidRPr="00FE5976">
        <w:rPr>
          <w:rFonts w:eastAsia="Times New Roman"/>
          <w:b/>
          <w:i/>
          <w:lang w:eastAsia="bg-BG"/>
        </w:rPr>
        <w:t>Бременност</w:t>
      </w:r>
    </w:p>
    <w:p w14:paraId="41A9ED71" w14:textId="77777777" w:rsidR="00FE5976" w:rsidRPr="00FE5976" w:rsidRDefault="00FE5976" w:rsidP="00FE5976">
      <w:pPr>
        <w:rPr>
          <w:sz w:val="24"/>
          <w:szCs w:val="24"/>
        </w:rPr>
      </w:pPr>
      <w:r w:rsidRPr="00FE5976">
        <w:rPr>
          <w:lang w:eastAsia="bg-BG"/>
        </w:rPr>
        <w:t>Има ограничени данни от употребата на левофлоксацин при бременни жени. Проучванията при Животни не показват директни или индиректни увреждащи ефекти с оглед на репродуктивна токсичност (виж точка 5.3). Въпреки това поради липсата на данни при хора и поради това, че експерименталните данни предполагат риск от увреждане на носещите тежестта хрущяли на растящия организъм от флуорохинолоните левофлоксацин не трябва да се прилага при бременни жени (виж точка 4.3 и 5.3).</w:t>
      </w:r>
    </w:p>
    <w:p w14:paraId="1B3E062F" w14:textId="77777777" w:rsidR="00FE5976" w:rsidRDefault="00FE5976" w:rsidP="00FE5976">
      <w:pPr>
        <w:rPr>
          <w:lang w:eastAsia="bg-BG"/>
        </w:rPr>
      </w:pPr>
    </w:p>
    <w:p w14:paraId="2F06D7C7" w14:textId="35F1E07E" w:rsidR="00FE5976" w:rsidRPr="00FE5976" w:rsidRDefault="00FE5976" w:rsidP="00FE5976">
      <w:pPr>
        <w:pStyle w:val="Heading3"/>
        <w:rPr>
          <w:rFonts w:eastAsia="Times New Roman"/>
          <w:b/>
          <w:i/>
        </w:rPr>
      </w:pPr>
      <w:r w:rsidRPr="00FE5976">
        <w:rPr>
          <w:rFonts w:eastAsia="Times New Roman"/>
          <w:b/>
          <w:i/>
          <w:lang w:eastAsia="bg-BG"/>
        </w:rPr>
        <w:t>Кърмене</w:t>
      </w:r>
    </w:p>
    <w:p w14:paraId="3490AAF6" w14:textId="77777777" w:rsidR="00FE5976" w:rsidRPr="00FE5976" w:rsidRDefault="00FE5976" w:rsidP="00FE5976">
      <w:pPr>
        <w:rPr>
          <w:sz w:val="24"/>
          <w:szCs w:val="24"/>
        </w:rPr>
      </w:pPr>
      <w:r w:rsidRPr="00FE5976">
        <w:rPr>
          <w:lang w:eastAsia="bg-BG"/>
        </w:rPr>
        <w:t xml:space="preserve">Вивекс 500 </w:t>
      </w:r>
      <w:r w:rsidRPr="00FE5976">
        <w:rPr>
          <w:lang w:val="en-US"/>
        </w:rPr>
        <w:t>mg</w:t>
      </w:r>
      <w:r w:rsidRPr="00FE5976">
        <w:rPr>
          <w:lang w:val="ru-RU"/>
        </w:rPr>
        <w:t xml:space="preserve"> </w:t>
      </w:r>
      <w:r w:rsidRPr="00FE5976">
        <w:rPr>
          <w:lang w:eastAsia="bg-BG"/>
        </w:rPr>
        <w:t>е противопоказан при жени, които кърмят. Няма достатъчно информация за екскрецията на левофлоксацин в кърмата, въпреки че останалите флуорохинолони се екскретират в кърмата.</w:t>
      </w:r>
    </w:p>
    <w:p w14:paraId="2CFB65A7" w14:textId="77777777" w:rsidR="00FE5976" w:rsidRPr="00FE5976" w:rsidRDefault="00FE5976" w:rsidP="00FE5976">
      <w:pPr>
        <w:rPr>
          <w:sz w:val="24"/>
          <w:szCs w:val="24"/>
        </w:rPr>
      </w:pPr>
      <w:r w:rsidRPr="00FE5976">
        <w:rPr>
          <w:lang w:eastAsia="bg-BG"/>
        </w:rPr>
        <w:t>Поради липсата на данни при хора и поради това, че експерименталните данни предполагат риск от увреждане на носещите тежестта хрущяли на растящия организъм от флуорохинолоните левофлоксацин таблетки не трябва да се прилага при кърмачки (виж точки 4.3 и 5.3).</w:t>
      </w:r>
    </w:p>
    <w:p w14:paraId="7E8B02A8" w14:textId="77777777" w:rsidR="00FE5976" w:rsidRDefault="00FE5976" w:rsidP="00FE5976">
      <w:pPr>
        <w:rPr>
          <w:lang w:eastAsia="bg-BG"/>
        </w:rPr>
      </w:pPr>
    </w:p>
    <w:p w14:paraId="437779AE" w14:textId="33A93CB7" w:rsidR="00FE5976" w:rsidRPr="00FE5976" w:rsidRDefault="00FE5976" w:rsidP="00FE5976">
      <w:pPr>
        <w:pStyle w:val="Heading3"/>
        <w:rPr>
          <w:rFonts w:eastAsia="Times New Roman"/>
          <w:b/>
          <w:i/>
        </w:rPr>
      </w:pPr>
      <w:r w:rsidRPr="00FE5976">
        <w:rPr>
          <w:rFonts w:eastAsia="Times New Roman"/>
          <w:b/>
          <w:i/>
          <w:lang w:eastAsia="bg-BG"/>
        </w:rPr>
        <w:t>Фертилитет</w:t>
      </w:r>
    </w:p>
    <w:p w14:paraId="5983E306" w14:textId="77777777" w:rsidR="00FE5976" w:rsidRPr="00FE5976" w:rsidRDefault="00FE5976" w:rsidP="00FE5976">
      <w:pPr>
        <w:rPr>
          <w:sz w:val="24"/>
          <w:szCs w:val="24"/>
        </w:rPr>
      </w:pPr>
      <w:r w:rsidRPr="00FE5976">
        <w:rPr>
          <w:lang w:eastAsia="bg-BG"/>
        </w:rPr>
        <w:t>Левофлоксацин не предизвиква увреждане на фертилитета или репродуктивните способности при плъхове.</w:t>
      </w:r>
    </w:p>
    <w:p w14:paraId="0967C54D" w14:textId="77777777" w:rsidR="00FE5976" w:rsidRPr="00FE5976" w:rsidRDefault="00FE5976" w:rsidP="00FE5976"/>
    <w:p w14:paraId="064DF1DE" w14:textId="35800CB2" w:rsidR="00CF77F7" w:rsidRDefault="002C50EE" w:rsidP="004A448E">
      <w:pPr>
        <w:pStyle w:val="Heading2"/>
      </w:pPr>
      <w:r>
        <w:t>4.7. Ефекти върху способността за шофиране и работа с машини</w:t>
      </w:r>
    </w:p>
    <w:p w14:paraId="0C73D76B" w14:textId="531BD3AD" w:rsidR="00FE5976" w:rsidRDefault="00FE5976" w:rsidP="00FE5976"/>
    <w:p w14:paraId="7A5B0287" w14:textId="77777777" w:rsidR="00FE5976" w:rsidRPr="00FE5976" w:rsidRDefault="00FE5976" w:rsidP="00FE5976">
      <w:pPr>
        <w:rPr>
          <w:sz w:val="24"/>
          <w:szCs w:val="24"/>
        </w:rPr>
      </w:pPr>
      <w:r w:rsidRPr="00FE5976">
        <w:rPr>
          <w:lang w:eastAsia="bg-BG"/>
        </w:rPr>
        <w:t>Някои нежелани явления (напр. замайване/вертиго, сънливост, зрителни смущения) могат да нарушат способността на пациентите да се концентрират и реагират, поради което е възможно да възникнат опасности в ситуации, при които тези способности са от особена важност (например при шофиране или работа с машини).</w:t>
      </w:r>
    </w:p>
    <w:p w14:paraId="6D946957" w14:textId="77777777" w:rsidR="00FE5976" w:rsidRPr="00FE5976" w:rsidRDefault="00FE5976" w:rsidP="00FE5976"/>
    <w:p w14:paraId="37A3FD9F" w14:textId="107CF998" w:rsidR="00CF77F7" w:rsidRDefault="002C50EE" w:rsidP="004A448E">
      <w:pPr>
        <w:pStyle w:val="Heading2"/>
      </w:pPr>
      <w:r>
        <w:t>4.8. Нежелани лекарствени реакции</w:t>
      </w:r>
    </w:p>
    <w:p w14:paraId="257FFC22" w14:textId="39F87BDE" w:rsidR="00FE5976" w:rsidRDefault="00FE5976" w:rsidP="00FE5976"/>
    <w:p w14:paraId="42814EB6" w14:textId="77777777"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lastRenderedPageBreak/>
        <w:t>Информацията, представена по-долу е въз основа на данни от клинични проучвания при повече от 8300 пациенти и на обширен опит след пускане на продукта в продажба.</w:t>
      </w:r>
    </w:p>
    <w:p w14:paraId="67D83E95" w14:textId="77777777" w:rsidR="00FE5976" w:rsidRPr="00FE5976" w:rsidRDefault="00FE5976" w:rsidP="00FE5976">
      <w:pPr>
        <w:spacing w:line="240" w:lineRule="auto"/>
        <w:rPr>
          <w:rFonts w:eastAsia="Times New Roman" w:cs="Arial"/>
          <w:color w:val="000000"/>
          <w:szCs w:val="20"/>
          <w:lang w:eastAsia="bg-BG"/>
        </w:rPr>
      </w:pPr>
    </w:p>
    <w:p w14:paraId="75B56924" w14:textId="5B265002" w:rsidR="00FE5976" w:rsidRPr="00FE5976" w:rsidRDefault="00FE5976" w:rsidP="00FE5976">
      <w:pPr>
        <w:spacing w:line="240" w:lineRule="auto"/>
        <w:rPr>
          <w:rFonts w:eastAsia="Times New Roman" w:cs="Arial"/>
          <w:sz w:val="28"/>
          <w:szCs w:val="24"/>
        </w:rPr>
      </w:pPr>
      <w:r w:rsidRPr="00FE5976">
        <w:rPr>
          <w:rFonts w:eastAsia="Times New Roman" w:cs="Arial"/>
          <w:color w:val="000000"/>
          <w:szCs w:val="20"/>
          <w:lang w:eastAsia="bg-BG"/>
        </w:rPr>
        <w:t>Честотите в таблицата са дефинирани съобразно следната конвенция много чести (≥1/10), чести (≥1/100 до &lt;1/10), нечести (≥1/1 000 до &lt; 1/100), редки (≥1/10 000 до &lt;1/1 000), много редки (&lt; 1/10000), неизвестна честота (от наличните данни не може да бъде направена оценка).</w:t>
      </w:r>
    </w:p>
    <w:p w14:paraId="4B8F7FCA" w14:textId="1537554E" w:rsidR="00FE5976" w:rsidRDefault="00FE5976" w:rsidP="00FE5976">
      <w:pPr>
        <w:spacing w:line="240" w:lineRule="auto"/>
        <w:rPr>
          <w:rFonts w:eastAsia="Times New Roman" w:cs="Arial"/>
          <w:color w:val="000000"/>
          <w:szCs w:val="20"/>
          <w:lang w:eastAsia="bg-BG"/>
        </w:rPr>
      </w:pPr>
      <w:r w:rsidRPr="00FE5976">
        <w:rPr>
          <w:rFonts w:eastAsia="Times New Roman" w:cs="Arial"/>
          <w:color w:val="000000"/>
          <w:szCs w:val="20"/>
          <w:lang w:eastAsia="bg-BG"/>
        </w:rPr>
        <w:t>В рамките на всяко групиране по честота нежеланите реакции са представени в низходящ ред по отношение на тяхната сериозност.</w:t>
      </w:r>
    </w:p>
    <w:p w14:paraId="06D05407" w14:textId="013436FC" w:rsidR="00FE5976" w:rsidRDefault="00FE5976" w:rsidP="00FE5976">
      <w:pPr>
        <w:spacing w:line="240" w:lineRule="auto"/>
        <w:rPr>
          <w:rFonts w:eastAsia="Times New Roman" w:cs="Arial"/>
          <w:color w:val="000000"/>
          <w:szCs w:val="20"/>
          <w:lang w:eastAsia="bg-BG"/>
        </w:rPr>
      </w:pPr>
    </w:p>
    <w:tbl>
      <w:tblPr>
        <w:tblStyle w:val="TableGrid"/>
        <w:tblW w:w="0" w:type="auto"/>
        <w:tblLook w:val="04A0" w:firstRow="1" w:lastRow="0" w:firstColumn="1" w:lastColumn="0" w:noHBand="0" w:noVBand="1"/>
      </w:tblPr>
      <w:tblGrid>
        <w:gridCol w:w="1820"/>
        <w:gridCol w:w="1463"/>
        <w:gridCol w:w="1586"/>
        <w:gridCol w:w="2294"/>
        <w:gridCol w:w="2187"/>
      </w:tblGrid>
      <w:tr w:rsidR="00FE5976" w14:paraId="3F2DC147" w14:textId="77777777" w:rsidTr="00131C45">
        <w:tc>
          <w:tcPr>
            <w:tcW w:w="1865" w:type="dxa"/>
          </w:tcPr>
          <w:p w14:paraId="50C3A1C6" w14:textId="1B96A913" w:rsidR="00FE5976" w:rsidRPr="00FE5976" w:rsidRDefault="00FE5976" w:rsidP="00FE5976">
            <w:pPr>
              <w:spacing w:line="240" w:lineRule="auto"/>
              <w:rPr>
                <w:rFonts w:eastAsia="Times New Roman" w:cs="Arial"/>
                <w:color w:val="000000"/>
                <w:lang w:eastAsia="bg-BG"/>
              </w:rPr>
            </w:pPr>
            <w:r w:rsidRPr="00FE5976">
              <w:rPr>
                <w:b/>
                <w:bCs/>
              </w:rPr>
              <w:t>Системо- органен клас</w:t>
            </w:r>
          </w:p>
        </w:tc>
        <w:tc>
          <w:tcPr>
            <w:tcW w:w="1497" w:type="dxa"/>
          </w:tcPr>
          <w:p w14:paraId="7C221293" w14:textId="7DE0F0ED" w:rsidR="00FE5976" w:rsidRPr="00FE5976" w:rsidRDefault="00FE5976" w:rsidP="00FE5976">
            <w:pPr>
              <w:spacing w:line="240" w:lineRule="auto"/>
              <w:rPr>
                <w:rFonts w:eastAsia="Times New Roman" w:cs="Arial"/>
                <w:color w:val="000000"/>
                <w:lang w:eastAsia="bg-BG"/>
              </w:rPr>
            </w:pPr>
            <w:r w:rsidRPr="00FE5976">
              <w:rPr>
                <w:b/>
                <w:bCs/>
              </w:rPr>
              <w:t>Чести</w:t>
            </w:r>
          </w:p>
        </w:tc>
        <w:tc>
          <w:tcPr>
            <w:tcW w:w="1623" w:type="dxa"/>
          </w:tcPr>
          <w:p w14:paraId="422F95F3" w14:textId="3987A8B0" w:rsidR="00FE5976" w:rsidRPr="00FE5976" w:rsidRDefault="00FE5976" w:rsidP="00FE5976">
            <w:pPr>
              <w:spacing w:line="240" w:lineRule="auto"/>
              <w:rPr>
                <w:rFonts w:eastAsia="Times New Roman" w:cs="Arial"/>
                <w:color w:val="000000"/>
                <w:lang w:eastAsia="bg-BG"/>
              </w:rPr>
            </w:pPr>
            <w:r w:rsidRPr="00FE5976">
              <w:rPr>
                <w:b/>
                <w:bCs/>
              </w:rPr>
              <w:t>Нечестн</w:t>
            </w:r>
          </w:p>
        </w:tc>
        <w:tc>
          <w:tcPr>
            <w:tcW w:w="2351" w:type="dxa"/>
          </w:tcPr>
          <w:p w14:paraId="3698718E" w14:textId="245F33B1" w:rsidR="00FE5976" w:rsidRPr="00FE5976" w:rsidRDefault="00FE5976" w:rsidP="00FE5976">
            <w:pPr>
              <w:spacing w:line="240" w:lineRule="auto"/>
              <w:rPr>
                <w:rFonts w:eastAsia="Times New Roman" w:cs="Arial"/>
                <w:color w:val="000000"/>
                <w:lang w:eastAsia="bg-BG"/>
              </w:rPr>
            </w:pPr>
            <w:r w:rsidRPr="00FE5976">
              <w:rPr>
                <w:b/>
                <w:bCs/>
              </w:rPr>
              <w:t>Редки</w:t>
            </w:r>
          </w:p>
        </w:tc>
        <w:tc>
          <w:tcPr>
            <w:tcW w:w="2240" w:type="dxa"/>
          </w:tcPr>
          <w:p w14:paraId="734ED946" w14:textId="77777777" w:rsidR="00FE5976" w:rsidRPr="00FE5976" w:rsidRDefault="00FE5976" w:rsidP="00FE5976">
            <w:r w:rsidRPr="00FE5976">
              <w:rPr>
                <w:b/>
                <w:bCs/>
              </w:rPr>
              <w:t>С</w:t>
            </w:r>
            <w:r w:rsidRPr="00FE5976">
              <w:rPr>
                <w:b/>
                <w:bCs/>
              </w:rPr>
              <w:tab/>
              <w:t>неизвестна</w:t>
            </w:r>
          </w:p>
          <w:p w14:paraId="11492C1B" w14:textId="32F259AD" w:rsidR="00FE5976" w:rsidRPr="00FE5976" w:rsidRDefault="00FE5976" w:rsidP="00FE5976">
            <w:pPr>
              <w:spacing w:line="240" w:lineRule="auto"/>
              <w:rPr>
                <w:rFonts w:eastAsia="Times New Roman" w:cs="Arial"/>
                <w:color w:val="000000"/>
                <w:lang w:eastAsia="bg-BG"/>
              </w:rPr>
            </w:pPr>
            <w:r w:rsidRPr="00FE5976">
              <w:rPr>
                <w:b/>
                <w:bCs/>
              </w:rPr>
              <w:t>честота</w:t>
            </w:r>
          </w:p>
        </w:tc>
      </w:tr>
      <w:tr w:rsidR="00FE5976" w14:paraId="6EDEAEBA" w14:textId="77777777" w:rsidTr="00131C45">
        <w:tc>
          <w:tcPr>
            <w:tcW w:w="1865" w:type="dxa"/>
          </w:tcPr>
          <w:p w14:paraId="16671672" w14:textId="77777777" w:rsidR="00FE5976" w:rsidRPr="00FE5976" w:rsidRDefault="00FE5976" w:rsidP="00FE5976">
            <w:r w:rsidRPr="00FE5976">
              <w:t>Инфекции</w:t>
            </w:r>
            <w:r w:rsidRPr="00FE5976">
              <w:tab/>
              <w:t>и</w:t>
            </w:r>
          </w:p>
          <w:p w14:paraId="595CA6D8" w14:textId="0BD4C9AA" w:rsidR="00FE5976" w:rsidRPr="00FE5976" w:rsidRDefault="00FE5976" w:rsidP="00FE5976">
            <w:pPr>
              <w:spacing w:line="240" w:lineRule="auto"/>
              <w:rPr>
                <w:rFonts w:eastAsia="Times New Roman" w:cs="Arial"/>
                <w:color w:val="000000"/>
                <w:lang w:eastAsia="bg-BG"/>
              </w:rPr>
            </w:pPr>
            <w:r w:rsidRPr="00FE5976">
              <w:t>инфестации</w:t>
            </w:r>
          </w:p>
        </w:tc>
        <w:tc>
          <w:tcPr>
            <w:tcW w:w="1497" w:type="dxa"/>
          </w:tcPr>
          <w:p w14:paraId="52799571" w14:textId="77777777" w:rsidR="00FE5976" w:rsidRPr="00FE5976" w:rsidRDefault="00FE5976" w:rsidP="00FE5976">
            <w:pPr>
              <w:spacing w:line="240" w:lineRule="auto"/>
              <w:rPr>
                <w:rFonts w:eastAsia="Times New Roman" w:cs="Arial"/>
                <w:color w:val="000000"/>
                <w:lang w:eastAsia="bg-BG"/>
              </w:rPr>
            </w:pPr>
          </w:p>
        </w:tc>
        <w:tc>
          <w:tcPr>
            <w:tcW w:w="1623" w:type="dxa"/>
          </w:tcPr>
          <w:p w14:paraId="1D66FC40" w14:textId="7D4945B6" w:rsidR="00FE5976" w:rsidRPr="00FE5976" w:rsidRDefault="00FE5976" w:rsidP="00FE5976">
            <w:pPr>
              <w:spacing w:line="240" w:lineRule="auto"/>
              <w:rPr>
                <w:rFonts w:eastAsia="Times New Roman" w:cs="Arial"/>
                <w:color w:val="000000"/>
                <w:lang w:eastAsia="bg-BG"/>
              </w:rPr>
            </w:pPr>
            <w:r w:rsidRPr="00FE5976">
              <w:t>Гъбични инфекции включително инфекции с кандида. Патогенна резистентност</w:t>
            </w:r>
          </w:p>
        </w:tc>
        <w:tc>
          <w:tcPr>
            <w:tcW w:w="2351" w:type="dxa"/>
          </w:tcPr>
          <w:p w14:paraId="12E7E1D1" w14:textId="77777777" w:rsidR="00FE5976" w:rsidRPr="00FE5976" w:rsidRDefault="00FE5976" w:rsidP="00FE5976">
            <w:pPr>
              <w:spacing w:line="240" w:lineRule="auto"/>
              <w:rPr>
                <w:rFonts w:eastAsia="Times New Roman" w:cs="Arial"/>
                <w:color w:val="000000"/>
                <w:lang w:eastAsia="bg-BG"/>
              </w:rPr>
            </w:pPr>
          </w:p>
        </w:tc>
        <w:tc>
          <w:tcPr>
            <w:tcW w:w="2240" w:type="dxa"/>
          </w:tcPr>
          <w:p w14:paraId="64CEDC1A" w14:textId="77777777" w:rsidR="00FE5976" w:rsidRPr="00FE5976" w:rsidRDefault="00FE5976" w:rsidP="00FE5976">
            <w:pPr>
              <w:spacing w:line="240" w:lineRule="auto"/>
              <w:rPr>
                <w:rFonts w:eastAsia="Times New Roman" w:cs="Arial"/>
                <w:color w:val="000000"/>
                <w:lang w:eastAsia="bg-BG"/>
              </w:rPr>
            </w:pPr>
          </w:p>
        </w:tc>
      </w:tr>
      <w:tr w:rsidR="00FE5976" w14:paraId="34B0E9AF" w14:textId="77777777" w:rsidTr="00131C45">
        <w:tc>
          <w:tcPr>
            <w:tcW w:w="1865" w:type="dxa"/>
            <w:vAlign w:val="bottom"/>
          </w:tcPr>
          <w:p w14:paraId="7F0457D7" w14:textId="77777777" w:rsidR="00FE5976" w:rsidRPr="00FE5976" w:rsidRDefault="00FE5976" w:rsidP="00FE5976">
            <w:r w:rsidRPr="00FE5976">
              <w:t>Нарушения на кръвта</w:t>
            </w:r>
            <w:r w:rsidRPr="00FE5976">
              <w:tab/>
              <w:t>и</w:t>
            </w:r>
          </w:p>
          <w:p w14:paraId="6FE21B3D" w14:textId="64AAD5B4" w:rsidR="00FE5976" w:rsidRPr="00FE5976" w:rsidRDefault="00FE5976" w:rsidP="00FE5976">
            <w:pPr>
              <w:spacing w:line="240" w:lineRule="auto"/>
              <w:rPr>
                <w:rFonts w:eastAsia="Times New Roman" w:cs="Arial"/>
                <w:color w:val="000000"/>
                <w:lang w:eastAsia="bg-BG"/>
              </w:rPr>
            </w:pPr>
            <w:r w:rsidRPr="00FE5976">
              <w:t>лимфната система</w:t>
            </w:r>
          </w:p>
        </w:tc>
        <w:tc>
          <w:tcPr>
            <w:tcW w:w="1497" w:type="dxa"/>
          </w:tcPr>
          <w:p w14:paraId="503BF529" w14:textId="77777777" w:rsidR="00FE5976" w:rsidRPr="00FE5976" w:rsidRDefault="00FE5976" w:rsidP="00FE5976">
            <w:pPr>
              <w:spacing w:line="240" w:lineRule="auto"/>
              <w:rPr>
                <w:rFonts w:eastAsia="Times New Roman" w:cs="Arial"/>
                <w:color w:val="000000"/>
                <w:lang w:eastAsia="bg-BG"/>
              </w:rPr>
            </w:pPr>
          </w:p>
        </w:tc>
        <w:tc>
          <w:tcPr>
            <w:tcW w:w="1623" w:type="dxa"/>
          </w:tcPr>
          <w:p w14:paraId="2739056E" w14:textId="08D54B50" w:rsidR="00FE5976" w:rsidRPr="00FE5976" w:rsidRDefault="00FE5976" w:rsidP="00FE5976">
            <w:pPr>
              <w:spacing w:line="240" w:lineRule="auto"/>
              <w:rPr>
                <w:rFonts w:eastAsia="Times New Roman" w:cs="Arial"/>
                <w:color w:val="000000"/>
                <w:lang w:eastAsia="bg-BG"/>
              </w:rPr>
            </w:pPr>
            <w:r w:rsidRPr="00FE5976">
              <w:t>Левкопения, еозинофилия</w:t>
            </w:r>
          </w:p>
        </w:tc>
        <w:tc>
          <w:tcPr>
            <w:tcW w:w="2351" w:type="dxa"/>
          </w:tcPr>
          <w:p w14:paraId="51921724" w14:textId="79B6E545" w:rsidR="00FE5976" w:rsidRPr="00FE5976" w:rsidRDefault="00FE5976" w:rsidP="00FE5976">
            <w:pPr>
              <w:spacing w:line="240" w:lineRule="auto"/>
              <w:rPr>
                <w:rFonts w:eastAsia="Times New Roman" w:cs="Arial"/>
                <w:color w:val="000000"/>
                <w:lang w:eastAsia="bg-BG"/>
              </w:rPr>
            </w:pPr>
            <w:r w:rsidRPr="00FE5976">
              <w:t>Тромбоцитопения, неутропения</w:t>
            </w:r>
          </w:p>
        </w:tc>
        <w:tc>
          <w:tcPr>
            <w:tcW w:w="2240" w:type="dxa"/>
            <w:vAlign w:val="bottom"/>
          </w:tcPr>
          <w:p w14:paraId="6C8E932C" w14:textId="78868485" w:rsidR="00FE5976" w:rsidRPr="00FE5976" w:rsidRDefault="00FE5976" w:rsidP="00FE5976">
            <w:pPr>
              <w:spacing w:line="240" w:lineRule="auto"/>
              <w:rPr>
                <w:rFonts w:eastAsia="Times New Roman" w:cs="Arial"/>
                <w:color w:val="000000"/>
                <w:lang w:eastAsia="bg-BG"/>
              </w:rPr>
            </w:pPr>
            <w:r w:rsidRPr="00FE5976">
              <w:t>Агранулоцитоза Панцитопения, хемолитична анемия</w:t>
            </w:r>
          </w:p>
        </w:tc>
      </w:tr>
      <w:tr w:rsidR="00FE5976" w14:paraId="36908430" w14:textId="77777777" w:rsidTr="00131C45">
        <w:tc>
          <w:tcPr>
            <w:tcW w:w="1865" w:type="dxa"/>
          </w:tcPr>
          <w:p w14:paraId="0201AB3B" w14:textId="5B96D747" w:rsidR="00FE5976" w:rsidRPr="00FE5976" w:rsidRDefault="00FE5976" w:rsidP="00FE5976">
            <w:pPr>
              <w:spacing w:line="240" w:lineRule="auto"/>
              <w:rPr>
                <w:rFonts w:eastAsia="Times New Roman" w:cs="Arial"/>
                <w:color w:val="000000"/>
                <w:lang w:eastAsia="bg-BG"/>
              </w:rPr>
            </w:pPr>
            <w:r w:rsidRPr="00FE5976">
              <w:t>Нарушения на имунната система</w:t>
            </w:r>
          </w:p>
        </w:tc>
        <w:tc>
          <w:tcPr>
            <w:tcW w:w="1497" w:type="dxa"/>
          </w:tcPr>
          <w:p w14:paraId="1512A2F2" w14:textId="77777777" w:rsidR="00FE5976" w:rsidRPr="00FE5976" w:rsidRDefault="00FE5976" w:rsidP="00FE5976">
            <w:pPr>
              <w:spacing w:line="240" w:lineRule="auto"/>
              <w:rPr>
                <w:rFonts w:eastAsia="Times New Roman" w:cs="Arial"/>
                <w:color w:val="000000"/>
                <w:lang w:eastAsia="bg-BG"/>
              </w:rPr>
            </w:pPr>
          </w:p>
        </w:tc>
        <w:tc>
          <w:tcPr>
            <w:tcW w:w="1623" w:type="dxa"/>
          </w:tcPr>
          <w:p w14:paraId="0701CD5A" w14:textId="77777777" w:rsidR="00FE5976" w:rsidRPr="00FE5976" w:rsidRDefault="00FE5976" w:rsidP="00FE5976">
            <w:pPr>
              <w:spacing w:line="240" w:lineRule="auto"/>
              <w:rPr>
                <w:rFonts w:eastAsia="Times New Roman" w:cs="Arial"/>
                <w:color w:val="000000"/>
                <w:lang w:eastAsia="bg-BG"/>
              </w:rPr>
            </w:pPr>
          </w:p>
        </w:tc>
        <w:tc>
          <w:tcPr>
            <w:tcW w:w="2351" w:type="dxa"/>
          </w:tcPr>
          <w:p w14:paraId="44CDAD76" w14:textId="77777777" w:rsidR="00FE5976" w:rsidRPr="00FE5976" w:rsidRDefault="00FE5976" w:rsidP="00FE5976">
            <w:r w:rsidRPr="00FE5976">
              <w:t>Ангиоедем</w:t>
            </w:r>
          </w:p>
          <w:p w14:paraId="6B2F98FC" w14:textId="21846C93" w:rsidR="00FE5976" w:rsidRPr="00FE5976" w:rsidRDefault="00FE5976" w:rsidP="00FE5976">
            <w:pPr>
              <w:spacing w:line="240" w:lineRule="auto"/>
              <w:rPr>
                <w:rFonts w:eastAsia="Times New Roman" w:cs="Arial"/>
                <w:color w:val="000000"/>
                <w:lang w:eastAsia="bg-BG"/>
              </w:rPr>
            </w:pPr>
            <w:r w:rsidRPr="00FE5976">
              <w:t>Свръхчувствителност (вж т. 4.4)</w:t>
            </w:r>
          </w:p>
        </w:tc>
        <w:tc>
          <w:tcPr>
            <w:tcW w:w="2240" w:type="dxa"/>
            <w:vAlign w:val="bottom"/>
          </w:tcPr>
          <w:p w14:paraId="1C0CEA98" w14:textId="7045FBAC" w:rsidR="00FE5976" w:rsidRPr="00FE5976" w:rsidRDefault="00FE5976" w:rsidP="00FE5976">
            <w:pPr>
              <w:spacing w:line="240" w:lineRule="auto"/>
              <w:rPr>
                <w:rFonts w:eastAsia="Times New Roman" w:cs="Arial"/>
                <w:color w:val="000000"/>
                <w:lang w:eastAsia="bg-BG"/>
              </w:rPr>
            </w:pPr>
            <w:r w:rsidRPr="00FE5976">
              <w:t>Анафилактичен шок</w:t>
            </w:r>
            <w:r w:rsidRPr="00FE5976">
              <w:rPr>
                <w:vertAlign w:val="superscript"/>
              </w:rPr>
              <w:t>а</w:t>
            </w:r>
            <w:r w:rsidRPr="00FE5976">
              <w:t xml:space="preserve"> Анафилактоиден шок“ (вж т. 4.4).</w:t>
            </w:r>
          </w:p>
        </w:tc>
      </w:tr>
      <w:tr w:rsidR="00FE5976" w14:paraId="19D4E514" w14:textId="77777777" w:rsidTr="00131C45">
        <w:tc>
          <w:tcPr>
            <w:tcW w:w="1865" w:type="dxa"/>
          </w:tcPr>
          <w:p w14:paraId="612BFD67" w14:textId="47D4DF22" w:rsidR="00FE5976" w:rsidRPr="00FE5976" w:rsidRDefault="00FE5976" w:rsidP="00FE5976">
            <w:pPr>
              <w:spacing w:line="240" w:lineRule="auto"/>
              <w:rPr>
                <w:rFonts w:eastAsia="Times New Roman" w:cs="Arial"/>
                <w:color w:val="000000"/>
                <w:lang w:eastAsia="bg-BG"/>
              </w:rPr>
            </w:pPr>
            <w:r w:rsidRPr="00FE5976">
              <w:t>Нарушения на ендокринната система</w:t>
            </w:r>
          </w:p>
        </w:tc>
        <w:tc>
          <w:tcPr>
            <w:tcW w:w="1497" w:type="dxa"/>
          </w:tcPr>
          <w:p w14:paraId="6FA53BB2" w14:textId="77777777" w:rsidR="00FE5976" w:rsidRPr="00FE5976" w:rsidRDefault="00FE5976" w:rsidP="00FE5976">
            <w:pPr>
              <w:spacing w:line="240" w:lineRule="auto"/>
              <w:rPr>
                <w:rFonts w:eastAsia="Times New Roman" w:cs="Arial"/>
                <w:color w:val="000000"/>
                <w:lang w:eastAsia="bg-BG"/>
              </w:rPr>
            </w:pPr>
          </w:p>
        </w:tc>
        <w:tc>
          <w:tcPr>
            <w:tcW w:w="1623" w:type="dxa"/>
          </w:tcPr>
          <w:p w14:paraId="30F00F5B" w14:textId="77777777" w:rsidR="00FE5976" w:rsidRPr="00FE5976" w:rsidRDefault="00FE5976" w:rsidP="00FE5976">
            <w:pPr>
              <w:spacing w:line="240" w:lineRule="auto"/>
              <w:rPr>
                <w:rFonts w:eastAsia="Times New Roman" w:cs="Arial"/>
                <w:color w:val="000000"/>
                <w:lang w:eastAsia="bg-BG"/>
              </w:rPr>
            </w:pPr>
          </w:p>
        </w:tc>
        <w:tc>
          <w:tcPr>
            <w:tcW w:w="2351" w:type="dxa"/>
            <w:vAlign w:val="bottom"/>
          </w:tcPr>
          <w:p w14:paraId="0489DAEC" w14:textId="4C80F9B0" w:rsidR="00FE5976" w:rsidRPr="00FE5976" w:rsidRDefault="00FE5976" w:rsidP="00FE5976">
            <w:pPr>
              <w:spacing w:line="240" w:lineRule="auto"/>
              <w:rPr>
                <w:rFonts w:eastAsia="Times New Roman" w:cs="Arial"/>
                <w:color w:val="000000"/>
                <w:lang w:eastAsia="bg-BG"/>
              </w:rPr>
            </w:pPr>
            <w:r w:rsidRPr="00FE5976">
              <w:t xml:space="preserve">Синдром на неадекватна секреция на антидиуретичен хормон </w:t>
            </w:r>
            <w:r w:rsidRPr="00FE5976">
              <w:rPr>
                <w:lang w:val="ru-RU"/>
              </w:rPr>
              <w:t>(</w:t>
            </w:r>
            <w:r w:rsidRPr="00FE5976">
              <w:rPr>
                <w:lang w:val="en-US"/>
              </w:rPr>
              <w:t>SIADH</w:t>
            </w:r>
            <w:r w:rsidRPr="00FE5976">
              <w:rPr>
                <w:lang w:val="ru-RU"/>
              </w:rPr>
              <w:t>)</w:t>
            </w:r>
          </w:p>
        </w:tc>
        <w:tc>
          <w:tcPr>
            <w:tcW w:w="2240" w:type="dxa"/>
          </w:tcPr>
          <w:p w14:paraId="37A04070" w14:textId="77777777" w:rsidR="00FE5976" w:rsidRPr="00FE5976" w:rsidRDefault="00FE5976" w:rsidP="00FE5976">
            <w:pPr>
              <w:spacing w:line="240" w:lineRule="auto"/>
              <w:rPr>
                <w:rFonts w:eastAsia="Times New Roman" w:cs="Arial"/>
                <w:color w:val="000000"/>
                <w:lang w:eastAsia="bg-BG"/>
              </w:rPr>
            </w:pPr>
          </w:p>
        </w:tc>
      </w:tr>
      <w:tr w:rsidR="00FE5976" w14:paraId="468F5CAE" w14:textId="77777777" w:rsidTr="00131C45">
        <w:tc>
          <w:tcPr>
            <w:tcW w:w="1865" w:type="dxa"/>
          </w:tcPr>
          <w:p w14:paraId="1764E252" w14:textId="0AF7A2B7" w:rsidR="00FE5976" w:rsidRPr="00FE5976" w:rsidRDefault="00FE5976" w:rsidP="00FE5976">
            <w:pPr>
              <w:spacing w:line="240" w:lineRule="auto"/>
              <w:rPr>
                <w:rFonts w:eastAsia="Times New Roman" w:cs="Arial"/>
                <w:color w:val="000000"/>
                <w:lang w:eastAsia="bg-BG"/>
              </w:rPr>
            </w:pPr>
            <w:r w:rsidRPr="00FE5976">
              <w:t>Нарушения на метаболизма и храненето</w:t>
            </w:r>
          </w:p>
        </w:tc>
        <w:tc>
          <w:tcPr>
            <w:tcW w:w="1497" w:type="dxa"/>
          </w:tcPr>
          <w:p w14:paraId="144B2428" w14:textId="77777777" w:rsidR="00FE5976" w:rsidRPr="00FE5976" w:rsidRDefault="00FE5976" w:rsidP="00FE5976">
            <w:pPr>
              <w:spacing w:line="240" w:lineRule="auto"/>
              <w:rPr>
                <w:rFonts w:eastAsia="Times New Roman" w:cs="Arial"/>
                <w:color w:val="000000"/>
                <w:lang w:eastAsia="bg-BG"/>
              </w:rPr>
            </w:pPr>
          </w:p>
        </w:tc>
        <w:tc>
          <w:tcPr>
            <w:tcW w:w="1623" w:type="dxa"/>
          </w:tcPr>
          <w:p w14:paraId="21B6C722" w14:textId="592A0EC9" w:rsidR="00FE5976" w:rsidRPr="00FE5976" w:rsidRDefault="00FE5976" w:rsidP="00FE5976">
            <w:pPr>
              <w:spacing w:line="240" w:lineRule="auto"/>
              <w:rPr>
                <w:rFonts w:eastAsia="Times New Roman" w:cs="Arial"/>
                <w:color w:val="000000"/>
                <w:lang w:eastAsia="bg-BG"/>
              </w:rPr>
            </w:pPr>
            <w:r w:rsidRPr="00FE5976">
              <w:t>Анорексия</w:t>
            </w:r>
          </w:p>
        </w:tc>
        <w:tc>
          <w:tcPr>
            <w:tcW w:w="2351" w:type="dxa"/>
          </w:tcPr>
          <w:p w14:paraId="3D8619B9" w14:textId="77777777" w:rsidR="00FE5976" w:rsidRPr="00FE5976" w:rsidRDefault="00FE5976" w:rsidP="00FE5976">
            <w:r w:rsidRPr="00FE5976">
              <w:t>Хипогликемия, особено</w:t>
            </w:r>
            <w:r w:rsidRPr="00FE5976">
              <w:tab/>
              <w:t>при</w:t>
            </w:r>
          </w:p>
          <w:p w14:paraId="7C022A75" w14:textId="5C95ACD7" w:rsidR="00FE5976" w:rsidRPr="00FE5976" w:rsidRDefault="00FE5976" w:rsidP="00FE5976">
            <w:pPr>
              <w:spacing w:line="240" w:lineRule="auto"/>
              <w:rPr>
                <w:rFonts w:eastAsia="Times New Roman" w:cs="Arial"/>
                <w:color w:val="000000"/>
                <w:lang w:eastAsia="bg-BG"/>
              </w:rPr>
            </w:pPr>
            <w:r w:rsidRPr="00FE5976">
              <w:t>диабетици (вж т. 4.4)</w:t>
            </w:r>
          </w:p>
        </w:tc>
        <w:tc>
          <w:tcPr>
            <w:tcW w:w="2240" w:type="dxa"/>
            <w:vAlign w:val="bottom"/>
          </w:tcPr>
          <w:p w14:paraId="75149DC0" w14:textId="77777777" w:rsidR="00FE5976" w:rsidRPr="00FE5976" w:rsidRDefault="00FE5976" w:rsidP="00FE5976">
            <w:r w:rsidRPr="00FE5976">
              <w:t>Хипергликемия Хипогликемична кома (вижте тояка</w:t>
            </w:r>
          </w:p>
          <w:p w14:paraId="7A23B2CD" w14:textId="32F4D34D" w:rsidR="00FE5976" w:rsidRPr="00FE5976" w:rsidRDefault="00FE5976" w:rsidP="00FE5976">
            <w:pPr>
              <w:spacing w:line="240" w:lineRule="auto"/>
              <w:rPr>
                <w:rFonts w:eastAsia="Times New Roman" w:cs="Arial"/>
                <w:color w:val="000000"/>
                <w:lang w:eastAsia="bg-BG"/>
              </w:rPr>
            </w:pPr>
            <w:r w:rsidRPr="00FE5976">
              <w:t>4.4)</w:t>
            </w:r>
          </w:p>
        </w:tc>
      </w:tr>
      <w:tr w:rsidR="00FE5976" w14:paraId="01CB71B2" w14:textId="77777777" w:rsidTr="00131C45">
        <w:tc>
          <w:tcPr>
            <w:tcW w:w="1865" w:type="dxa"/>
          </w:tcPr>
          <w:p w14:paraId="04E362F2" w14:textId="755AF0E2" w:rsidR="00FE5976" w:rsidRPr="00FE5976" w:rsidRDefault="00FE5976" w:rsidP="00FE5976">
            <w:pPr>
              <w:spacing w:line="240" w:lineRule="auto"/>
              <w:rPr>
                <w:rFonts w:eastAsia="Times New Roman" w:cs="Arial"/>
                <w:color w:val="000000"/>
                <w:lang w:eastAsia="bg-BG"/>
              </w:rPr>
            </w:pPr>
            <w:r w:rsidRPr="00FE5976">
              <w:t>Психични нарушения*</w:t>
            </w:r>
          </w:p>
        </w:tc>
        <w:tc>
          <w:tcPr>
            <w:tcW w:w="1497" w:type="dxa"/>
          </w:tcPr>
          <w:p w14:paraId="22578853" w14:textId="3CD80BFB" w:rsidR="00FE5976" w:rsidRPr="00FE5976" w:rsidRDefault="00FE5976" w:rsidP="00FE5976">
            <w:pPr>
              <w:spacing w:line="240" w:lineRule="auto"/>
              <w:rPr>
                <w:rFonts w:eastAsia="Times New Roman" w:cs="Arial"/>
                <w:color w:val="000000"/>
                <w:lang w:eastAsia="bg-BG"/>
              </w:rPr>
            </w:pPr>
            <w:r w:rsidRPr="00FE5976">
              <w:t>Безсъние</w:t>
            </w:r>
          </w:p>
        </w:tc>
        <w:tc>
          <w:tcPr>
            <w:tcW w:w="1623" w:type="dxa"/>
          </w:tcPr>
          <w:p w14:paraId="47507C04" w14:textId="77777777" w:rsidR="00FE5976" w:rsidRPr="00FE5976" w:rsidRDefault="00FE5976" w:rsidP="00FE5976">
            <w:r w:rsidRPr="00FE5976">
              <w:t>Безпокойство състояние</w:t>
            </w:r>
            <w:r w:rsidRPr="00FE5976">
              <w:tab/>
              <w:t>на</w:t>
            </w:r>
          </w:p>
          <w:p w14:paraId="1315AAA7" w14:textId="75B28B81" w:rsidR="00FE5976" w:rsidRPr="00FE5976" w:rsidRDefault="00FE5976" w:rsidP="00FE5976">
            <w:pPr>
              <w:spacing w:line="240" w:lineRule="auto"/>
              <w:rPr>
                <w:rFonts w:eastAsia="Times New Roman" w:cs="Arial"/>
                <w:color w:val="000000"/>
                <w:lang w:eastAsia="bg-BG"/>
              </w:rPr>
            </w:pPr>
            <w:r w:rsidRPr="00FE5976">
              <w:t>обърканост нервност</w:t>
            </w:r>
          </w:p>
        </w:tc>
        <w:tc>
          <w:tcPr>
            <w:tcW w:w="2351" w:type="dxa"/>
            <w:vAlign w:val="bottom"/>
          </w:tcPr>
          <w:p w14:paraId="5D9EBCD6" w14:textId="77777777" w:rsidR="00FE5976" w:rsidRPr="00FE5976" w:rsidRDefault="00FE5976" w:rsidP="00FE5976">
            <w:r w:rsidRPr="00FE5976">
              <w:t>Психотични реакции (например</w:t>
            </w:r>
            <w:r w:rsidRPr="00FE5976">
              <w:tab/>
              <w:t>с</w:t>
            </w:r>
          </w:p>
          <w:p w14:paraId="2DBF4A04" w14:textId="77777777" w:rsidR="00FE5976" w:rsidRPr="00FE5976" w:rsidRDefault="00FE5976" w:rsidP="00FE5976">
            <w:r w:rsidRPr="00FE5976">
              <w:t>халюцинации, параноя) Депресия Възбуда</w:t>
            </w:r>
          </w:p>
          <w:p w14:paraId="1E8740FD" w14:textId="77777777" w:rsidR="00FE5976" w:rsidRPr="00FE5976" w:rsidRDefault="00FE5976" w:rsidP="00FE5976">
            <w:r w:rsidRPr="00FE5976">
              <w:t>Ярки сънища</w:t>
            </w:r>
          </w:p>
          <w:p w14:paraId="41407B9F" w14:textId="45D4F2F7" w:rsidR="00FE5976" w:rsidRPr="00FE5976" w:rsidRDefault="00FE5976" w:rsidP="00FE5976">
            <w:pPr>
              <w:spacing w:line="240" w:lineRule="auto"/>
              <w:rPr>
                <w:rFonts w:eastAsia="Times New Roman" w:cs="Arial"/>
                <w:color w:val="000000"/>
                <w:lang w:eastAsia="bg-BG"/>
              </w:rPr>
            </w:pPr>
            <w:r w:rsidRPr="00FE5976">
              <w:t>Кошмари</w:t>
            </w:r>
          </w:p>
        </w:tc>
        <w:tc>
          <w:tcPr>
            <w:tcW w:w="2240" w:type="dxa"/>
          </w:tcPr>
          <w:p w14:paraId="1579CB65" w14:textId="77777777" w:rsidR="00FE5976" w:rsidRPr="00FE5976" w:rsidRDefault="00FE5976" w:rsidP="00FE5976">
            <w:r w:rsidRPr="00FE5976">
              <w:t>Психотични реакции</w:t>
            </w:r>
            <w:r w:rsidRPr="00FE5976">
              <w:tab/>
              <w:t>със</w:t>
            </w:r>
          </w:p>
          <w:p w14:paraId="7C7C971D" w14:textId="77777777" w:rsidR="00FE5976" w:rsidRPr="00FE5976" w:rsidRDefault="00FE5976" w:rsidP="00FE5976">
            <w:r w:rsidRPr="00FE5976">
              <w:t>самозастрашяващо състояние,</w:t>
            </w:r>
          </w:p>
          <w:p w14:paraId="52BE20EE" w14:textId="77777777" w:rsidR="00FE5976" w:rsidRPr="00FE5976" w:rsidRDefault="00FE5976" w:rsidP="00FE5976">
            <w:r w:rsidRPr="00FE5976">
              <w:t>суицидни мисли и</w:t>
            </w:r>
          </w:p>
          <w:p w14:paraId="63022BCA" w14:textId="77777777" w:rsidR="00FE5976" w:rsidRPr="00FE5976" w:rsidRDefault="00FE5976" w:rsidP="00FE5976">
            <w:r w:rsidRPr="00FE5976">
              <w:t>поведение (вж т.</w:t>
            </w:r>
          </w:p>
          <w:p w14:paraId="61D34A04" w14:textId="50A30D76" w:rsidR="00FE5976" w:rsidRPr="00FE5976" w:rsidRDefault="00FE5976" w:rsidP="00FE5976">
            <w:pPr>
              <w:spacing w:line="240" w:lineRule="auto"/>
              <w:rPr>
                <w:rFonts w:eastAsia="Times New Roman" w:cs="Arial"/>
                <w:color w:val="000000"/>
                <w:lang w:eastAsia="bg-BG"/>
              </w:rPr>
            </w:pPr>
            <w:r>
              <w:t>4.4).</w:t>
            </w:r>
          </w:p>
        </w:tc>
      </w:tr>
      <w:tr w:rsidR="00FE5976" w14:paraId="5181054D" w14:textId="77777777" w:rsidTr="00131C45">
        <w:tc>
          <w:tcPr>
            <w:tcW w:w="1865" w:type="dxa"/>
          </w:tcPr>
          <w:p w14:paraId="74D55EE7" w14:textId="1C0011AA" w:rsidR="00FE5976" w:rsidRPr="00FE5976" w:rsidRDefault="00FE5976" w:rsidP="00FE5976">
            <w:pPr>
              <w:spacing w:line="240" w:lineRule="auto"/>
              <w:rPr>
                <w:rFonts w:eastAsia="Times New Roman" w:cs="Arial"/>
                <w:color w:val="000000"/>
                <w:lang w:eastAsia="bg-BG"/>
              </w:rPr>
            </w:pPr>
            <w:r w:rsidRPr="00FE5976">
              <w:t>Нарушения на нервната система*</w:t>
            </w:r>
          </w:p>
        </w:tc>
        <w:tc>
          <w:tcPr>
            <w:tcW w:w="1497" w:type="dxa"/>
          </w:tcPr>
          <w:p w14:paraId="38A6A853" w14:textId="49B266D2" w:rsidR="00FE5976" w:rsidRPr="00FE5976" w:rsidRDefault="00FE5976" w:rsidP="00FE5976">
            <w:pPr>
              <w:spacing w:line="240" w:lineRule="auto"/>
              <w:rPr>
                <w:rFonts w:eastAsia="Times New Roman" w:cs="Arial"/>
                <w:color w:val="000000"/>
                <w:lang w:eastAsia="bg-BG"/>
              </w:rPr>
            </w:pPr>
            <w:r w:rsidRPr="00FE5976">
              <w:t>Замаяност, главоболие</w:t>
            </w:r>
          </w:p>
        </w:tc>
        <w:tc>
          <w:tcPr>
            <w:tcW w:w="1623" w:type="dxa"/>
          </w:tcPr>
          <w:p w14:paraId="6C9451FD" w14:textId="5C1F6BBE" w:rsidR="00FE5976" w:rsidRPr="00FE5976" w:rsidRDefault="00FE5976" w:rsidP="00FE5976">
            <w:pPr>
              <w:spacing w:line="240" w:lineRule="auto"/>
              <w:rPr>
                <w:rFonts w:eastAsia="Times New Roman" w:cs="Arial"/>
                <w:color w:val="000000"/>
                <w:lang w:eastAsia="bg-BG"/>
              </w:rPr>
            </w:pPr>
            <w:r w:rsidRPr="00FE5976">
              <w:t>Сънливост тремор, дисгеузия</w:t>
            </w:r>
          </w:p>
        </w:tc>
        <w:tc>
          <w:tcPr>
            <w:tcW w:w="2351" w:type="dxa"/>
          </w:tcPr>
          <w:p w14:paraId="111A4EF3" w14:textId="3C752F9D" w:rsidR="00FE5976" w:rsidRPr="00FE5976" w:rsidRDefault="00FE5976" w:rsidP="00FE5976">
            <w:pPr>
              <w:spacing w:line="240" w:lineRule="auto"/>
              <w:rPr>
                <w:rFonts w:eastAsia="Times New Roman" w:cs="Arial"/>
                <w:color w:val="000000"/>
                <w:lang w:eastAsia="bg-BG"/>
              </w:rPr>
            </w:pPr>
            <w:r w:rsidRPr="00FE5976">
              <w:t>конвулсии (вижте точки 4.3 и 4.4); парестезия</w:t>
            </w:r>
          </w:p>
        </w:tc>
        <w:tc>
          <w:tcPr>
            <w:tcW w:w="2240" w:type="dxa"/>
          </w:tcPr>
          <w:p w14:paraId="76B080D5" w14:textId="77777777" w:rsidR="00FE5976" w:rsidRPr="00FE5976" w:rsidRDefault="00FE5976" w:rsidP="00FE5976">
            <w:r w:rsidRPr="00FE5976">
              <w:t>периферна сензорна невропатия (вижте точка</w:t>
            </w:r>
            <w:r w:rsidRPr="00FE5976">
              <w:tab/>
              <w:t>4.4);</w:t>
            </w:r>
          </w:p>
          <w:p w14:paraId="6C4B73AC" w14:textId="77777777" w:rsidR="00FE5976" w:rsidRPr="00FE5976" w:rsidRDefault="00FE5976" w:rsidP="00FE5976">
            <w:r w:rsidRPr="00FE5976">
              <w:lastRenderedPageBreak/>
              <w:t>периферна сензорно-моторна невропатия(вижте точка 4.4);</w:t>
            </w:r>
          </w:p>
          <w:p w14:paraId="39537374" w14:textId="25A176E9" w:rsidR="00FE5976" w:rsidRPr="00FE5976" w:rsidRDefault="00FE5976" w:rsidP="00FE5976">
            <w:pPr>
              <w:spacing w:line="240" w:lineRule="auto"/>
              <w:rPr>
                <w:rFonts w:eastAsia="Times New Roman" w:cs="Arial"/>
                <w:color w:val="000000"/>
                <w:lang w:eastAsia="bg-BG"/>
              </w:rPr>
            </w:pPr>
            <w:r w:rsidRPr="00FE5976">
              <w:t>Паросмия, включително аносмия Дискинезия Екстрапирамидни нарушения Агеузия Синкоп Доброкачествена интракраниална хипертония</w:t>
            </w:r>
          </w:p>
        </w:tc>
      </w:tr>
      <w:tr w:rsidR="00FE5976" w14:paraId="6BC2878B" w14:textId="77777777" w:rsidTr="00131C45">
        <w:tc>
          <w:tcPr>
            <w:tcW w:w="1865" w:type="dxa"/>
          </w:tcPr>
          <w:p w14:paraId="5DB544D8" w14:textId="3E5B9200" w:rsidR="00FE5976" w:rsidRPr="00FE5976" w:rsidRDefault="00FE5976" w:rsidP="00FE5976">
            <w:pPr>
              <w:spacing w:line="240" w:lineRule="auto"/>
              <w:rPr>
                <w:rFonts w:eastAsia="Times New Roman" w:cs="Arial"/>
                <w:color w:val="000000"/>
                <w:lang w:eastAsia="bg-BG"/>
              </w:rPr>
            </w:pPr>
            <w:r w:rsidRPr="00FE5976">
              <w:lastRenderedPageBreak/>
              <w:t>Нарушения на очите*</w:t>
            </w:r>
          </w:p>
        </w:tc>
        <w:tc>
          <w:tcPr>
            <w:tcW w:w="1497" w:type="dxa"/>
          </w:tcPr>
          <w:p w14:paraId="0E1F0590" w14:textId="77777777" w:rsidR="00FE5976" w:rsidRPr="00FE5976" w:rsidRDefault="00FE5976" w:rsidP="00FE5976">
            <w:pPr>
              <w:spacing w:line="240" w:lineRule="auto"/>
              <w:rPr>
                <w:rFonts w:eastAsia="Times New Roman" w:cs="Arial"/>
                <w:color w:val="000000"/>
                <w:lang w:eastAsia="bg-BG"/>
              </w:rPr>
            </w:pPr>
          </w:p>
        </w:tc>
        <w:tc>
          <w:tcPr>
            <w:tcW w:w="1623" w:type="dxa"/>
          </w:tcPr>
          <w:p w14:paraId="572518CA" w14:textId="77777777" w:rsidR="00FE5976" w:rsidRPr="00FE5976" w:rsidRDefault="00FE5976" w:rsidP="00FE5976">
            <w:pPr>
              <w:spacing w:line="240" w:lineRule="auto"/>
              <w:rPr>
                <w:rFonts w:eastAsia="Times New Roman" w:cs="Arial"/>
                <w:color w:val="000000"/>
                <w:lang w:eastAsia="bg-BG"/>
              </w:rPr>
            </w:pPr>
          </w:p>
        </w:tc>
        <w:tc>
          <w:tcPr>
            <w:tcW w:w="2351" w:type="dxa"/>
          </w:tcPr>
          <w:p w14:paraId="4534CF0E" w14:textId="59FCDD2B" w:rsidR="00FE5976" w:rsidRPr="00FE5976" w:rsidRDefault="00FE5976" w:rsidP="00FE5976">
            <w:pPr>
              <w:spacing w:line="240" w:lineRule="auto"/>
              <w:rPr>
                <w:rFonts w:eastAsia="Times New Roman" w:cs="Arial"/>
                <w:color w:val="000000"/>
                <w:lang w:eastAsia="bg-BG"/>
              </w:rPr>
            </w:pPr>
            <w:r w:rsidRPr="00FE5976">
              <w:t>Зрителни смущения като замъглено зрение (виж точка 4.4)</w:t>
            </w:r>
          </w:p>
        </w:tc>
        <w:tc>
          <w:tcPr>
            <w:tcW w:w="2240" w:type="dxa"/>
          </w:tcPr>
          <w:p w14:paraId="54BDAC49" w14:textId="77777777" w:rsidR="00FE5976" w:rsidRPr="00FE5976" w:rsidRDefault="00FE5976" w:rsidP="00FE5976">
            <w:r w:rsidRPr="00FE5976">
              <w:t>Преходна загуба на зрение (виж точка</w:t>
            </w:r>
          </w:p>
          <w:p w14:paraId="15F8257A" w14:textId="0B875B6B" w:rsidR="00FE5976" w:rsidRPr="00FE5976" w:rsidRDefault="00FE5976" w:rsidP="00FE5976">
            <w:pPr>
              <w:spacing w:line="240" w:lineRule="auto"/>
              <w:rPr>
                <w:rFonts w:eastAsia="Times New Roman" w:cs="Arial"/>
                <w:color w:val="000000"/>
                <w:lang w:eastAsia="bg-BG"/>
              </w:rPr>
            </w:pPr>
            <w:r w:rsidRPr="00FE5976">
              <w:t>4.4)</w:t>
            </w:r>
          </w:p>
        </w:tc>
      </w:tr>
      <w:tr w:rsidR="00FE5976" w14:paraId="474F0A75" w14:textId="77777777" w:rsidTr="00131C45">
        <w:tc>
          <w:tcPr>
            <w:tcW w:w="1865" w:type="dxa"/>
          </w:tcPr>
          <w:p w14:paraId="62CAC4C0" w14:textId="77777777" w:rsidR="00FE5976" w:rsidRPr="00FE5976" w:rsidRDefault="00FE5976" w:rsidP="00FE5976">
            <w:r w:rsidRPr="00FE5976">
              <w:t>Нарушения на ухото</w:t>
            </w:r>
            <w:r w:rsidRPr="00FE5976">
              <w:tab/>
              <w:t>и</w:t>
            </w:r>
          </w:p>
          <w:p w14:paraId="20D6D19D" w14:textId="17EAF263" w:rsidR="00FE5976" w:rsidRPr="00FE5976" w:rsidRDefault="00FE5976" w:rsidP="00FE5976">
            <w:pPr>
              <w:spacing w:line="240" w:lineRule="auto"/>
              <w:rPr>
                <w:rFonts w:eastAsia="Times New Roman" w:cs="Arial"/>
                <w:color w:val="000000"/>
                <w:lang w:eastAsia="bg-BG"/>
              </w:rPr>
            </w:pPr>
            <w:r w:rsidRPr="00FE5976">
              <w:t>лабиринта*</w:t>
            </w:r>
          </w:p>
        </w:tc>
        <w:tc>
          <w:tcPr>
            <w:tcW w:w="1497" w:type="dxa"/>
          </w:tcPr>
          <w:p w14:paraId="6C344016" w14:textId="77777777" w:rsidR="00FE5976" w:rsidRPr="00FE5976" w:rsidRDefault="00FE5976" w:rsidP="00FE5976">
            <w:pPr>
              <w:spacing w:line="240" w:lineRule="auto"/>
              <w:rPr>
                <w:rFonts w:eastAsia="Times New Roman" w:cs="Arial"/>
                <w:color w:val="000000"/>
                <w:lang w:eastAsia="bg-BG"/>
              </w:rPr>
            </w:pPr>
          </w:p>
        </w:tc>
        <w:tc>
          <w:tcPr>
            <w:tcW w:w="1623" w:type="dxa"/>
          </w:tcPr>
          <w:p w14:paraId="2B8B73D8" w14:textId="2B618460" w:rsidR="00FE5976" w:rsidRPr="00FE5976" w:rsidRDefault="00FE5976" w:rsidP="00FE5976">
            <w:pPr>
              <w:spacing w:line="240" w:lineRule="auto"/>
              <w:rPr>
                <w:rFonts w:eastAsia="Times New Roman" w:cs="Arial"/>
                <w:color w:val="000000"/>
                <w:lang w:eastAsia="bg-BG"/>
              </w:rPr>
            </w:pPr>
            <w:r w:rsidRPr="00FE5976">
              <w:t>Вертиго</w:t>
            </w:r>
          </w:p>
        </w:tc>
        <w:tc>
          <w:tcPr>
            <w:tcW w:w="2351" w:type="dxa"/>
          </w:tcPr>
          <w:p w14:paraId="1FE7F605" w14:textId="57202A7E" w:rsidR="00FE5976" w:rsidRPr="00FE5976" w:rsidRDefault="00FE5976" w:rsidP="00FE5976">
            <w:pPr>
              <w:spacing w:line="240" w:lineRule="auto"/>
              <w:rPr>
                <w:rFonts w:eastAsia="Times New Roman" w:cs="Arial"/>
                <w:color w:val="000000"/>
                <w:lang w:eastAsia="bg-BG"/>
              </w:rPr>
            </w:pPr>
            <w:r w:rsidRPr="00FE5976">
              <w:t>Тинитус</w:t>
            </w:r>
          </w:p>
        </w:tc>
        <w:tc>
          <w:tcPr>
            <w:tcW w:w="2240" w:type="dxa"/>
          </w:tcPr>
          <w:p w14:paraId="20D5DB69" w14:textId="080B18E4" w:rsidR="00FE5976" w:rsidRPr="00FE5976" w:rsidRDefault="00FE5976" w:rsidP="00FE5976">
            <w:pPr>
              <w:spacing w:line="240" w:lineRule="auto"/>
              <w:rPr>
                <w:rFonts w:eastAsia="Times New Roman" w:cs="Arial"/>
                <w:color w:val="000000"/>
                <w:lang w:eastAsia="bg-BG"/>
              </w:rPr>
            </w:pPr>
            <w:r w:rsidRPr="00FE5976">
              <w:t>Загуба на слуха Нарушен слух</w:t>
            </w:r>
          </w:p>
        </w:tc>
      </w:tr>
      <w:tr w:rsidR="00FE5976" w14:paraId="44D4AE2D" w14:textId="77777777" w:rsidTr="00131C45">
        <w:tc>
          <w:tcPr>
            <w:tcW w:w="1865" w:type="dxa"/>
          </w:tcPr>
          <w:p w14:paraId="3E511700" w14:textId="2CC692A2" w:rsidR="00FE5976" w:rsidRPr="00FE5976" w:rsidRDefault="00FE5976" w:rsidP="00FE5976">
            <w:pPr>
              <w:spacing w:line="240" w:lineRule="auto"/>
              <w:rPr>
                <w:rFonts w:eastAsia="Times New Roman" w:cs="Arial"/>
                <w:color w:val="000000"/>
                <w:lang w:eastAsia="bg-BG"/>
              </w:rPr>
            </w:pPr>
            <w:r w:rsidRPr="00FE5976">
              <w:t>Сърдечни нарушения**</w:t>
            </w:r>
          </w:p>
        </w:tc>
        <w:tc>
          <w:tcPr>
            <w:tcW w:w="1497" w:type="dxa"/>
          </w:tcPr>
          <w:p w14:paraId="47EC3570" w14:textId="77777777" w:rsidR="00FE5976" w:rsidRPr="00FE5976" w:rsidRDefault="00FE5976" w:rsidP="00FE5976">
            <w:pPr>
              <w:spacing w:line="240" w:lineRule="auto"/>
              <w:rPr>
                <w:rFonts w:eastAsia="Times New Roman" w:cs="Arial"/>
                <w:color w:val="000000"/>
                <w:lang w:eastAsia="bg-BG"/>
              </w:rPr>
            </w:pPr>
          </w:p>
        </w:tc>
        <w:tc>
          <w:tcPr>
            <w:tcW w:w="1623" w:type="dxa"/>
          </w:tcPr>
          <w:p w14:paraId="4BCAECBE" w14:textId="77777777" w:rsidR="00FE5976" w:rsidRPr="00FE5976" w:rsidRDefault="00FE5976" w:rsidP="00FE5976">
            <w:pPr>
              <w:spacing w:line="240" w:lineRule="auto"/>
              <w:rPr>
                <w:rFonts w:eastAsia="Times New Roman" w:cs="Arial"/>
                <w:color w:val="000000"/>
                <w:lang w:eastAsia="bg-BG"/>
              </w:rPr>
            </w:pPr>
          </w:p>
        </w:tc>
        <w:tc>
          <w:tcPr>
            <w:tcW w:w="2351" w:type="dxa"/>
          </w:tcPr>
          <w:p w14:paraId="42E913CF" w14:textId="58F42658" w:rsidR="00FE5976" w:rsidRPr="00FE5976" w:rsidRDefault="00FE5976" w:rsidP="00FE5976">
            <w:pPr>
              <w:spacing w:line="240" w:lineRule="auto"/>
              <w:rPr>
                <w:rFonts w:eastAsia="Times New Roman" w:cs="Arial"/>
                <w:color w:val="000000"/>
                <w:lang w:eastAsia="bg-BG"/>
              </w:rPr>
            </w:pPr>
            <w:r w:rsidRPr="00FE5976">
              <w:t>Тахикардия палпитации</w:t>
            </w:r>
          </w:p>
        </w:tc>
        <w:tc>
          <w:tcPr>
            <w:tcW w:w="2240" w:type="dxa"/>
          </w:tcPr>
          <w:p w14:paraId="296FE17A" w14:textId="77777777" w:rsidR="00FE5976" w:rsidRPr="00FE5976" w:rsidRDefault="00FE5976" w:rsidP="00FE5976">
            <w:r w:rsidRPr="00FE5976">
              <w:t>Вентрикуларна тахикардия, която може да доведе до сърдечен арест.</w:t>
            </w:r>
          </w:p>
          <w:p w14:paraId="4429C130" w14:textId="77777777" w:rsidR="00FE5976" w:rsidRPr="00FE5976" w:rsidRDefault="00FE5976" w:rsidP="00FE5976">
            <w:r w:rsidRPr="00FE5976">
              <w:t xml:space="preserve">Вентрикуларна аритмия и </w:t>
            </w:r>
            <w:r w:rsidRPr="00FE5976">
              <w:rPr>
                <w:lang w:val="en-US"/>
              </w:rPr>
              <w:t>torsade</w:t>
            </w:r>
            <w:r w:rsidRPr="00FE5976">
              <w:rPr>
                <w:lang w:val="ru-RU"/>
              </w:rPr>
              <w:t xml:space="preserve"> </w:t>
            </w:r>
            <w:r w:rsidRPr="00FE5976">
              <w:rPr>
                <w:lang w:val="en-US"/>
              </w:rPr>
              <w:t>de</w:t>
            </w:r>
            <w:r w:rsidRPr="00FE5976">
              <w:rPr>
                <w:lang w:val="ru-RU"/>
              </w:rPr>
              <w:t xml:space="preserve"> </w:t>
            </w:r>
            <w:r w:rsidRPr="00FE5976">
              <w:rPr>
                <w:lang w:val="en-US"/>
              </w:rPr>
              <w:t>pointes</w:t>
            </w:r>
            <w:r w:rsidRPr="00FE5976">
              <w:rPr>
                <w:lang w:val="ru-RU"/>
              </w:rPr>
              <w:t xml:space="preserve"> </w:t>
            </w:r>
            <w:r w:rsidRPr="00FE5976">
              <w:t>(съобщавани предимно при пациенти с рискови фактори за удължаване н</w:t>
            </w:r>
            <w:r w:rsidRPr="00FE5976">
              <w:rPr>
                <w:lang w:val="en-US"/>
              </w:rPr>
              <w:t>a</w:t>
            </w:r>
            <w:r w:rsidRPr="00FE5976">
              <w:t xml:space="preserve"> </w:t>
            </w:r>
            <w:r w:rsidRPr="00FE5976">
              <w:rPr>
                <w:lang w:val="en-US"/>
              </w:rPr>
              <w:t>QT</w:t>
            </w:r>
            <w:r w:rsidRPr="00FE5976">
              <w:t xml:space="preserve">), Удължен на </w:t>
            </w:r>
            <w:r w:rsidRPr="00FE5976">
              <w:rPr>
                <w:lang w:val="en-US"/>
              </w:rPr>
              <w:t>QT</w:t>
            </w:r>
            <w:r w:rsidRPr="00FE5976">
              <w:rPr>
                <w:lang w:val="ru-RU"/>
              </w:rPr>
              <w:t xml:space="preserve"> </w:t>
            </w:r>
          </w:p>
          <w:p w14:paraId="10E52D4D" w14:textId="77777777" w:rsidR="00FE5976" w:rsidRPr="00FE5976" w:rsidRDefault="00FE5976" w:rsidP="00FE5976">
            <w:r w:rsidRPr="00FE5976">
              <w:t>електрокардиограма</w:t>
            </w:r>
          </w:p>
          <w:p w14:paraId="02A9BD6D" w14:textId="430794CD" w:rsidR="00FE5976" w:rsidRPr="00FE5976" w:rsidRDefault="00FE5976" w:rsidP="00FE5976">
            <w:pPr>
              <w:spacing w:line="240" w:lineRule="auto"/>
              <w:rPr>
                <w:rFonts w:eastAsia="Times New Roman" w:cs="Arial"/>
                <w:color w:val="000000"/>
                <w:lang w:eastAsia="bg-BG"/>
              </w:rPr>
            </w:pPr>
            <w:r w:rsidRPr="00FE5976">
              <w:t>(виж точки 4.4 и 4.9)</w:t>
            </w:r>
          </w:p>
        </w:tc>
      </w:tr>
      <w:tr w:rsidR="00FE5976" w14:paraId="4FD21A5A" w14:textId="77777777" w:rsidTr="00131C45">
        <w:tc>
          <w:tcPr>
            <w:tcW w:w="1865" w:type="dxa"/>
            <w:vAlign w:val="bottom"/>
          </w:tcPr>
          <w:p w14:paraId="2E2ADB4E" w14:textId="102CF6EB" w:rsidR="00FE5976" w:rsidRPr="00FE5976" w:rsidRDefault="00FE5976" w:rsidP="00FE5976">
            <w:pPr>
              <w:spacing w:line="240" w:lineRule="auto"/>
              <w:rPr>
                <w:rFonts w:eastAsia="Times New Roman" w:cs="Arial"/>
                <w:color w:val="000000"/>
                <w:lang w:eastAsia="bg-BG"/>
              </w:rPr>
            </w:pPr>
            <w:r w:rsidRPr="00FE5976">
              <w:t>Съдови нарушения**</w:t>
            </w:r>
          </w:p>
        </w:tc>
        <w:tc>
          <w:tcPr>
            <w:tcW w:w="1497" w:type="dxa"/>
          </w:tcPr>
          <w:p w14:paraId="3D2BF97B" w14:textId="77777777" w:rsidR="00FE5976" w:rsidRPr="00FE5976" w:rsidRDefault="00FE5976" w:rsidP="00FE5976">
            <w:pPr>
              <w:spacing w:line="240" w:lineRule="auto"/>
              <w:rPr>
                <w:rFonts w:eastAsia="Times New Roman" w:cs="Arial"/>
                <w:color w:val="000000"/>
                <w:lang w:eastAsia="bg-BG"/>
              </w:rPr>
            </w:pPr>
          </w:p>
        </w:tc>
        <w:tc>
          <w:tcPr>
            <w:tcW w:w="1623" w:type="dxa"/>
          </w:tcPr>
          <w:p w14:paraId="5B0EBBB9" w14:textId="77777777" w:rsidR="00FE5976" w:rsidRPr="00FE5976" w:rsidRDefault="00FE5976" w:rsidP="00FE5976">
            <w:pPr>
              <w:spacing w:line="240" w:lineRule="auto"/>
              <w:rPr>
                <w:rFonts w:eastAsia="Times New Roman" w:cs="Arial"/>
                <w:color w:val="000000"/>
                <w:lang w:eastAsia="bg-BG"/>
              </w:rPr>
            </w:pPr>
          </w:p>
        </w:tc>
        <w:tc>
          <w:tcPr>
            <w:tcW w:w="2351" w:type="dxa"/>
            <w:vAlign w:val="center"/>
          </w:tcPr>
          <w:p w14:paraId="5F449274" w14:textId="28095DFA" w:rsidR="00FE5976" w:rsidRPr="00FE5976" w:rsidRDefault="00FE5976" w:rsidP="00FE5976">
            <w:pPr>
              <w:spacing w:line="240" w:lineRule="auto"/>
              <w:rPr>
                <w:rFonts w:eastAsia="Times New Roman" w:cs="Arial"/>
                <w:color w:val="000000"/>
                <w:lang w:eastAsia="bg-BG"/>
              </w:rPr>
            </w:pPr>
            <w:r w:rsidRPr="00FE5976">
              <w:t>Хипотония</w:t>
            </w:r>
          </w:p>
        </w:tc>
        <w:tc>
          <w:tcPr>
            <w:tcW w:w="2240" w:type="dxa"/>
          </w:tcPr>
          <w:p w14:paraId="64B35BB5" w14:textId="77777777" w:rsidR="00FE5976" w:rsidRPr="00FE5976" w:rsidRDefault="00FE5976" w:rsidP="00FE5976">
            <w:pPr>
              <w:spacing w:line="240" w:lineRule="auto"/>
              <w:rPr>
                <w:rFonts w:eastAsia="Times New Roman" w:cs="Arial"/>
                <w:color w:val="000000"/>
                <w:lang w:eastAsia="bg-BG"/>
              </w:rPr>
            </w:pPr>
          </w:p>
        </w:tc>
      </w:tr>
      <w:tr w:rsidR="00FE5976" w14:paraId="277F43B3" w14:textId="77777777" w:rsidTr="00131C45">
        <w:tc>
          <w:tcPr>
            <w:tcW w:w="1865" w:type="dxa"/>
            <w:vAlign w:val="bottom"/>
          </w:tcPr>
          <w:p w14:paraId="0A671A0A" w14:textId="77777777" w:rsidR="00FE5976" w:rsidRPr="00FE5976" w:rsidRDefault="00FE5976" w:rsidP="00FE5976">
            <w:r w:rsidRPr="00FE5976">
              <w:t>Ресираторни, гръдни</w:t>
            </w:r>
            <w:r w:rsidRPr="00FE5976">
              <w:tab/>
              <w:t>и</w:t>
            </w:r>
          </w:p>
          <w:p w14:paraId="4A49C23D" w14:textId="305E996C" w:rsidR="00FE5976" w:rsidRPr="00FE5976" w:rsidRDefault="00FE5976" w:rsidP="00FE5976">
            <w:pPr>
              <w:spacing w:line="240" w:lineRule="auto"/>
              <w:rPr>
                <w:rFonts w:eastAsia="Times New Roman" w:cs="Arial"/>
                <w:color w:val="000000"/>
                <w:lang w:eastAsia="bg-BG"/>
              </w:rPr>
            </w:pPr>
            <w:r w:rsidRPr="00FE5976">
              <w:t>медиастинални нарушения</w:t>
            </w:r>
          </w:p>
        </w:tc>
        <w:tc>
          <w:tcPr>
            <w:tcW w:w="1497" w:type="dxa"/>
          </w:tcPr>
          <w:p w14:paraId="0AAD8C4F" w14:textId="77777777" w:rsidR="00FE5976" w:rsidRPr="00FE5976" w:rsidRDefault="00FE5976" w:rsidP="00FE5976">
            <w:pPr>
              <w:spacing w:line="240" w:lineRule="auto"/>
              <w:rPr>
                <w:rFonts w:eastAsia="Times New Roman" w:cs="Arial"/>
                <w:color w:val="000000"/>
                <w:lang w:eastAsia="bg-BG"/>
              </w:rPr>
            </w:pPr>
          </w:p>
        </w:tc>
        <w:tc>
          <w:tcPr>
            <w:tcW w:w="1623" w:type="dxa"/>
          </w:tcPr>
          <w:p w14:paraId="3EEC66A0" w14:textId="38308905" w:rsidR="00FE5976" w:rsidRPr="00FE5976" w:rsidRDefault="00FE5976" w:rsidP="00FE5976">
            <w:pPr>
              <w:spacing w:line="240" w:lineRule="auto"/>
              <w:rPr>
                <w:rFonts w:eastAsia="Times New Roman" w:cs="Arial"/>
                <w:color w:val="000000"/>
                <w:lang w:eastAsia="bg-BG"/>
              </w:rPr>
            </w:pPr>
            <w:r w:rsidRPr="00FE5976">
              <w:t>диспнея</w:t>
            </w:r>
          </w:p>
        </w:tc>
        <w:tc>
          <w:tcPr>
            <w:tcW w:w="2351" w:type="dxa"/>
          </w:tcPr>
          <w:p w14:paraId="0E29DD3F" w14:textId="77777777" w:rsidR="00FE5976" w:rsidRPr="00FE5976" w:rsidRDefault="00FE5976" w:rsidP="00FE5976">
            <w:pPr>
              <w:spacing w:line="240" w:lineRule="auto"/>
              <w:rPr>
                <w:rFonts w:eastAsia="Times New Roman" w:cs="Arial"/>
                <w:color w:val="000000"/>
                <w:lang w:eastAsia="bg-BG"/>
              </w:rPr>
            </w:pPr>
          </w:p>
        </w:tc>
        <w:tc>
          <w:tcPr>
            <w:tcW w:w="2240" w:type="dxa"/>
          </w:tcPr>
          <w:p w14:paraId="77197A8C" w14:textId="390554EA" w:rsidR="00FE5976" w:rsidRPr="00FE5976" w:rsidRDefault="00FE5976" w:rsidP="00FE5976">
            <w:pPr>
              <w:spacing w:line="240" w:lineRule="auto"/>
              <w:rPr>
                <w:rFonts w:eastAsia="Times New Roman" w:cs="Arial"/>
                <w:color w:val="000000"/>
                <w:lang w:eastAsia="bg-BG"/>
              </w:rPr>
            </w:pPr>
            <w:r w:rsidRPr="00FE5976">
              <w:t>бронхоспазъм алергичен пневмонит</w:t>
            </w:r>
          </w:p>
        </w:tc>
      </w:tr>
      <w:tr w:rsidR="00FE5976" w14:paraId="36D94151" w14:textId="77777777" w:rsidTr="00131C45">
        <w:tc>
          <w:tcPr>
            <w:tcW w:w="1865" w:type="dxa"/>
          </w:tcPr>
          <w:p w14:paraId="5854E0CC" w14:textId="1C977585" w:rsidR="00FE5976" w:rsidRPr="00FE5976" w:rsidRDefault="00FE5976" w:rsidP="00FE5976">
            <w:pPr>
              <w:spacing w:line="240" w:lineRule="auto"/>
              <w:rPr>
                <w:rFonts w:eastAsia="Times New Roman" w:cs="Arial"/>
                <w:color w:val="000000"/>
                <w:lang w:eastAsia="bg-BG"/>
              </w:rPr>
            </w:pPr>
            <w:r w:rsidRPr="00FE5976">
              <w:t>Стомашно- чревни нарушения</w:t>
            </w:r>
          </w:p>
        </w:tc>
        <w:tc>
          <w:tcPr>
            <w:tcW w:w="1497" w:type="dxa"/>
          </w:tcPr>
          <w:p w14:paraId="4B40E9D8" w14:textId="798420FE" w:rsidR="00FE5976" w:rsidRPr="00FE5976" w:rsidRDefault="00FE5976" w:rsidP="00FE5976">
            <w:pPr>
              <w:spacing w:line="240" w:lineRule="auto"/>
              <w:rPr>
                <w:rFonts w:eastAsia="Times New Roman" w:cs="Arial"/>
                <w:color w:val="000000"/>
                <w:lang w:eastAsia="bg-BG"/>
              </w:rPr>
            </w:pPr>
            <w:r w:rsidRPr="00FE5976">
              <w:t>Диария, повръщане гадене</w:t>
            </w:r>
          </w:p>
        </w:tc>
        <w:tc>
          <w:tcPr>
            <w:tcW w:w="1623" w:type="dxa"/>
          </w:tcPr>
          <w:p w14:paraId="1457E75A" w14:textId="5CF29A85" w:rsidR="00FE5976" w:rsidRPr="00FE5976" w:rsidRDefault="00FE5976" w:rsidP="00FE5976">
            <w:pPr>
              <w:spacing w:line="240" w:lineRule="auto"/>
              <w:rPr>
                <w:rFonts w:eastAsia="Times New Roman" w:cs="Arial"/>
                <w:color w:val="000000"/>
                <w:lang w:eastAsia="bg-BG"/>
              </w:rPr>
            </w:pPr>
            <w:r w:rsidRPr="00FE5976">
              <w:t>коремна болка, диспепсия, флатуленци</w:t>
            </w:r>
            <w:r w:rsidRPr="00FE5976">
              <w:lastRenderedPageBreak/>
              <w:t>я, констипация</w:t>
            </w:r>
          </w:p>
        </w:tc>
        <w:tc>
          <w:tcPr>
            <w:tcW w:w="2351" w:type="dxa"/>
          </w:tcPr>
          <w:p w14:paraId="0B53200C" w14:textId="77777777" w:rsidR="00FE5976" w:rsidRPr="00FE5976" w:rsidRDefault="00FE5976" w:rsidP="00FE5976">
            <w:pPr>
              <w:spacing w:line="240" w:lineRule="auto"/>
              <w:rPr>
                <w:rFonts w:eastAsia="Times New Roman" w:cs="Arial"/>
                <w:color w:val="000000"/>
                <w:lang w:eastAsia="bg-BG"/>
              </w:rPr>
            </w:pPr>
          </w:p>
        </w:tc>
        <w:tc>
          <w:tcPr>
            <w:tcW w:w="2240" w:type="dxa"/>
            <w:vAlign w:val="bottom"/>
          </w:tcPr>
          <w:p w14:paraId="621ED008" w14:textId="77777777" w:rsidR="00FE5976" w:rsidRPr="00FE5976" w:rsidRDefault="00FE5976" w:rsidP="00FE5976">
            <w:r w:rsidRPr="00FE5976">
              <w:t xml:space="preserve">Хеморагична диария, която в много редки </w:t>
            </w:r>
            <w:r w:rsidRPr="00FE5976">
              <w:lastRenderedPageBreak/>
              <w:t>случаи може да бъде показателна</w:t>
            </w:r>
            <w:r w:rsidRPr="00FE5976">
              <w:tab/>
              <w:t>за</w:t>
            </w:r>
          </w:p>
          <w:p w14:paraId="0F011041" w14:textId="531FBC70" w:rsidR="00FE5976" w:rsidRPr="00FE5976" w:rsidRDefault="00FE5976" w:rsidP="00FE5976">
            <w:pPr>
              <w:spacing w:line="240" w:lineRule="auto"/>
              <w:rPr>
                <w:rFonts w:eastAsia="Times New Roman" w:cs="Arial"/>
                <w:color w:val="000000"/>
                <w:lang w:eastAsia="bg-BG"/>
              </w:rPr>
            </w:pPr>
            <w:r w:rsidRPr="00FE5976">
              <w:t>ентероколит, включително псевдомембронозен колит (вижте точка 4.4) панкреатит</w:t>
            </w:r>
          </w:p>
        </w:tc>
      </w:tr>
      <w:tr w:rsidR="00FE5976" w14:paraId="221E53F5" w14:textId="77777777" w:rsidTr="00131C45">
        <w:tc>
          <w:tcPr>
            <w:tcW w:w="1865" w:type="dxa"/>
          </w:tcPr>
          <w:p w14:paraId="47AB80A4" w14:textId="038D065C" w:rsidR="00FE5976" w:rsidRPr="00FE5976" w:rsidRDefault="00FE5976" w:rsidP="00FE5976">
            <w:pPr>
              <w:spacing w:line="240" w:lineRule="auto"/>
              <w:rPr>
                <w:rFonts w:eastAsia="Times New Roman" w:cs="Arial"/>
                <w:color w:val="000000"/>
                <w:lang w:eastAsia="bg-BG"/>
              </w:rPr>
            </w:pPr>
            <w:r w:rsidRPr="00FE5976">
              <w:lastRenderedPageBreak/>
              <w:t>Хепато-билиарни нарушения</w:t>
            </w:r>
          </w:p>
        </w:tc>
        <w:tc>
          <w:tcPr>
            <w:tcW w:w="1497" w:type="dxa"/>
          </w:tcPr>
          <w:p w14:paraId="1972E09B" w14:textId="54399997" w:rsidR="00FE5976" w:rsidRPr="00FE5976" w:rsidRDefault="00FE5976" w:rsidP="00FE5976">
            <w:pPr>
              <w:spacing w:line="240" w:lineRule="auto"/>
              <w:rPr>
                <w:rFonts w:eastAsia="Times New Roman" w:cs="Arial"/>
                <w:color w:val="000000"/>
                <w:lang w:eastAsia="bg-BG"/>
              </w:rPr>
            </w:pPr>
            <w:r w:rsidRPr="00FE5976">
              <w:t>Повишени чернодробни ензими (</w:t>
            </w:r>
            <w:r w:rsidRPr="00FE5976">
              <w:rPr>
                <w:lang w:val="en-US"/>
              </w:rPr>
              <w:t>ALT</w:t>
            </w:r>
            <w:r w:rsidRPr="00FE5976">
              <w:t>/</w:t>
            </w:r>
            <w:r w:rsidRPr="00FE5976">
              <w:rPr>
                <w:lang w:val="en-US"/>
              </w:rPr>
              <w:t>AST</w:t>
            </w:r>
            <w:r w:rsidRPr="00FE5976">
              <w:t xml:space="preserve">, алкална фосфатаза, </w:t>
            </w:r>
            <w:r w:rsidRPr="00FE5976">
              <w:rPr>
                <w:lang w:val="en-US"/>
              </w:rPr>
              <w:t>GGT</w:t>
            </w:r>
            <w:r w:rsidRPr="00FE5976">
              <w:t>)</w:t>
            </w:r>
          </w:p>
        </w:tc>
        <w:tc>
          <w:tcPr>
            <w:tcW w:w="1623" w:type="dxa"/>
          </w:tcPr>
          <w:p w14:paraId="671F69A8" w14:textId="40C6091A" w:rsidR="00FE5976" w:rsidRPr="00FE5976" w:rsidRDefault="00FE5976" w:rsidP="00FE5976">
            <w:pPr>
              <w:spacing w:line="240" w:lineRule="auto"/>
              <w:rPr>
                <w:rFonts w:eastAsia="Times New Roman" w:cs="Arial"/>
                <w:color w:val="000000"/>
                <w:lang w:eastAsia="bg-BG"/>
              </w:rPr>
            </w:pPr>
            <w:r w:rsidRPr="00FE5976">
              <w:t>Повишени нива на билирубин в кръвта</w:t>
            </w:r>
          </w:p>
        </w:tc>
        <w:tc>
          <w:tcPr>
            <w:tcW w:w="2351" w:type="dxa"/>
          </w:tcPr>
          <w:p w14:paraId="3B253995" w14:textId="77777777" w:rsidR="00FE5976" w:rsidRPr="00FE5976" w:rsidRDefault="00FE5976" w:rsidP="00FE5976">
            <w:pPr>
              <w:spacing w:line="240" w:lineRule="auto"/>
              <w:rPr>
                <w:rFonts w:eastAsia="Times New Roman" w:cs="Arial"/>
                <w:color w:val="000000"/>
                <w:lang w:eastAsia="bg-BG"/>
              </w:rPr>
            </w:pPr>
          </w:p>
        </w:tc>
        <w:tc>
          <w:tcPr>
            <w:tcW w:w="2240" w:type="dxa"/>
            <w:vAlign w:val="bottom"/>
          </w:tcPr>
          <w:p w14:paraId="0857FCB8" w14:textId="77777777" w:rsidR="00FE5976" w:rsidRPr="00FE5976" w:rsidRDefault="00FE5976" w:rsidP="00FE5976">
            <w:r w:rsidRPr="00FE5976">
              <w:t>Жълтеница и тежко чернодробно нарушение, включително случаи на остра чернодробна недостатъчност, са докладвани, особено</w:t>
            </w:r>
            <w:r w:rsidRPr="00FE5976">
              <w:tab/>
              <w:t>при</w:t>
            </w:r>
          </w:p>
          <w:p w14:paraId="1E1EE405" w14:textId="3286E341" w:rsidR="00FE5976" w:rsidRPr="00FE5976" w:rsidRDefault="00FE5976" w:rsidP="00FE5976">
            <w:pPr>
              <w:spacing w:line="240" w:lineRule="auto"/>
              <w:rPr>
                <w:rFonts w:eastAsia="Times New Roman" w:cs="Arial"/>
                <w:color w:val="000000"/>
                <w:lang w:eastAsia="bg-BG"/>
              </w:rPr>
            </w:pPr>
            <w:r w:rsidRPr="00FE5976">
              <w:t>пациенти с тежки съпътстващи заболявания (вж. т. 4.4) Хепатит</w:t>
            </w:r>
          </w:p>
        </w:tc>
      </w:tr>
      <w:tr w:rsidR="00131C45" w14:paraId="6E00E5B9" w14:textId="77777777" w:rsidTr="00131C45">
        <w:tc>
          <w:tcPr>
            <w:tcW w:w="1865" w:type="dxa"/>
          </w:tcPr>
          <w:p w14:paraId="026FD6F4" w14:textId="77777777" w:rsidR="00131C45" w:rsidRPr="00131C45" w:rsidRDefault="00131C45" w:rsidP="00131C45">
            <w:r w:rsidRPr="00131C45">
              <w:rPr>
                <w:szCs w:val="20"/>
              </w:rPr>
              <w:t>Нарушения на кожата</w:t>
            </w:r>
            <w:r w:rsidRPr="00131C45">
              <w:rPr>
                <w:szCs w:val="20"/>
              </w:rPr>
              <w:tab/>
              <w:t>и</w:t>
            </w:r>
          </w:p>
          <w:p w14:paraId="0087A411" w14:textId="1795F8E7" w:rsidR="00131C45" w:rsidRPr="00131C45" w:rsidRDefault="00131C45" w:rsidP="00131C45">
            <w:pPr>
              <w:spacing w:line="240" w:lineRule="auto"/>
              <w:rPr>
                <w:rFonts w:eastAsia="Times New Roman" w:cs="Arial"/>
                <w:color w:val="000000"/>
                <w:szCs w:val="20"/>
                <w:lang w:eastAsia="bg-BG"/>
              </w:rPr>
            </w:pPr>
            <w:r w:rsidRPr="00131C45">
              <w:rPr>
                <w:szCs w:val="20"/>
              </w:rPr>
              <w:t>подкожната тъкан</w:t>
            </w:r>
            <w:r w:rsidRPr="00131C45">
              <w:rPr>
                <w:szCs w:val="20"/>
                <w:vertAlign w:val="superscript"/>
              </w:rPr>
              <w:t>ь</w:t>
            </w:r>
          </w:p>
        </w:tc>
        <w:tc>
          <w:tcPr>
            <w:tcW w:w="1497" w:type="dxa"/>
          </w:tcPr>
          <w:p w14:paraId="6EADCD48" w14:textId="77777777" w:rsidR="00131C45" w:rsidRPr="00131C45" w:rsidRDefault="00131C45" w:rsidP="00131C45">
            <w:pPr>
              <w:spacing w:line="240" w:lineRule="auto"/>
              <w:rPr>
                <w:rFonts w:eastAsia="Times New Roman" w:cs="Arial"/>
                <w:color w:val="000000"/>
                <w:szCs w:val="20"/>
                <w:lang w:eastAsia="bg-BG"/>
              </w:rPr>
            </w:pPr>
          </w:p>
        </w:tc>
        <w:tc>
          <w:tcPr>
            <w:tcW w:w="1623" w:type="dxa"/>
          </w:tcPr>
          <w:p w14:paraId="1CA92A56" w14:textId="6F7A7A7A" w:rsidR="00131C45" w:rsidRPr="00131C45" w:rsidRDefault="00131C45" w:rsidP="00131C45">
            <w:pPr>
              <w:spacing w:line="240" w:lineRule="auto"/>
              <w:rPr>
                <w:rFonts w:eastAsia="Times New Roman" w:cs="Arial"/>
                <w:color w:val="000000"/>
                <w:szCs w:val="20"/>
                <w:lang w:eastAsia="bg-BG"/>
              </w:rPr>
            </w:pPr>
            <w:r w:rsidRPr="00131C45">
              <w:rPr>
                <w:szCs w:val="20"/>
              </w:rPr>
              <w:t>Обрив, сърбеж, уртикария, хиперхидроза</w:t>
            </w:r>
          </w:p>
        </w:tc>
        <w:tc>
          <w:tcPr>
            <w:tcW w:w="2351" w:type="dxa"/>
          </w:tcPr>
          <w:p w14:paraId="48B992E1" w14:textId="77777777" w:rsidR="00131C45" w:rsidRPr="00131C45" w:rsidRDefault="00131C45" w:rsidP="00131C45">
            <w:r w:rsidRPr="00131C45">
              <w:rPr>
                <w:szCs w:val="20"/>
              </w:rPr>
              <w:t xml:space="preserve">Лекарствена реакция с еозинофилия и системни симптоми </w:t>
            </w:r>
            <w:r w:rsidRPr="00131C45">
              <w:rPr>
                <w:szCs w:val="20"/>
                <w:lang w:val="ru-RU"/>
              </w:rPr>
              <w:t>(</w:t>
            </w:r>
            <w:r w:rsidRPr="00131C45">
              <w:rPr>
                <w:szCs w:val="20"/>
                <w:lang w:val="en-US"/>
              </w:rPr>
              <w:t>DRESS</w:t>
            </w:r>
            <w:r w:rsidRPr="00131C45">
              <w:rPr>
                <w:szCs w:val="20"/>
                <w:lang w:val="ru-RU"/>
              </w:rPr>
              <w:t xml:space="preserve">) </w:t>
            </w:r>
            <w:r w:rsidRPr="00131C45">
              <w:rPr>
                <w:szCs w:val="20"/>
              </w:rPr>
              <w:t>(вж. точка 4.4),</w:t>
            </w:r>
            <w:r w:rsidRPr="00131C45">
              <w:rPr>
                <w:szCs w:val="20"/>
              </w:rPr>
              <w:tab/>
              <w:t>фиксирана</w:t>
            </w:r>
          </w:p>
          <w:p w14:paraId="20C9E8E8" w14:textId="1244A59F" w:rsidR="00131C45" w:rsidRPr="00131C45" w:rsidRDefault="00131C45" w:rsidP="00131C45">
            <w:pPr>
              <w:spacing w:line="240" w:lineRule="auto"/>
              <w:rPr>
                <w:rFonts w:eastAsia="Times New Roman" w:cs="Arial"/>
                <w:color w:val="000000"/>
                <w:szCs w:val="20"/>
                <w:lang w:eastAsia="bg-BG"/>
              </w:rPr>
            </w:pPr>
            <w:r w:rsidRPr="00131C45">
              <w:rPr>
                <w:szCs w:val="20"/>
              </w:rPr>
              <w:t>лекарствена ерупция</w:t>
            </w:r>
          </w:p>
        </w:tc>
        <w:tc>
          <w:tcPr>
            <w:tcW w:w="2240" w:type="dxa"/>
          </w:tcPr>
          <w:p w14:paraId="6E927D1B" w14:textId="77777777" w:rsidR="00131C45" w:rsidRPr="00131C45" w:rsidRDefault="00131C45" w:rsidP="00131C45">
            <w:r w:rsidRPr="00131C45">
              <w:rPr>
                <w:szCs w:val="20"/>
              </w:rPr>
              <w:t xml:space="preserve">Токсична епидермална некролиза, синдром на </w:t>
            </w:r>
            <w:r w:rsidRPr="00131C45">
              <w:rPr>
                <w:szCs w:val="20"/>
                <w:lang w:val="en-US"/>
              </w:rPr>
              <w:t>Stevens</w:t>
            </w:r>
            <w:r w:rsidRPr="00131C45">
              <w:rPr>
                <w:szCs w:val="20"/>
                <w:lang w:val="ru-RU"/>
              </w:rPr>
              <w:t>-</w:t>
            </w:r>
            <w:r w:rsidRPr="00131C45">
              <w:rPr>
                <w:szCs w:val="20"/>
                <w:lang w:val="en-US"/>
              </w:rPr>
              <w:t>Johnson</w:t>
            </w:r>
            <w:r w:rsidRPr="00131C45">
              <w:rPr>
                <w:szCs w:val="20"/>
                <w:lang w:val="ru-RU"/>
              </w:rPr>
              <w:t xml:space="preserve">, </w:t>
            </w:r>
            <w:r w:rsidRPr="00131C45">
              <w:rPr>
                <w:szCs w:val="20"/>
              </w:rPr>
              <w:t>еритема мултиформе реакции</w:t>
            </w:r>
            <w:r w:rsidRPr="00131C45">
              <w:rPr>
                <w:szCs w:val="20"/>
              </w:rPr>
              <w:tab/>
              <w:t>на</w:t>
            </w:r>
          </w:p>
          <w:p w14:paraId="7CF8C094" w14:textId="04D6656E" w:rsidR="00131C45" w:rsidRPr="00131C45" w:rsidRDefault="00131C45" w:rsidP="00131C45">
            <w:pPr>
              <w:spacing w:line="240" w:lineRule="auto"/>
              <w:rPr>
                <w:rFonts w:eastAsia="Times New Roman" w:cs="Arial"/>
                <w:color w:val="000000"/>
                <w:szCs w:val="20"/>
                <w:lang w:eastAsia="bg-BG"/>
              </w:rPr>
            </w:pPr>
            <w:r w:rsidRPr="00131C45">
              <w:rPr>
                <w:szCs w:val="20"/>
              </w:rPr>
              <w:t>фоточувствителност (виж т. 4.4) Левкоцитокластен васкулит Стоматит</w:t>
            </w:r>
          </w:p>
        </w:tc>
      </w:tr>
      <w:tr w:rsidR="00131C45" w14:paraId="593B2E9E" w14:textId="77777777" w:rsidTr="00131C45">
        <w:tc>
          <w:tcPr>
            <w:tcW w:w="1865" w:type="dxa"/>
            <w:vAlign w:val="bottom"/>
          </w:tcPr>
          <w:p w14:paraId="2FFDE0BD" w14:textId="77777777" w:rsidR="00131C45" w:rsidRPr="00131C45" w:rsidRDefault="00131C45" w:rsidP="00131C45">
            <w:r w:rsidRPr="00131C45">
              <w:rPr>
                <w:szCs w:val="20"/>
              </w:rPr>
              <w:t>Нарушения на мускулно- скелетната система</w:t>
            </w:r>
            <w:r w:rsidRPr="00131C45">
              <w:rPr>
                <w:szCs w:val="20"/>
              </w:rPr>
              <w:tab/>
              <w:t>и</w:t>
            </w:r>
          </w:p>
          <w:p w14:paraId="3379E311" w14:textId="23A30496" w:rsidR="00131C45" w:rsidRPr="00131C45" w:rsidRDefault="00131C45" w:rsidP="00131C45">
            <w:pPr>
              <w:spacing w:line="240" w:lineRule="auto"/>
              <w:rPr>
                <w:rFonts w:eastAsia="Times New Roman" w:cs="Arial"/>
                <w:color w:val="000000"/>
                <w:szCs w:val="20"/>
                <w:lang w:eastAsia="bg-BG"/>
              </w:rPr>
            </w:pPr>
            <w:r w:rsidRPr="00131C45">
              <w:rPr>
                <w:szCs w:val="20"/>
              </w:rPr>
              <w:t>Съединителната</w:t>
            </w:r>
            <w:r>
              <w:rPr>
                <w:szCs w:val="20"/>
              </w:rPr>
              <w:t xml:space="preserve"> </w:t>
            </w:r>
            <w:r>
              <w:rPr>
                <w:sz w:val="20"/>
                <w:szCs w:val="20"/>
              </w:rPr>
              <w:t>тъкан*</w:t>
            </w:r>
          </w:p>
        </w:tc>
        <w:tc>
          <w:tcPr>
            <w:tcW w:w="1497" w:type="dxa"/>
          </w:tcPr>
          <w:p w14:paraId="6608DC90" w14:textId="77777777" w:rsidR="00131C45" w:rsidRPr="00131C45" w:rsidRDefault="00131C45" w:rsidP="00131C45">
            <w:pPr>
              <w:spacing w:line="240" w:lineRule="auto"/>
              <w:rPr>
                <w:rFonts w:eastAsia="Times New Roman" w:cs="Arial"/>
                <w:color w:val="000000"/>
                <w:szCs w:val="20"/>
                <w:lang w:eastAsia="bg-BG"/>
              </w:rPr>
            </w:pPr>
          </w:p>
        </w:tc>
        <w:tc>
          <w:tcPr>
            <w:tcW w:w="1623" w:type="dxa"/>
          </w:tcPr>
          <w:p w14:paraId="7D0274E6" w14:textId="4F861C60" w:rsidR="00131C45" w:rsidRPr="00131C45" w:rsidRDefault="00131C45" w:rsidP="00131C45">
            <w:pPr>
              <w:spacing w:line="240" w:lineRule="auto"/>
              <w:rPr>
                <w:rFonts w:eastAsia="Times New Roman" w:cs="Arial"/>
                <w:color w:val="000000"/>
                <w:szCs w:val="20"/>
                <w:lang w:eastAsia="bg-BG"/>
              </w:rPr>
            </w:pPr>
            <w:r w:rsidRPr="00131C45">
              <w:rPr>
                <w:szCs w:val="20"/>
              </w:rPr>
              <w:t>Артралгия миалгия</w:t>
            </w:r>
          </w:p>
        </w:tc>
        <w:tc>
          <w:tcPr>
            <w:tcW w:w="2351" w:type="dxa"/>
            <w:vAlign w:val="bottom"/>
          </w:tcPr>
          <w:p w14:paraId="66FB5E99" w14:textId="77777777" w:rsidR="00131C45" w:rsidRPr="00131C45" w:rsidRDefault="00131C45" w:rsidP="00131C45">
            <w:r w:rsidRPr="00131C45">
              <w:rPr>
                <w:szCs w:val="20"/>
              </w:rPr>
              <w:t>Нарушения</w:t>
            </w:r>
            <w:r w:rsidRPr="00131C45">
              <w:rPr>
                <w:szCs w:val="20"/>
              </w:rPr>
              <w:tab/>
              <w:t>на</w:t>
            </w:r>
          </w:p>
          <w:p w14:paraId="5468F79C" w14:textId="77777777" w:rsidR="00131C45" w:rsidRPr="00131C45" w:rsidRDefault="00131C45" w:rsidP="00131C45">
            <w:r w:rsidRPr="00131C45">
              <w:rPr>
                <w:szCs w:val="20"/>
              </w:rPr>
              <w:t>сухожилията (вж т.</w:t>
            </w:r>
          </w:p>
          <w:p w14:paraId="6564C9F1" w14:textId="34B6EABD" w:rsidR="00131C45" w:rsidRPr="00131C45" w:rsidRDefault="00131C45" w:rsidP="00131C45">
            <w:r>
              <w:rPr>
                <w:szCs w:val="20"/>
              </w:rPr>
              <w:t xml:space="preserve">4.4) включително тендинит </w:t>
            </w:r>
            <w:r w:rsidRPr="00131C45">
              <w:rPr>
                <w:szCs w:val="20"/>
              </w:rPr>
              <w:t>(напр.</w:t>
            </w:r>
            <w:r>
              <w:rPr>
                <w:szCs w:val="20"/>
              </w:rPr>
              <w:t xml:space="preserve"> Тендинит </w:t>
            </w:r>
            <w:r w:rsidRPr="00131C45">
              <w:rPr>
                <w:szCs w:val="20"/>
              </w:rPr>
              <w:t>на</w:t>
            </w:r>
            <w:r>
              <w:rPr>
                <w:szCs w:val="20"/>
              </w:rPr>
              <w:t xml:space="preserve"> </w:t>
            </w:r>
            <w:r w:rsidRPr="00131C45">
              <w:rPr>
                <w:lang w:eastAsia="bg-BG"/>
              </w:rPr>
              <w:t>Ахилесовото сухожилие) мускулна слабост, която може да е от особено значение при пациенти с миастения гравис (вж т. 4.4)</w:t>
            </w:r>
          </w:p>
          <w:p w14:paraId="624B8DAB" w14:textId="3FF3AC15" w:rsidR="00131C45" w:rsidRPr="00131C45" w:rsidRDefault="00131C45" w:rsidP="00131C45">
            <w:pPr>
              <w:spacing w:line="240" w:lineRule="auto"/>
              <w:rPr>
                <w:rFonts w:eastAsia="Times New Roman" w:cs="Arial"/>
                <w:color w:val="000000"/>
                <w:szCs w:val="20"/>
                <w:lang w:eastAsia="bg-BG"/>
              </w:rPr>
            </w:pPr>
          </w:p>
        </w:tc>
        <w:tc>
          <w:tcPr>
            <w:tcW w:w="2240" w:type="dxa"/>
          </w:tcPr>
          <w:p w14:paraId="7644DA48" w14:textId="77777777" w:rsidR="00131C45" w:rsidRPr="00131C45" w:rsidRDefault="00131C45" w:rsidP="00131C45">
            <w:r w:rsidRPr="00131C45">
              <w:rPr>
                <w:szCs w:val="20"/>
              </w:rPr>
              <w:lastRenderedPageBreak/>
              <w:t>Рабдо</w:t>
            </w:r>
            <w:r w:rsidRPr="00131C45">
              <w:rPr>
                <w:szCs w:val="20"/>
                <w:u w:val="single"/>
              </w:rPr>
              <w:t>миолиз</w:t>
            </w:r>
            <w:r w:rsidRPr="00131C45">
              <w:rPr>
                <w:szCs w:val="20"/>
              </w:rPr>
              <w:t>а</w:t>
            </w:r>
          </w:p>
          <w:p w14:paraId="4A77020E" w14:textId="77777777" w:rsidR="00131C45" w:rsidRPr="00131C45" w:rsidRDefault="00131C45" w:rsidP="00131C45">
            <w:r w:rsidRPr="00131C45">
              <w:rPr>
                <w:szCs w:val="20"/>
              </w:rPr>
              <w:t>руптура</w:t>
            </w:r>
          </w:p>
          <w:p w14:paraId="52969D57" w14:textId="77777777" w:rsidR="00131C45" w:rsidRPr="00131C45" w:rsidRDefault="00131C45" w:rsidP="00131C45">
            <w:r w:rsidRPr="00131C45">
              <w:rPr>
                <w:szCs w:val="20"/>
              </w:rPr>
              <w:t>на сухижилие</w:t>
            </w:r>
          </w:p>
          <w:p w14:paraId="771EECAB" w14:textId="77777777" w:rsidR="00131C45" w:rsidRPr="00131C45" w:rsidRDefault="00131C45" w:rsidP="00131C45">
            <w:r w:rsidRPr="00131C45">
              <w:rPr>
                <w:szCs w:val="20"/>
              </w:rPr>
              <w:t>(напр. на</w:t>
            </w:r>
          </w:p>
          <w:p w14:paraId="7A2C62A0" w14:textId="77777777" w:rsidR="00131C45" w:rsidRPr="00131C45" w:rsidRDefault="00131C45" w:rsidP="00131C45">
            <w:pPr>
              <w:rPr>
                <w:sz w:val="24"/>
                <w:szCs w:val="24"/>
              </w:rPr>
            </w:pPr>
            <w:r w:rsidRPr="00131C45">
              <w:t>Ахилесовото</w:t>
            </w:r>
            <w:r>
              <w:t xml:space="preserve"> </w:t>
            </w:r>
            <w:r w:rsidRPr="00131C45">
              <w:rPr>
                <w:lang w:eastAsia="bg-BG"/>
              </w:rPr>
              <w:t>сухожилие) (вж точки</w:t>
            </w:r>
          </w:p>
          <w:p w14:paraId="13D07B4E" w14:textId="77777777" w:rsidR="00131C45" w:rsidRPr="00131C45" w:rsidRDefault="00131C45" w:rsidP="00131C45">
            <w:pPr>
              <w:rPr>
                <w:sz w:val="24"/>
                <w:szCs w:val="24"/>
              </w:rPr>
            </w:pPr>
            <w:r w:rsidRPr="00131C45">
              <w:rPr>
                <w:lang w:eastAsia="bg-BG"/>
              </w:rPr>
              <w:t>4.3 и 4.4) Руптура на лигамент Мускулна руптура Артрит</w:t>
            </w:r>
          </w:p>
          <w:p w14:paraId="0786CB8A" w14:textId="28B72A2B" w:rsidR="00131C45" w:rsidRPr="00131C45" w:rsidRDefault="00131C45" w:rsidP="00131C45">
            <w:pPr>
              <w:spacing w:line="240" w:lineRule="auto"/>
              <w:rPr>
                <w:rFonts w:eastAsia="Times New Roman" w:cs="Arial"/>
                <w:color w:val="000000"/>
                <w:szCs w:val="20"/>
                <w:lang w:eastAsia="bg-BG"/>
              </w:rPr>
            </w:pPr>
          </w:p>
        </w:tc>
      </w:tr>
      <w:tr w:rsidR="00131C45" w14:paraId="0492BE42" w14:textId="77777777" w:rsidTr="00131C45">
        <w:tc>
          <w:tcPr>
            <w:tcW w:w="1865" w:type="dxa"/>
          </w:tcPr>
          <w:p w14:paraId="7D29928E" w14:textId="0E023064" w:rsidR="00131C45" w:rsidRDefault="00131C45" w:rsidP="00131C45">
            <w:r>
              <w:t>Нарушения на</w:t>
            </w:r>
          </w:p>
          <w:p w14:paraId="3EE8505D" w14:textId="7467CEE2" w:rsidR="00131C45" w:rsidRDefault="00131C45" w:rsidP="00131C45">
            <w:r>
              <w:t>Бъбреците и</w:t>
            </w:r>
          </w:p>
          <w:p w14:paraId="4E785A29" w14:textId="715FE682" w:rsidR="00131C45" w:rsidRDefault="00131C45" w:rsidP="00131C45">
            <w:pPr>
              <w:rPr>
                <w:rFonts w:eastAsia="Times New Roman" w:cs="Arial"/>
                <w:color w:val="000000"/>
                <w:lang w:eastAsia="bg-BG"/>
              </w:rPr>
            </w:pPr>
            <w:r>
              <w:t>пикочните пътища</w:t>
            </w:r>
          </w:p>
        </w:tc>
        <w:tc>
          <w:tcPr>
            <w:tcW w:w="1497" w:type="dxa"/>
          </w:tcPr>
          <w:p w14:paraId="7A27ACE9" w14:textId="77777777" w:rsidR="00131C45" w:rsidRDefault="00131C45" w:rsidP="00131C45">
            <w:pPr>
              <w:rPr>
                <w:rFonts w:eastAsia="Times New Roman" w:cs="Arial"/>
                <w:color w:val="000000"/>
                <w:lang w:eastAsia="bg-BG"/>
              </w:rPr>
            </w:pPr>
          </w:p>
        </w:tc>
        <w:tc>
          <w:tcPr>
            <w:tcW w:w="1623" w:type="dxa"/>
          </w:tcPr>
          <w:p w14:paraId="5F215490" w14:textId="071B0A8E" w:rsidR="00131C45" w:rsidRDefault="00131C45" w:rsidP="00131C45">
            <w:pPr>
              <w:rPr>
                <w:rFonts w:eastAsia="Times New Roman" w:cs="Arial"/>
                <w:color w:val="000000"/>
                <w:lang w:eastAsia="bg-BG"/>
              </w:rPr>
            </w:pPr>
            <w:r>
              <w:t>Повишен серумен креатинин</w:t>
            </w:r>
          </w:p>
        </w:tc>
        <w:tc>
          <w:tcPr>
            <w:tcW w:w="2351" w:type="dxa"/>
          </w:tcPr>
          <w:p w14:paraId="3370B0D8" w14:textId="77777777" w:rsidR="00131C45" w:rsidRDefault="00131C45" w:rsidP="00131C45">
            <w:r>
              <w:t>Остра</w:t>
            </w:r>
            <w:r>
              <w:tab/>
              <w:t>бъбречна</w:t>
            </w:r>
          </w:p>
          <w:p w14:paraId="053D1E59" w14:textId="20598755" w:rsidR="00131C45" w:rsidRDefault="00131C45" w:rsidP="00131C45">
            <w:r>
              <w:t>недостатъчност (дължаща се</w:t>
            </w:r>
          </w:p>
          <w:p w14:paraId="14C1E193" w14:textId="1C41792A" w:rsidR="00131C45" w:rsidRDefault="00131C45" w:rsidP="00131C45">
            <w:r>
              <w:t>например на</w:t>
            </w:r>
          </w:p>
          <w:p w14:paraId="1CB60423" w14:textId="6CF78271" w:rsidR="00131C45" w:rsidRDefault="00131C45" w:rsidP="00131C45">
            <w:pPr>
              <w:rPr>
                <w:rFonts w:eastAsia="Times New Roman" w:cs="Arial"/>
                <w:color w:val="000000"/>
                <w:lang w:eastAsia="bg-BG"/>
              </w:rPr>
            </w:pPr>
            <w:r>
              <w:t>интерстициален нефрит)</w:t>
            </w:r>
          </w:p>
        </w:tc>
        <w:tc>
          <w:tcPr>
            <w:tcW w:w="2240" w:type="dxa"/>
          </w:tcPr>
          <w:p w14:paraId="0DC974CE" w14:textId="77777777" w:rsidR="00131C45" w:rsidRDefault="00131C45" w:rsidP="00131C45">
            <w:pPr>
              <w:rPr>
                <w:rFonts w:eastAsia="Times New Roman" w:cs="Arial"/>
                <w:color w:val="000000"/>
                <w:lang w:eastAsia="bg-BG"/>
              </w:rPr>
            </w:pPr>
          </w:p>
        </w:tc>
      </w:tr>
      <w:tr w:rsidR="00131C45" w14:paraId="1CFF1A16" w14:textId="77777777" w:rsidTr="00131C45">
        <w:tc>
          <w:tcPr>
            <w:tcW w:w="1865" w:type="dxa"/>
          </w:tcPr>
          <w:p w14:paraId="6E54122C" w14:textId="0EA7CE42" w:rsidR="00131C45" w:rsidRDefault="00131C45" w:rsidP="00131C45">
            <w:r>
              <w:t>Общи нарушения и ефекти на мястото на</w:t>
            </w:r>
          </w:p>
          <w:p w14:paraId="0C999F07" w14:textId="2A4A1C32" w:rsidR="00131C45" w:rsidRDefault="00131C45" w:rsidP="00131C45">
            <w:pPr>
              <w:rPr>
                <w:rFonts w:eastAsia="Times New Roman" w:cs="Arial"/>
                <w:color w:val="000000"/>
                <w:lang w:eastAsia="bg-BG"/>
              </w:rPr>
            </w:pPr>
            <w:r>
              <w:t>приложение*</w:t>
            </w:r>
          </w:p>
        </w:tc>
        <w:tc>
          <w:tcPr>
            <w:tcW w:w="1497" w:type="dxa"/>
          </w:tcPr>
          <w:p w14:paraId="7C769A18" w14:textId="77777777" w:rsidR="00131C45" w:rsidRDefault="00131C45" w:rsidP="00131C45">
            <w:pPr>
              <w:rPr>
                <w:rFonts w:eastAsia="Times New Roman" w:cs="Arial"/>
                <w:color w:val="000000"/>
                <w:lang w:eastAsia="bg-BG"/>
              </w:rPr>
            </w:pPr>
          </w:p>
        </w:tc>
        <w:tc>
          <w:tcPr>
            <w:tcW w:w="1623" w:type="dxa"/>
          </w:tcPr>
          <w:p w14:paraId="6D0280A7" w14:textId="78286787" w:rsidR="00131C45" w:rsidRDefault="00131C45" w:rsidP="00131C45">
            <w:pPr>
              <w:rPr>
                <w:rFonts w:eastAsia="Times New Roman" w:cs="Arial"/>
                <w:color w:val="000000"/>
                <w:lang w:eastAsia="bg-BG"/>
              </w:rPr>
            </w:pPr>
            <w:r>
              <w:t>Астения</w:t>
            </w:r>
          </w:p>
        </w:tc>
        <w:tc>
          <w:tcPr>
            <w:tcW w:w="2351" w:type="dxa"/>
          </w:tcPr>
          <w:p w14:paraId="140E8347" w14:textId="41189D2E" w:rsidR="00131C45" w:rsidRDefault="00131C45" w:rsidP="00131C45">
            <w:pPr>
              <w:rPr>
                <w:rFonts w:eastAsia="Times New Roman" w:cs="Arial"/>
                <w:color w:val="000000"/>
                <w:lang w:eastAsia="bg-BG"/>
              </w:rPr>
            </w:pPr>
            <w:r>
              <w:t>Пирексия</w:t>
            </w:r>
          </w:p>
        </w:tc>
        <w:tc>
          <w:tcPr>
            <w:tcW w:w="2240" w:type="dxa"/>
          </w:tcPr>
          <w:p w14:paraId="6852C05B" w14:textId="1B194C5F" w:rsidR="00131C45" w:rsidRDefault="00131C45" w:rsidP="00131C45">
            <w:r>
              <w:t>болка (включително болка в гърба, гърдите и</w:t>
            </w:r>
          </w:p>
          <w:p w14:paraId="0BCEF0F8" w14:textId="49AA4A4F" w:rsidR="00131C45" w:rsidRDefault="00131C45" w:rsidP="00131C45">
            <w:pPr>
              <w:rPr>
                <w:rFonts w:eastAsia="Times New Roman" w:cs="Arial"/>
                <w:color w:val="000000"/>
                <w:lang w:eastAsia="bg-BG"/>
              </w:rPr>
            </w:pPr>
            <w:r>
              <w:t>крайниците)</w:t>
            </w:r>
          </w:p>
        </w:tc>
      </w:tr>
    </w:tbl>
    <w:p w14:paraId="6B0C8EA4" w14:textId="3CA605C0" w:rsidR="00131C45" w:rsidRPr="00131C45" w:rsidRDefault="00131C45" w:rsidP="00131C45">
      <w:pPr>
        <w:spacing w:line="240" w:lineRule="auto"/>
        <w:rPr>
          <w:rFonts w:eastAsia="Times New Roman" w:cs="Arial"/>
        </w:rPr>
      </w:pPr>
      <w:r w:rsidRPr="00131C45">
        <w:rPr>
          <w:rFonts w:eastAsia="Times New Roman" w:cs="Arial"/>
          <w:color w:val="000000"/>
          <w:vertAlign w:val="superscript"/>
          <w:lang w:eastAsia="bg-BG"/>
        </w:rPr>
        <w:t>а</w:t>
      </w:r>
      <w:r w:rsidRPr="00131C45">
        <w:rPr>
          <w:rFonts w:eastAsia="Times New Roman" w:cs="Arial"/>
          <w:color w:val="000000"/>
          <w:lang w:eastAsia="bg-BG"/>
        </w:rPr>
        <w:t xml:space="preserve">Анафилактичните и анафилактоидните реакции понякога могат да възникнат дори след първата доза. </w:t>
      </w:r>
      <w:proofErr w:type="gramStart"/>
      <w:r w:rsidRPr="00131C45">
        <w:rPr>
          <w:rFonts w:eastAsia="Times New Roman" w:cs="Arial"/>
          <w:color w:val="000000"/>
          <w:vertAlign w:val="superscript"/>
          <w:lang w:val="en-US" w:eastAsia="bg-BG"/>
        </w:rPr>
        <w:t>b</w:t>
      </w:r>
      <w:r w:rsidRPr="00131C45">
        <w:rPr>
          <w:rFonts w:eastAsia="Times New Roman" w:cs="Arial"/>
          <w:color w:val="000000"/>
          <w:lang w:eastAsia="bg-BG"/>
        </w:rPr>
        <w:t>Кожно-лигавичните</w:t>
      </w:r>
      <w:proofErr w:type="gramEnd"/>
      <w:r w:rsidRPr="00131C45">
        <w:rPr>
          <w:rFonts w:eastAsia="Times New Roman" w:cs="Arial"/>
          <w:color w:val="000000"/>
          <w:lang w:eastAsia="bg-BG"/>
        </w:rPr>
        <w:t xml:space="preserve"> реакции могат понякога да се проявяват дори след първата доза.</w:t>
      </w:r>
    </w:p>
    <w:p w14:paraId="5F72F2BA" w14:textId="77777777" w:rsidR="00131C45" w:rsidRPr="00131C45" w:rsidRDefault="00131C45" w:rsidP="00131C45">
      <w:pPr>
        <w:spacing w:line="240" w:lineRule="auto"/>
        <w:rPr>
          <w:rFonts w:eastAsia="Times New Roman" w:cs="Arial"/>
          <w:color w:val="000000"/>
          <w:lang w:eastAsia="bg-BG"/>
        </w:rPr>
      </w:pPr>
    </w:p>
    <w:p w14:paraId="5BC92B34" w14:textId="2DCEFFCD" w:rsidR="00131C45" w:rsidRPr="00131C45" w:rsidRDefault="00131C45" w:rsidP="00131C45">
      <w:pPr>
        <w:spacing w:line="240" w:lineRule="auto"/>
        <w:rPr>
          <w:rFonts w:eastAsia="Times New Roman" w:cs="Arial"/>
        </w:rPr>
      </w:pPr>
      <w:r w:rsidRPr="00131C45">
        <w:rPr>
          <w:rFonts w:eastAsia="Times New Roman" w:cs="Arial"/>
          <w:color w:val="000000"/>
          <w:lang w:eastAsia="bg-BG"/>
        </w:rPr>
        <w:t>*Съобщава се за много редки случаи на продължителни (до месеци или години), инвалидизиращи и потенциално необратими сериозни лекарствени реакции, засягащи няколко, понякога много системо- органни класове и сетива (включително реакции като тендинит, разкъсване на сухожилие, артралгия, болка в крайниците, нарушение на походката, невропатии, свързани с парестезии, депресия, умора, нарушение на паметта, нарушения на съня и увреждане на слуха, зрението, вкуса и обонянието) във връзка с употребата на хинолони и флуорохинолони, в някои случаи, независимо от вече съществуващите рискови фактори (вж. точка 4.4).</w:t>
      </w:r>
    </w:p>
    <w:p w14:paraId="0EF3B073" w14:textId="77777777" w:rsidR="00131C45" w:rsidRPr="00131C45" w:rsidRDefault="00131C45" w:rsidP="00131C45">
      <w:pPr>
        <w:spacing w:line="240" w:lineRule="auto"/>
        <w:rPr>
          <w:rFonts w:eastAsia="Times New Roman" w:cs="Arial"/>
          <w:b/>
          <w:bCs/>
          <w:color w:val="000000"/>
          <w:lang w:eastAsia="bg-BG"/>
        </w:rPr>
      </w:pPr>
    </w:p>
    <w:p w14:paraId="4F8B4D05" w14:textId="6C1579EF" w:rsidR="00131C45" w:rsidRPr="00131C45" w:rsidRDefault="00131C45" w:rsidP="00131C45">
      <w:pPr>
        <w:spacing w:line="240" w:lineRule="auto"/>
        <w:rPr>
          <w:rFonts w:eastAsia="Times New Roman" w:cs="Arial"/>
        </w:rPr>
      </w:pPr>
      <w:r w:rsidRPr="00131C45">
        <w:rPr>
          <w:rFonts w:eastAsia="Times New Roman" w:cs="Arial"/>
          <w:b/>
          <w:bCs/>
          <w:color w:val="000000"/>
          <w:lang w:eastAsia="bg-BG"/>
        </w:rPr>
        <w:t>** При пациентите, приемащи флуорохинолони, са съобщени случаи на аневризма и дисекация на аортата, понякога усложнени поради разкъсване (включително с летален изход) и регургитация/недостатъчност на някои от сърдечните клапи (вж. точка 4.4).</w:t>
      </w:r>
    </w:p>
    <w:p w14:paraId="73C873F5" w14:textId="77777777" w:rsidR="00131C45" w:rsidRPr="00131C45" w:rsidRDefault="00131C45" w:rsidP="00131C45">
      <w:pPr>
        <w:spacing w:line="240" w:lineRule="auto"/>
        <w:rPr>
          <w:rFonts w:eastAsia="Times New Roman" w:cs="Arial"/>
          <w:color w:val="000000"/>
          <w:lang w:eastAsia="bg-BG"/>
        </w:rPr>
      </w:pPr>
    </w:p>
    <w:p w14:paraId="2E169E92" w14:textId="065B3337" w:rsidR="00131C45" w:rsidRPr="00131C45" w:rsidRDefault="00131C45" w:rsidP="00131C45">
      <w:pPr>
        <w:spacing w:line="240" w:lineRule="auto"/>
        <w:rPr>
          <w:rFonts w:eastAsia="Times New Roman" w:cs="Arial"/>
        </w:rPr>
      </w:pPr>
      <w:r w:rsidRPr="00131C45">
        <w:rPr>
          <w:rFonts w:eastAsia="Times New Roman" w:cs="Arial"/>
          <w:color w:val="000000"/>
          <w:lang w:eastAsia="bg-BG"/>
        </w:rPr>
        <w:t>Други нежелани реакции свързани с приложението на флуорохинолони включват:</w:t>
      </w:r>
    </w:p>
    <w:p w14:paraId="34CE1424" w14:textId="68F0D481" w:rsidR="00131C45" w:rsidRPr="00131C45" w:rsidRDefault="00131C45" w:rsidP="00131C45">
      <w:pPr>
        <w:pStyle w:val="ListParagraph"/>
        <w:numPr>
          <w:ilvl w:val="0"/>
          <w:numId w:val="39"/>
        </w:numPr>
        <w:spacing w:line="240" w:lineRule="auto"/>
        <w:rPr>
          <w:rFonts w:eastAsia="Times New Roman" w:cs="Arial"/>
        </w:rPr>
      </w:pPr>
      <w:r w:rsidRPr="00131C45">
        <w:rPr>
          <w:rFonts w:eastAsia="Times New Roman" w:cs="Arial"/>
          <w:color w:val="000000"/>
          <w:lang w:eastAsia="bg-BG"/>
        </w:rPr>
        <w:t>Пристъпи на порфирия при пациенти с порфирия.</w:t>
      </w:r>
    </w:p>
    <w:p w14:paraId="69A8A8A8" w14:textId="77777777" w:rsidR="00131C45" w:rsidRPr="00131C45" w:rsidRDefault="00131C45" w:rsidP="00131C45">
      <w:pPr>
        <w:spacing w:line="240" w:lineRule="auto"/>
        <w:rPr>
          <w:rFonts w:eastAsia="Times New Roman" w:cs="Arial"/>
          <w:color w:val="000000"/>
          <w:u w:val="single"/>
          <w:lang w:eastAsia="bg-BG"/>
        </w:rPr>
      </w:pPr>
    </w:p>
    <w:p w14:paraId="60E77F65" w14:textId="5CA96586" w:rsidR="00131C45" w:rsidRPr="00131C45" w:rsidRDefault="00131C45" w:rsidP="00131C45">
      <w:pPr>
        <w:spacing w:line="240" w:lineRule="auto"/>
        <w:rPr>
          <w:rFonts w:eastAsia="Times New Roman" w:cs="Arial"/>
        </w:rPr>
      </w:pPr>
      <w:r w:rsidRPr="00131C45">
        <w:rPr>
          <w:rFonts w:eastAsia="Times New Roman" w:cs="Arial"/>
          <w:color w:val="000000"/>
          <w:u w:val="single"/>
          <w:lang w:eastAsia="bg-BG"/>
        </w:rPr>
        <w:t>Съобщаване на подозирани нежелани реакции</w:t>
      </w:r>
    </w:p>
    <w:p w14:paraId="4B2E1BFE" w14:textId="06588BF4" w:rsidR="00FE5976" w:rsidRPr="00FE5976" w:rsidRDefault="00131C45" w:rsidP="00FE5976">
      <w:pPr>
        <w:spacing w:line="240" w:lineRule="auto"/>
        <w:rPr>
          <w:rFonts w:eastAsia="Times New Roman" w:cs="Arial"/>
        </w:rPr>
      </w:pPr>
      <w:r w:rsidRPr="00131C4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1303 София, тел. 02 890 3417, уебсайт </w:t>
      </w:r>
      <w:r w:rsidRPr="00131C45">
        <w:rPr>
          <w:rFonts w:eastAsia="Times New Roman" w:cs="Arial"/>
        </w:rPr>
        <w:fldChar w:fldCharType="begin"/>
      </w:r>
      <w:r w:rsidRPr="00131C45">
        <w:rPr>
          <w:rFonts w:eastAsia="Times New Roman" w:cs="Arial"/>
        </w:rPr>
        <w:instrText xml:space="preserve"> HYPERLINK "http://www.bda.bg" </w:instrText>
      </w:r>
      <w:r w:rsidRPr="00131C45">
        <w:rPr>
          <w:rFonts w:eastAsia="Times New Roman" w:cs="Arial"/>
        </w:rPr>
      </w:r>
      <w:r w:rsidRPr="00131C45">
        <w:rPr>
          <w:rFonts w:eastAsia="Times New Roman" w:cs="Arial"/>
        </w:rPr>
        <w:fldChar w:fldCharType="separate"/>
      </w:r>
      <w:r w:rsidRPr="00131C45">
        <w:rPr>
          <w:rFonts w:eastAsia="Times New Roman" w:cs="Arial"/>
          <w:color w:val="000000"/>
          <w:u w:val="single"/>
          <w:lang w:val="en-US"/>
        </w:rPr>
        <w:t>www</w:t>
      </w:r>
      <w:r w:rsidRPr="00131C45">
        <w:rPr>
          <w:rFonts w:eastAsia="Times New Roman" w:cs="Arial"/>
          <w:color w:val="000000"/>
          <w:u w:val="single"/>
          <w:lang w:val="ru-RU"/>
        </w:rPr>
        <w:t>.</w:t>
      </w:r>
      <w:proofErr w:type="spellStart"/>
      <w:r w:rsidRPr="00131C45">
        <w:rPr>
          <w:rFonts w:eastAsia="Times New Roman" w:cs="Arial"/>
          <w:color w:val="000000"/>
          <w:u w:val="single"/>
          <w:lang w:val="en-US"/>
        </w:rPr>
        <w:t>bda</w:t>
      </w:r>
      <w:proofErr w:type="spellEnd"/>
      <w:r w:rsidRPr="00131C45">
        <w:rPr>
          <w:rFonts w:eastAsia="Times New Roman" w:cs="Arial"/>
          <w:color w:val="000000"/>
          <w:u w:val="single"/>
          <w:lang w:val="ru-RU"/>
        </w:rPr>
        <w:t>.</w:t>
      </w:r>
      <w:proofErr w:type="spellStart"/>
      <w:r w:rsidRPr="00131C45">
        <w:rPr>
          <w:rFonts w:eastAsia="Times New Roman" w:cs="Arial"/>
          <w:color w:val="000000"/>
          <w:u w:val="single"/>
          <w:lang w:val="en-US"/>
        </w:rPr>
        <w:t>bg</w:t>
      </w:r>
      <w:proofErr w:type="spellEnd"/>
      <w:r w:rsidRPr="00131C45">
        <w:rPr>
          <w:rFonts w:eastAsia="Times New Roman" w:cs="Arial"/>
        </w:rPr>
        <w:fldChar w:fldCharType="end"/>
      </w:r>
      <w:r w:rsidRPr="00131C45">
        <w:rPr>
          <w:rFonts w:eastAsia="Times New Roman" w:cs="Arial"/>
          <w:color w:val="000000"/>
          <w:lang w:eastAsia="bg-BG"/>
        </w:rPr>
        <w:t>.</w:t>
      </w:r>
    </w:p>
    <w:p w14:paraId="0CB4D37C" w14:textId="77777777" w:rsidR="00FE5976" w:rsidRPr="00FE5976" w:rsidRDefault="00FE5976" w:rsidP="00FE5976"/>
    <w:p w14:paraId="0A023CE0" w14:textId="6E701A20" w:rsidR="00CF77F7" w:rsidRDefault="002C50EE" w:rsidP="004A448E">
      <w:pPr>
        <w:pStyle w:val="Heading2"/>
      </w:pPr>
      <w:r>
        <w:t>4.9. Предозиране</w:t>
      </w:r>
    </w:p>
    <w:p w14:paraId="5DA7368F" w14:textId="72E4EC61" w:rsidR="00FE5976" w:rsidRDefault="00FE5976" w:rsidP="00FE5976"/>
    <w:p w14:paraId="534D3CAC" w14:textId="51BC05D4" w:rsidR="00FE5976" w:rsidRPr="00131C45" w:rsidRDefault="00131C45" w:rsidP="00131C45">
      <w:pPr>
        <w:rPr>
          <w:rFonts w:cs="Arial"/>
        </w:rPr>
      </w:pPr>
      <w:r w:rsidRPr="00131C45">
        <w:rPr>
          <w:rFonts w:cs="Arial"/>
        </w:rPr>
        <w:t xml:space="preserve">Според токсикологичните изследвания върху животни или клинично-фармакологичните изследвания извършени със супратерапевтични дози, най-важните признаци, които трябва да се очакват при остро предозиране на ВИВЕКС 500 </w:t>
      </w:r>
      <w:r w:rsidRPr="00131C45">
        <w:rPr>
          <w:rFonts w:cs="Arial"/>
          <w:lang w:val="en-US"/>
        </w:rPr>
        <w:t>mg</w:t>
      </w:r>
      <w:r w:rsidRPr="00131C45">
        <w:rPr>
          <w:rFonts w:cs="Arial"/>
          <w:lang w:val="ru-RU"/>
        </w:rPr>
        <w:t xml:space="preserve"> </w:t>
      </w:r>
      <w:r w:rsidRPr="00131C45">
        <w:rPr>
          <w:rFonts w:cs="Arial"/>
        </w:rPr>
        <w:t xml:space="preserve">филмирани таблетки, са симптоми от страна на ЦНС като обърканост, замаяност, нарушение на съзнанието и конвулсивни гърчове, удължаване на </w:t>
      </w:r>
      <w:r w:rsidRPr="00131C45">
        <w:rPr>
          <w:rFonts w:cs="Arial"/>
          <w:lang w:val="en-US"/>
        </w:rPr>
        <w:t>QT</w:t>
      </w:r>
      <w:r w:rsidRPr="00131C45">
        <w:rPr>
          <w:rFonts w:cs="Arial"/>
          <w:lang w:val="ru-RU"/>
        </w:rPr>
        <w:t>-</w:t>
      </w:r>
      <w:r w:rsidRPr="00131C45">
        <w:rPr>
          <w:rFonts w:cs="Arial"/>
        </w:rPr>
        <w:t>интервала като и стомашно- чревни реакции като гадене и лигавични ерозии.</w:t>
      </w:r>
    </w:p>
    <w:p w14:paraId="353883A3" w14:textId="541ED416" w:rsidR="00131C45" w:rsidRPr="00131C45" w:rsidRDefault="00131C45" w:rsidP="00131C45">
      <w:pPr>
        <w:rPr>
          <w:rFonts w:cs="Arial"/>
        </w:rPr>
      </w:pPr>
    </w:p>
    <w:p w14:paraId="4AD01AC4" w14:textId="77777777" w:rsidR="00131C45" w:rsidRPr="00131C45" w:rsidRDefault="00131C45" w:rsidP="00131C45">
      <w:pPr>
        <w:rPr>
          <w:rFonts w:eastAsia="Times New Roman" w:cs="Arial"/>
          <w:sz w:val="24"/>
          <w:szCs w:val="24"/>
        </w:rPr>
      </w:pPr>
      <w:r w:rsidRPr="00131C45">
        <w:rPr>
          <w:rFonts w:eastAsia="Times New Roman" w:cs="Arial"/>
          <w:color w:val="000000"/>
          <w:lang w:eastAsia="bg-BG"/>
        </w:rPr>
        <w:t xml:space="preserve">В случай на предозиране, трябва да се приложи симптоматично лечение. Трябва да се мониторира ЕКГ поради вероятност от удължаване на </w:t>
      </w:r>
      <w:r w:rsidRPr="00131C45">
        <w:rPr>
          <w:rFonts w:eastAsia="Times New Roman" w:cs="Arial"/>
          <w:color w:val="000000"/>
          <w:lang w:val="en-US"/>
        </w:rPr>
        <w:t>QT</w:t>
      </w:r>
      <w:r w:rsidRPr="00131C45">
        <w:rPr>
          <w:rFonts w:eastAsia="Times New Roman" w:cs="Arial"/>
          <w:color w:val="000000"/>
          <w:lang w:eastAsia="bg-BG"/>
        </w:rPr>
        <w:t>-интервала. Антиацидите могат да се използват за защита на стомашната лигавица. Хемодиализата, в това число перитонеалната диализа и НАПД, не са ефективни за отстраняване на левофлоксацин от организма.</w:t>
      </w:r>
    </w:p>
    <w:p w14:paraId="2C9FB4A2" w14:textId="77777777" w:rsidR="00131C45" w:rsidRPr="00131C45" w:rsidRDefault="00131C45" w:rsidP="00131C45">
      <w:pPr>
        <w:rPr>
          <w:rFonts w:eastAsia="Times New Roman" w:cs="Arial"/>
          <w:sz w:val="24"/>
          <w:szCs w:val="24"/>
        </w:rPr>
      </w:pPr>
      <w:r w:rsidRPr="00131C45">
        <w:rPr>
          <w:rFonts w:eastAsia="Times New Roman" w:cs="Arial"/>
          <w:color w:val="000000"/>
          <w:lang w:eastAsia="bg-BG"/>
        </w:rPr>
        <w:t>Не съществува специфичен антидот.</w:t>
      </w:r>
    </w:p>
    <w:p w14:paraId="3DBB41F5" w14:textId="77777777" w:rsidR="00131C45" w:rsidRPr="00FE5976" w:rsidRDefault="00131C45" w:rsidP="00FE5976"/>
    <w:p w14:paraId="02081B24" w14:textId="1F46E296" w:rsidR="00395555" w:rsidRPr="00395555" w:rsidRDefault="002C50EE" w:rsidP="008A6AF2">
      <w:pPr>
        <w:pStyle w:val="Heading1"/>
      </w:pPr>
      <w:r>
        <w:t>5. ФАРМАКОЛОГИЧНИ СВОЙСТВА</w:t>
      </w:r>
    </w:p>
    <w:p w14:paraId="32B6DE66" w14:textId="2E64D637" w:rsidR="00CF77F7" w:rsidRDefault="002C50EE" w:rsidP="004A448E">
      <w:pPr>
        <w:pStyle w:val="Heading2"/>
      </w:pPr>
      <w:r>
        <w:t>5.1. Фармакодинамични свойства</w:t>
      </w:r>
    </w:p>
    <w:p w14:paraId="6D7AC016" w14:textId="19281078" w:rsidR="00131C45" w:rsidRDefault="00131C45" w:rsidP="00131C45"/>
    <w:p w14:paraId="6A1ACB5B" w14:textId="77777777" w:rsidR="00131C45" w:rsidRPr="00131C45" w:rsidRDefault="00131C45" w:rsidP="00131C45">
      <w:pPr>
        <w:spacing w:line="240" w:lineRule="auto"/>
        <w:rPr>
          <w:rFonts w:eastAsia="Times New Roman" w:cs="Arial"/>
        </w:rPr>
      </w:pPr>
      <w:r w:rsidRPr="00131C45">
        <w:rPr>
          <w:rFonts w:eastAsia="Times New Roman" w:cs="Arial"/>
          <w:color w:val="000000"/>
          <w:lang w:eastAsia="bg-BG"/>
        </w:rPr>
        <w:t>Фармакотерапевтична група: хинолонови антибактериални средства, флуорхинолони</w:t>
      </w:r>
    </w:p>
    <w:p w14:paraId="20F847AA" w14:textId="1746C03A" w:rsidR="00131C45" w:rsidRPr="00131C45" w:rsidRDefault="00131C45" w:rsidP="00131C45">
      <w:pPr>
        <w:spacing w:line="240" w:lineRule="auto"/>
        <w:rPr>
          <w:rFonts w:eastAsia="Times New Roman" w:cs="Arial"/>
        </w:rPr>
      </w:pPr>
      <w:r w:rsidRPr="00131C45">
        <w:rPr>
          <w:rFonts w:eastAsia="Times New Roman" w:cs="Arial"/>
          <w:color w:val="000000"/>
          <w:lang w:eastAsia="bg-BG"/>
        </w:rPr>
        <w:t xml:space="preserve">АТСкод: </w:t>
      </w:r>
      <w:r w:rsidRPr="00131C45">
        <w:rPr>
          <w:rFonts w:eastAsia="Times New Roman" w:cs="Arial"/>
          <w:color w:val="000000"/>
          <w:lang w:val="en-US"/>
        </w:rPr>
        <w:t>J</w:t>
      </w:r>
      <w:r w:rsidRPr="00131C45">
        <w:rPr>
          <w:rFonts w:eastAsia="Times New Roman" w:cs="Arial"/>
          <w:color w:val="000000"/>
          <w:lang w:val="ru-RU"/>
        </w:rPr>
        <w:t>01</w:t>
      </w:r>
      <w:r w:rsidRPr="00131C45">
        <w:rPr>
          <w:rFonts w:eastAsia="Times New Roman" w:cs="Arial"/>
          <w:color w:val="000000"/>
          <w:lang w:val="en-US"/>
        </w:rPr>
        <w:t>MA</w:t>
      </w:r>
      <w:r w:rsidRPr="00131C45">
        <w:rPr>
          <w:rFonts w:eastAsia="Times New Roman" w:cs="Arial"/>
          <w:color w:val="000000"/>
          <w:lang w:val="ru-RU"/>
        </w:rPr>
        <w:t>12</w:t>
      </w:r>
    </w:p>
    <w:p w14:paraId="64C91577" w14:textId="77777777" w:rsidR="00131C45" w:rsidRPr="00131C45" w:rsidRDefault="00131C45" w:rsidP="00131C45">
      <w:pPr>
        <w:spacing w:line="240" w:lineRule="auto"/>
        <w:rPr>
          <w:rFonts w:eastAsia="Times New Roman" w:cs="Arial"/>
          <w:color w:val="000000"/>
          <w:lang w:eastAsia="bg-BG"/>
        </w:rPr>
      </w:pPr>
    </w:p>
    <w:p w14:paraId="6FE203EB" w14:textId="10493D80" w:rsidR="00131C45" w:rsidRPr="00131C45" w:rsidRDefault="00131C45" w:rsidP="00131C45">
      <w:pPr>
        <w:spacing w:line="240" w:lineRule="auto"/>
        <w:rPr>
          <w:rFonts w:eastAsia="Times New Roman" w:cs="Arial"/>
        </w:rPr>
      </w:pPr>
      <w:r w:rsidRPr="00131C45">
        <w:rPr>
          <w:rFonts w:eastAsia="Times New Roman" w:cs="Arial"/>
          <w:color w:val="000000"/>
          <w:lang w:eastAsia="bg-BG"/>
        </w:rPr>
        <w:t xml:space="preserve">Левофлоксацин е синтетичен антибактериален агент от клас флуорохинолони и представлява </w:t>
      </w:r>
      <w:r w:rsidRPr="00131C45">
        <w:rPr>
          <w:rFonts w:eastAsia="Times New Roman" w:cs="Arial"/>
          <w:color w:val="000000"/>
          <w:lang w:val="en-US"/>
        </w:rPr>
        <w:t>S</w:t>
      </w:r>
      <w:r w:rsidRPr="00131C45">
        <w:rPr>
          <w:rFonts w:eastAsia="Times New Roman" w:cs="Arial"/>
          <w:color w:val="000000"/>
          <w:lang w:val="ru-RU"/>
        </w:rPr>
        <w:t xml:space="preserve"> </w:t>
      </w:r>
      <w:r w:rsidRPr="00131C45">
        <w:rPr>
          <w:rFonts w:eastAsia="Times New Roman" w:cs="Arial"/>
          <w:color w:val="000000"/>
          <w:lang w:eastAsia="bg-BG"/>
        </w:rPr>
        <w:t>(-) енантиомер на рацемичното лекарствено вещество офлоксацин.</w:t>
      </w:r>
    </w:p>
    <w:p w14:paraId="45D0A5DB" w14:textId="77777777" w:rsidR="00131C45" w:rsidRPr="00131C45" w:rsidRDefault="00131C45" w:rsidP="00131C45">
      <w:pPr>
        <w:spacing w:line="240" w:lineRule="auto"/>
        <w:rPr>
          <w:rFonts w:eastAsia="Times New Roman" w:cs="Arial"/>
          <w:i/>
          <w:iCs/>
          <w:color w:val="000000"/>
          <w:lang w:eastAsia="bg-BG"/>
        </w:rPr>
      </w:pPr>
    </w:p>
    <w:p w14:paraId="4CBD534B" w14:textId="11495864" w:rsidR="00131C45" w:rsidRPr="00131C45" w:rsidRDefault="00131C45" w:rsidP="00131C45">
      <w:pPr>
        <w:spacing w:line="240" w:lineRule="auto"/>
        <w:rPr>
          <w:rFonts w:eastAsia="Times New Roman" w:cs="Arial"/>
        </w:rPr>
      </w:pPr>
      <w:r w:rsidRPr="00131C45">
        <w:rPr>
          <w:rFonts w:eastAsia="Times New Roman" w:cs="Arial"/>
          <w:i/>
          <w:iCs/>
          <w:color w:val="000000"/>
          <w:lang w:eastAsia="bg-BG"/>
        </w:rPr>
        <w:t>Механизъм на действие</w:t>
      </w:r>
    </w:p>
    <w:p w14:paraId="16314714" w14:textId="77777777" w:rsidR="00131C45" w:rsidRPr="00131C45" w:rsidRDefault="00131C45" w:rsidP="00131C45">
      <w:pPr>
        <w:spacing w:line="240" w:lineRule="auto"/>
        <w:rPr>
          <w:rFonts w:eastAsia="Times New Roman" w:cs="Arial"/>
        </w:rPr>
      </w:pPr>
      <w:r w:rsidRPr="00131C45">
        <w:rPr>
          <w:rFonts w:eastAsia="Times New Roman" w:cs="Arial"/>
          <w:color w:val="000000"/>
          <w:lang w:eastAsia="bg-BG"/>
        </w:rPr>
        <w:t>Като флуорохинолонов антибактериален агент, левофлоксацин действа върху ДНК-ДНК-гираза комплекса и топоизомераза IV.</w:t>
      </w:r>
    </w:p>
    <w:p w14:paraId="3816A276" w14:textId="77777777" w:rsidR="00131C45" w:rsidRPr="00131C45" w:rsidRDefault="00131C45" w:rsidP="00131C45">
      <w:pPr>
        <w:spacing w:line="240" w:lineRule="auto"/>
        <w:rPr>
          <w:rFonts w:eastAsia="Times New Roman" w:cs="Arial"/>
          <w:i/>
          <w:iCs/>
          <w:color w:val="000000"/>
          <w:u w:val="single"/>
          <w:lang w:eastAsia="bg-BG"/>
        </w:rPr>
      </w:pPr>
    </w:p>
    <w:p w14:paraId="7B809424" w14:textId="70779EDE" w:rsidR="00131C45" w:rsidRPr="00131C45" w:rsidRDefault="00131C45" w:rsidP="00131C45">
      <w:pPr>
        <w:spacing w:line="240" w:lineRule="auto"/>
        <w:rPr>
          <w:rFonts w:eastAsia="Times New Roman" w:cs="Arial"/>
        </w:rPr>
      </w:pPr>
      <w:r w:rsidRPr="00131C45">
        <w:rPr>
          <w:rFonts w:eastAsia="Times New Roman" w:cs="Arial"/>
          <w:i/>
          <w:iCs/>
          <w:color w:val="000000"/>
          <w:u w:val="single"/>
          <w:lang w:eastAsia="bg-BG"/>
        </w:rPr>
        <w:t>Връзка Фармакокинетика/ Фармакодинамика</w:t>
      </w:r>
    </w:p>
    <w:p w14:paraId="0EC02D08" w14:textId="77777777" w:rsidR="00131C45" w:rsidRPr="00131C45" w:rsidRDefault="00131C45" w:rsidP="00131C45">
      <w:pPr>
        <w:spacing w:line="240" w:lineRule="auto"/>
        <w:rPr>
          <w:rFonts w:eastAsia="Times New Roman" w:cs="Arial"/>
        </w:rPr>
      </w:pPr>
      <w:r w:rsidRPr="00131C45">
        <w:rPr>
          <w:rFonts w:eastAsia="Times New Roman" w:cs="Arial"/>
          <w:color w:val="000000"/>
          <w:lang w:eastAsia="bg-BG"/>
        </w:rPr>
        <w:t>Степента на бактериална активност на левофлоксацин зависи от съотношението между максималната серумна концентрация (С</w:t>
      </w:r>
      <w:r w:rsidRPr="00131C45">
        <w:rPr>
          <w:rFonts w:eastAsia="Times New Roman" w:cs="Arial"/>
          <w:color w:val="000000"/>
          <w:vertAlign w:val="subscript"/>
          <w:lang w:val="en-US"/>
        </w:rPr>
        <w:t>max</w:t>
      </w:r>
      <w:r w:rsidRPr="00131C45">
        <w:rPr>
          <w:rFonts w:eastAsia="Times New Roman" w:cs="Arial"/>
          <w:color w:val="000000"/>
          <w:lang w:eastAsia="bg-BG"/>
        </w:rPr>
        <w:t xml:space="preserve">) или площта под кривата </w:t>
      </w:r>
      <w:r w:rsidRPr="00131C45">
        <w:rPr>
          <w:rFonts w:eastAsia="Times New Roman" w:cs="Arial"/>
          <w:color w:val="000000"/>
          <w:lang w:val="ru-RU"/>
        </w:rPr>
        <w:t>(</w:t>
      </w:r>
      <w:r w:rsidRPr="00131C45">
        <w:rPr>
          <w:rFonts w:eastAsia="Times New Roman" w:cs="Arial"/>
          <w:color w:val="000000"/>
          <w:lang w:val="en-US"/>
        </w:rPr>
        <w:t>AUC</w:t>
      </w:r>
      <w:r w:rsidRPr="00131C45">
        <w:rPr>
          <w:rFonts w:eastAsia="Times New Roman" w:cs="Arial"/>
          <w:color w:val="000000"/>
          <w:lang w:val="ru-RU"/>
        </w:rPr>
        <w:t xml:space="preserve">) </w:t>
      </w:r>
      <w:r w:rsidRPr="00131C45">
        <w:rPr>
          <w:rFonts w:eastAsia="Times New Roman" w:cs="Arial"/>
          <w:color w:val="000000"/>
          <w:lang w:eastAsia="bg-BG"/>
        </w:rPr>
        <w:t xml:space="preserve">и минималната инхибираща концентрация </w:t>
      </w:r>
      <w:r w:rsidRPr="00131C45">
        <w:rPr>
          <w:rFonts w:eastAsia="Times New Roman" w:cs="Arial"/>
          <w:color w:val="000000"/>
          <w:lang w:val="ru-RU"/>
        </w:rPr>
        <w:t>(</w:t>
      </w:r>
      <w:r w:rsidRPr="00131C45">
        <w:rPr>
          <w:rFonts w:eastAsia="Times New Roman" w:cs="Arial"/>
          <w:color w:val="000000"/>
          <w:lang w:val="en-US"/>
        </w:rPr>
        <w:t>MIC</w:t>
      </w:r>
      <w:r w:rsidRPr="00131C45">
        <w:rPr>
          <w:rFonts w:eastAsia="Times New Roman" w:cs="Arial"/>
          <w:color w:val="000000"/>
          <w:lang w:val="ru-RU"/>
        </w:rPr>
        <w:t>).</w:t>
      </w:r>
    </w:p>
    <w:p w14:paraId="179E3028" w14:textId="77777777" w:rsidR="00131C45" w:rsidRPr="00131C45" w:rsidRDefault="00131C45" w:rsidP="00131C45">
      <w:pPr>
        <w:spacing w:line="240" w:lineRule="auto"/>
        <w:rPr>
          <w:rFonts w:eastAsia="Times New Roman" w:cs="Arial"/>
          <w:i/>
          <w:iCs/>
          <w:color w:val="000000"/>
          <w:u w:val="single"/>
          <w:lang w:eastAsia="bg-BG"/>
        </w:rPr>
      </w:pPr>
    </w:p>
    <w:p w14:paraId="7D8C3A6F" w14:textId="57634D6D" w:rsidR="00131C45" w:rsidRPr="00131C45" w:rsidRDefault="00131C45" w:rsidP="00131C45">
      <w:pPr>
        <w:spacing w:line="240" w:lineRule="auto"/>
        <w:rPr>
          <w:rFonts w:eastAsia="Times New Roman" w:cs="Arial"/>
        </w:rPr>
      </w:pPr>
      <w:r w:rsidRPr="00131C45">
        <w:rPr>
          <w:rFonts w:eastAsia="Times New Roman" w:cs="Arial"/>
          <w:i/>
          <w:iCs/>
          <w:color w:val="000000"/>
          <w:u w:val="single"/>
          <w:lang w:eastAsia="bg-BG"/>
        </w:rPr>
        <w:t>Механизъм на резистентност</w:t>
      </w:r>
    </w:p>
    <w:p w14:paraId="07AAACD0" w14:textId="77777777" w:rsidR="00131C45" w:rsidRPr="00131C45" w:rsidRDefault="00131C45" w:rsidP="00131C45">
      <w:pPr>
        <w:spacing w:line="240" w:lineRule="auto"/>
        <w:rPr>
          <w:rFonts w:eastAsia="Times New Roman" w:cs="Arial"/>
        </w:rPr>
      </w:pPr>
      <w:r w:rsidRPr="00131C45">
        <w:rPr>
          <w:rFonts w:eastAsia="Times New Roman" w:cs="Arial"/>
          <w:color w:val="000000"/>
          <w:lang w:eastAsia="bg-BG"/>
        </w:rPr>
        <w:t xml:space="preserve">Главният механизъм на резистентност се дължи на </w:t>
      </w:r>
      <w:proofErr w:type="spellStart"/>
      <w:r w:rsidRPr="00131C45">
        <w:rPr>
          <w:rFonts w:eastAsia="Times New Roman" w:cs="Arial"/>
          <w:i/>
          <w:iCs/>
          <w:color w:val="000000"/>
          <w:lang w:val="en-US"/>
        </w:rPr>
        <w:t>gyr</w:t>
      </w:r>
      <w:proofErr w:type="spellEnd"/>
      <w:r w:rsidRPr="00131C45">
        <w:rPr>
          <w:rFonts w:eastAsia="Times New Roman" w:cs="Arial"/>
          <w:i/>
          <w:iCs/>
          <w:color w:val="000000"/>
          <w:lang w:val="ru-RU"/>
        </w:rPr>
        <w:t>-</w:t>
      </w:r>
      <w:r w:rsidRPr="00131C45">
        <w:rPr>
          <w:rFonts w:eastAsia="Times New Roman" w:cs="Arial"/>
          <w:i/>
          <w:iCs/>
          <w:color w:val="000000"/>
          <w:lang w:val="en-US"/>
        </w:rPr>
        <w:t>A</w:t>
      </w:r>
      <w:r w:rsidRPr="00131C45">
        <w:rPr>
          <w:rFonts w:eastAsia="Times New Roman" w:cs="Arial"/>
          <w:color w:val="000000"/>
          <w:lang w:val="ru-RU"/>
        </w:rPr>
        <w:t xml:space="preserve"> </w:t>
      </w:r>
      <w:r w:rsidRPr="00131C45">
        <w:rPr>
          <w:rFonts w:eastAsia="Times New Roman" w:cs="Arial"/>
          <w:color w:val="000000"/>
          <w:lang w:eastAsia="bg-BG"/>
        </w:rPr>
        <w:t xml:space="preserve">мутация. </w:t>
      </w:r>
      <w:r w:rsidRPr="00131C45">
        <w:rPr>
          <w:rFonts w:eastAsia="Times New Roman" w:cs="Arial"/>
          <w:i/>
          <w:iCs/>
          <w:color w:val="000000"/>
          <w:lang w:val="en-US"/>
        </w:rPr>
        <w:t>In</w:t>
      </w:r>
      <w:r w:rsidRPr="00131C45">
        <w:rPr>
          <w:rFonts w:eastAsia="Times New Roman" w:cs="Arial"/>
          <w:i/>
          <w:iCs/>
          <w:color w:val="000000"/>
          <w:lang w:val="ru-RU"/>
        </w:rPr>
        <w:t xml:space="preserve"> </w:t>
      </w:r>
      <w:r w:rsidRPr="00131C45">
        <w:rPr>
          <w:rFonts w:eastAsia="Times New Roman" w:cs="Arial"/>
          <w:i/>
          <w:iCs/>
          <w:color w:val="000000"/>
          <w:lang w:val="en-US"/>
        </w:rPr>
        <w:t>vitro</w:t>
      </w:r>
      <w:r w:rsidRPr="00131C45">
        <w:rPr>
          <w:rFonts w:eastAsia="Times New Roman" w:cs="Arial"/>
          <w:color w:val="000000"/>
          <w:lang w:val="ru-RU"/>
        </w:rPr>
        <w:t xml:space="preserve"> </w:t>
      </w:r>
      <w:r w:rsidRPr="00131C45">
        <w:rPr>
          <w:rFonts w:eastAsia="Times New Roman" w:cs="Arial"/>
          <w:color w:val="000000"/>
          <w:lang w:eastAsia="bg-BG"/>
        </w:rPr>
        <w:t>се наблюдава кръстосана резистентност между левофлоксацин и други флуорохинолони. Поради механизма на действие, в общия случай няма кръстосана резистентност между левофлоксацин и другите класове антибактериални агенти.</w:t>
      </w:r>
    </w:p>
    <w:p w14:paraId="5EC1978C" w14:textId="77777777" w:rsidR="00131C45" w:rsidRPr="00131C45" w:rsidRDefault="00131C45" w:rsidP="00131C45">
      <w:pPr>
        <w:spacing w:line="240" w:lineRule="auto"/>
        <w:rPr>
          <w:rFonts w:eastAsia="Times New Roman" w:cs="Arial"/>
          <w:color w:val="000000"/>
          <w:u w:val="single"/>
          <w:lang w:eastAsia="bg-BG"/>
        </w:rPr>
      </w:pPr>
    </w:p>
    <w:p w14:paraId="39B45E09" w14:textId="2AAA350A" w:rsidR="00131C45" w:rsidRPr="00131C45" w:rsidRDefault="00131C45" w:rsidP="00131C45">
      <w:pPr>
        <w:spacing w:line="240" w:lineRule="auto"/>
        <w:rPr>
          <w:rFonts w:eastAsia="Times New Roman" w:cs="Arial"/>
        </w:rPr>
      </w:pPr>
      <w:r w:rsidRPr="00131C45">
        <w:rPr>
          <w:rFonts w:eastAsia="Times New Roman" w:cs="Arial"/>
          <w:color w:val="000000"/>
          <w:u w:val="single"/>
          <w:lang w:eastAsia="bg-BG"/>
        </w:rPr>
        <w:t>Наблюдава се кръстосана резистентност между левоФлоксацин и други флурохинолони.</w:t>
      </w:r>
    </w:p>
    <w:p w14:paraId="42A94B2B" w14:textId="77777777" w:rsidR="00131C45" w:rsidRPr="00131C45" w:rsidRDefault="00131C45" w:rsidP="00131C45">
      <w:pPr>
        <w:spacing w:line="240" w:lineRule="auto"/>
        <w:rPr>
          <w:rFonts w:eastAsia="Times New Roman" w:cs="Arial"/>
          <w:color w:val="000000"/>
          <w:u w:val="single"/>
          <w:lang w:eastAsia="bg-BG"/>
        </w:rPr>
      </w:pPr>
    </w:p>
    <w:p w14:paraId="57885B21" w14:textId="6DBE900E" w:rsidR="00131C45" w:rsidRPr="00131C45" w:rsidRDefault="00131C45" w:rsidP="00131C45">
      <w:pPr>
        <w:spacing w:line="240" w:lineRule="auto"/>
        <w:rPr>
          <w:rFonts w:eastAsia="Times New Roman" w:cs="Arial"/>
        </w:rPr>
      </w:pPr>
      <w:r w:rsidRPr="00131C45">
        <w:rPr>
          <w:rFonts w:eastAsia="Times New Roman" w:cs="Arial"/>
          <w:color w:val="000000"/>
          <w:u w:val="single"/>
          <w:lang w:eastAsia="bg-BG"/>
        </w:rPr>
        <w:t>Поради механизма на действие, като пяло няма кръстосана резистентност между левофлоксацин и другите класове антибактериални средства.</w:t>
      </w:r>
    </w:p>
    <w:p w14:paraId="7B6F0923" w14:textId="77777777" w:rsidR="00131C45" w:rsidRPr="00131C45" w:rsidRDefault="00131C45" w:rsidP="00131C45">
      <w:pPr>
        <w:spacing w:line="240" w:lineRule="auto"/>
        <w:rPr>
          <w:rFonts w:eastAsia="Times New Roman" w:cs="Arial"/>
          <w:i/>
          <w:iCs/>
          <w:color w:val="000000"/>
          <w:u w:val="single"/>
          <w:lang w:eastAsia="bg-BG"/>
        </w:rPr>
      </w:pPr>
    </w:p>
    <w:p w14:paraId="251CF55B" w14:textId="43DFCAAC" w:rsidR="00131C45" w:rsidRPr="00131C45" w:rsidRDefault="00131C45" w:rsidP="00131C45">
      <w:pPr>
        <w:spacing w:line="240" w:lineRule="auto"/>
        <w:rPr>
          <w:rFonts w:eastAsia="Times New Roman" w:cs="Arial"/>
        </w:rPr>
      </w:pPr>
      <w:r w:rsidRPr="00131C45">
        <w:rPr>
          <w:rFonts w:eastAsia="Times New Roman" w:cs="Arial"/>
          <w:i/>
          <w:iCs/>
          <w:color w:val="000000"/>
          <w:u w:val="single"/>
          <w:lang w:eastAsia="bg-BG"/>
        </w:rPr>
        <w:t>Гранични стойности</w:t>
      </w:r>
    </w:p>
    <w:p w14:paraId="62FD5AE8" w14:textId="77777777" w:rsidR="00131C45" w:rsidRPr="00131C45" w:rsidRDefault="00131C45" w:rsidP="00131C45">
      <w:pPr>
        <w:spacing w:line="240" w:lineRule="auto"/>
        <w:rPr>
          <w:rFonts w:eastAsia="Times New Roman" w:cs="Arial"/>
        </w:rPr>
      </w:pPr>
      <w:r w:rsidRPr="00131C45">
        <w:rPr>
          <w:rFonts w:eastAsia="Times New Roman" w:cs="Arial"/>
          <w:color w:val="000000"/>
          <w:lang w:eastAsia="bg-BG"/>
        </w:rPr>
        <w:t xml:space="preserve">Препоръките на </w:t>
      </w:r>
      <w:r w:rsidRPr="00131C45">
        <w:rPr>
          <w:rFonts w:eastAsia="Times New Roman" w:cs="Arial"/>
          <w:color w:val="000000"/>
          <w:lang w:val="en-US"/>
        </w:rPr>
        <w:t>EUCAST</w:t>
      </w:r>
      <w:r w:rsidRPr="00131C45">
        <w:rPr>
          <w:rFonts w:eastAsia="Times New Roman" w:cs="Arial"/>
          <w:color w:val="000000"/>
          <w:lang w:val="ru-RU"/>
        </w:rPr>
        <w:t xml:space="preserve"> </w:t>
      </w:r>
      <w:r w:rsidRPr="00131C45">
        <w:rPr>
          <w:rFonts w:eastAsia="Times New Roman" w:cs="Arial"/>
          <w:color w:val="000000"/>
          <w:lang w:eastAsia="bg-BG"/>
        </w:rPr>
        <w:t xml:space="preserve">за граничните стойности на </w:t>
      </w:r>
      <w:r w:rsidRPr="00131C45">
        <w:rPr>
          <w:rFonts w:eastAsia="Times New Roman" w:cs="Arial"/>
          <w:color w:val="000000"/>
          <w:lang w:val="en-US"/>
        </w:rPr>
        <w:t>MIC</w:t>
      </w:r>
      <w:r w:rsidRPr="00131C45">
        <w:rPr>
          <w:rFonts w:eastAsia="Times New Roman" w:cs="Arial"/>
          <w:color w:val="000000"/>
          <w:lang w:val="ru-RU"/>
        </w:rPr>
        <w:t xml:space="preserve"> </w:t>
      </w:r>
      <w:r w:rsidRPr="00131C45">
        <w:rPr>
          <w:rFonts w:eastAsia="Times New Roman" w:cs="Arial"/>
          <w:color w:val="000000"/>
          <w:lang w:eastAsia="bg-BG"/>
        </w:rPr>
        <w:t xml:space="preserve">за левофлоксацин, разделящи чувствителните от интермедиерно чувствителните организми и интермедиерно чувствителните от резистентните организми, са представени по-долу в таблицата за тестване на </w:t>
      </w:r>
      <w:r w:rsidRPr="00131C45">
        <w:rPr>
          <w:rFonts w:eastAsia="Times New Roman" w:cs="Arial"/>
          <w:color w:val="000000"/>
          <w:lang w:val="en-US"/>
        </w:rPr>
        <w:t>MIC</w:t>
      </w:r>
      <w:r w:rsidRPr="00131C45">
        <w:rPr>
          <w:rFonts w:eastAsia="Times New Roman" w:cs="Arial"/>
          <w:color w:val="000000"/>
          <w:lang w:val="ru-RU"/>
        </w:rPr>
        <w:t xml:space="preserve"> (</w:t>
      </w:r>
      <w:r w:rsidRPr="00131C45">
        <w:rPr>
          <w:rFonts w:eastAsia="Times New Roman" w:cs="Arial"/>
          <w:color w:val="000000"/>
          <w:lang w:val="en-US"/>
        </w:rPr>
        <w:t>mg</w:t>
      </w:r>
      <w:r w:rsidRPr="00131C45">
        <w:rPr>
          <w:rFonts w:eastAsia="Times New Roman" w:cs="Arial"/>
          <w:color w:val="000000"/>
          <w:lang w:val="ru-RU"/>
        </w:rPr>
        <w:t>/1).</w:t>
      </w:r>
    </w:p>
    <w:p w14:paraId="2C954EA0" w14:textId="77777777" w:rsidR="00131C45" w:rsidRPr="00131C45" w:rsidRDefault="00131C45" w:rsidP="00131C45">
      <w:pPr>
        <w:spacing w:line="240" w:lineRule="auto"/>
        <w:rPr>
          <w:rFonts w:eastAsia="Times New Roman" w:cs="Arial"/>
          <w:lang w:val="en-US"/>
        </w:rPr>
      </w:pPr>
      <w:r w:rsidRPr="00131C45">
        <w:rPr>
          <w:rFonts w:eastAsia="Times New Roman" w:cs="Arial"/>
          <w:color w:val="000000"/>
          <w:lang w:eastAsia="bg-BG"/>
        </w:rPr>
        <w:t xml:space="preserve">Клинични </w:t>
      </w:r>
      <w:r w:rsidRPr="00131C45">
        <w:rPr>
          <w:rFonts w:eastAsia="Times New Roman" w:cs="Arial"/>
          <w:color w:val="000000"/>
          <w:lang w:val="en-US"/>
        </w:rPr>
        <w:t>MIC</w:t>
      </w:r>
      <w:r w:rsidRPr="00131C45">
        <w:rPr>
          <w:rFonts w:eastAsia="Times New Roman" w:cs="Arial"/>
          <w:color w:val="000000"/>
          <w:lang w:val="ru-RU"/>
        </w:rPr>
        <w:t xml:space="preserve"> </w:t>
      </w:r>
      <w:r w:rsidRPr="00131C45">
        <w:rPr>
          <w:rFonts w:eastAsia="Times New Roman" w:cs="Arial"/>
          <w:color w:val="000000"/>
          <w:lang w:eastAsia="bg-BG"/>
        </w:rPr>
        <w:t xml:space="preserve">гранични стойности на </w:t>
      </w:r>
      <w:r w:rsidRPr="00131C45">
        <w:rPr>
          <w:rFonts w:eastAsia="Times New Roman" w:cs="Arial"/>
          <w:color w:val="000000"/>
          <w:lang w:val="en-US"/>
        </w:rPr>
        <w:t>EUCAST</w:t>
      </w:r>
      <w:r w:rsidRPr="00131C45">
        <w:rPr>
          <w:rFonts w:eastAsia="Times New Roman" w:cs="Arial"/>
          <w:color w:val="000000"/>
          <w:lang w:val="ru-RU"/>
        </w:rPr>
        <w:t xml:space="preserve"> </w:t>
      </w:r>
      <w:r w:rsidRPr="00131C45">
        <w:rPr>
          <w:rFonts w:eastAsia="Times New Roman" w:cs="Arial"/>
          <w:color w:val="000000"/>
          <w:lang w:eastAsia="bg-BG"/>
        </w:rPr>
        <w:t>за левофлоксацин (2006-06-20):</w:t>
      </w:r>
    </w:p>
    <w:p w14:paraId="310C8477" w14:textId="73B5819E" w:rsidR="00131C45" w:rsidRDefault="00131C45" w:rsidP="00131C45"/>
    <w:tbl>
      <w:tblPr>
        <w:tblStyle w:val="TableGrid"/>
        <w:tblW w:w="0" w:type="auto"/>
        <w:tblLook w:val="04A0" w:firstRow="1" w:lastRow="0" w:firstColumn="1" w:lastColumn="0" w:noHBand="0" w:noVBand="1"/>
      </w:tblPr>
      <w:tblGrid>
        <w:gridCol w:w="3119"/>
        <w:gridCol w:w="3121"/>
        <w:gridCol w:w="3110"/>
      </w:tblGrid>
      <w:tr w:rsidR="00131C45" w14:paraId="7E92AF6A" w14:textId="77777777" w:rsidTr="00131C45">
        <w:tc>
          <w:tcPr>
            <w:tcW w:w="3192" w:type="dxa"/>
          </w:tcPr>
          <w:p w14:paraId="25372009" w14:textId="358C2ACE" w:rsidR="00131C45" w:rsidRPr="00131C45" w:rsidRDefault="00131C45" w:rsidP="00131C45">
            <w:r w:rsidRPr="00131C45">
              <w:rPr>
                <w:b/>
                <w:bCs/>
                <w:i/>
                <w:iCs/>
                <w:szCs w:val="20"/>
                <w:lang w:eastAsia="bg-BG"/>
              </w:rPr>
              <w:t>ПАТОГЕН</w:t>
            </w:r>
          </w:p>
        </w:tc>
        <w:tc>
          <w:tcPr>
            <w:tcW w:w="3192" w:type="dxa"/>
          </w:tcPr>
          <w:p w14:paraId="4ED4C9D1" w14:textId="5D52EB63" w:rsidR="00131C45" w:rsidRPr="00131C45" w:rsidRDefault="00131C45" w:rsidP="00131C45">
            <w:r w:rsidRPr="00131C45">
              <w:rPr>
                <w:b/>
                <w:bCs/>
                <w:i/>
                <w:iCs/>
                <w:szCs w:val="20"/>
                <w:lang w:eastAsia="bg-BG"/>
              </w:rPr>
              <w:t>ЧУВСТВИТЕЛЕН</w:t>
            </w:r>
          </w:p>
        </w:tc>
        <w:tc>
          <w:tcPr>
            <w:tcW w:w="3192" w:type="dxa"/>
          </w:tcPr>
          <w:p w14:paraId="544F3AE1" w14:textId="511D2AE7" w:rsidR="00131C45" w:rsidRPr="00131C45" w:rsidRDefault="00131C45" w:rsidP="00131C45">
            <w:r w:rsidRPr="00131C45">
              <w:rPr>
                <w:b/>
                <w:bCs/>
                <w:szCs w:val="20"/>
                <w:lang w:eastAsia="bg-BG"/>
              </w:rPr>
              <w:t>РЕЗИСТЕНТЕН</w:t>
            </w:r>
          </w:p>
        </w:tc>
      </w:tr>
      <w:tr w:rsidR="00131C45" w14:paraId="29A152FB" w14:textId="77777777" w:rsidTr="00131C45">
        <w:tc>
          <w:tcPr>
            <w:tcW w:w="3192" w:type="dxa"/>
          </w:tcPr>
          <w:p w14:paraId="5C606201" w14:textId="6703B602" w:rsidR="00131C45" w:rsidRPr="00131C45" w:rsidRDefault="00131C45" w:rsidP="00131C45">
            <w:r w:rsidRPr="00131C45">
              <w:rPr>
                <w:szCs w:val="20"/>
              </w:rPr>
              <w:t>Enterobacteriacae</w:t>
            </w:r>
          </w:p>
        </w:tc>
        <w:tc>
          <w:tcPr>
            <w:tcW w:w="3192" w:type="dxa"/>
          </w:tcPr>
          <w:p w14:paraId="789C9ACC" w14:textId="146A5F9E" w:rsidR="00131C45" w:rsidRPr="00131C45" w:rsidRDefault="00131C45" w:rsidP="00131C45">
            <w:r w:rsidRPr="00131C45">
              <w:rPr>
                <w:szCs w:val="20"/>
                <w:lang w:eastAsia="bg-BG"/>
              </w:rPr>
              <w:t>≤</w:t>
            </w:r>
            <w:r w:rsidRPr="00131C45">
              <w:rPr>
                <w:szCs w:val="20"/>
              </w:rPr>
              <w:t xml:space="preserve"> 1 mg/1</w:t>
            </w:r>
          </w:p>
        </w:tc>
        <w:tc>
          <w:tcPr>
            <w:tcW w:w="3192" w:type="dxa"/>
          </w:tcPr>
          <w:p w14:paraId="2AEB8D88" w14:textId="4FE2F1A9" w:rsidR="00131C45" w:rsidRPr="00131C45" w:rsidRDefault="00131C45" w:rsidP="00131C45">
            <w:r w:rsidRPr="00131C45">
              <w:rPr>
                <w:szCs w:val="20"/>
              </w:rPr>
              <w:t>&gt;2 mg/1</w:t>
            </w:r>
          </w:p>
        </w:tc>
      </w:tr>
      <w:tr w:rsidR="00131C45" w14:paraId="2354074D" w14:textId="77777777" w:rsidTr="00131C45">
        <w:tc>
          <w:tcPr>
            <w:tcW w:w="3192" w:type="dxa"/>
          </w:tcPr>
          <w:p w14:paraId="2CF91FFB" w14:textId="505DC240" w:rsidR="00131C45" w:rsidRPr="00131C45" w:rsidRDefault="00131C45" w:rsidP="00131C45">
            <w:r w:rsidRPr="00131C45">
              <w:rPr>
                <w:b/>
                <w:bCs/>
                <w:i/>
                <w:iCs/>
                <w:szCs w:val="20"/>
              </w:rPr>
              <w:t>Pseudomonas spp.</w:t>
            </w:r>
          </w:p>
        </w:tc>
        <w:tc>
          <w:tcPr>
            <w:tcW w:w="3192" w:type="dxa"/>
          </w:tcPr>
          <w:p w14:paraId="6C4CADE2" w14:textId="37F1F3A2" w:rsidR="00131C45" w:rsidRPr="00131C45" w:rsidRDefault="00131C45" w:rsidP="00131C45">
            <w:r w:rsidRPr="00131C45">
              <w:rPr>
                <w:szCs w:val="20"/>
                <w:lang w:eastAsia="bg-BG"/>
              </w:rPr>
              <w:t>≤</w:t>
            </w:r>
            <w:r w:rsidRPr="00131C45">
              <w:rPr>
                <w:szCs w:val="20"/>
              </w:rPr>
              <w:t xml:space="preserve"> 1 mg/1</w:t>
            </w:r>
          </w:p>
        </w:tc>
        <w:tc>
          <w:tcPr>
            <w:tcW w:w="3192" w:type="dxa"/>
          </w:tcPr>
          <w:p w14:paraId="54B79ECD" w14:textId="581C5448" w:rsidR="00131C45" w:rsidRPr="00131C45" w:rsidRDefault="00131C45" w:rsidP="00131C45">
            <w:r w:rsidRPr="00131C45">
              <w:rPr>
                <w:szCs w:val="20"/>
              </w:rPr>
              <w:t>&gt;2 mg/1</w:t>
            </w:r>
          </w:p>
        </w:tc>
      </w:tr>
      <w:tr w:rsidR="00131C45" w14:paraId="207279D0" w14:textId="77777777" w:rsidTr="00131C45">
        <w:tc>
          <w:tcPr>
            <w:tcW w:w="3192" w:type="dxa"/>
          </w:tcPr>
          <w:p w14:paraId="69A8CCDE" w14:textId="51DA4478" w:rsidR="00131C45" w:rsidRPr="00131C45" w:rsidRDefault="00131C45" w:rsidP="00131C45">
            <w:r w:rsidRPr="00131C45">
              <w:rPr>
                <w:i/>
                <w:iCs/>
                <w:szCs w:val="20"/>
              </w:rPr>
              <w:t>Acinetobacter spp.</w:t>
            </w:r>
          </w:p>
        </w:tc>
        <w:tc>
          <w:tcPr>
            <w:tcW w:w="3192" w:type="dxa"/>
          </w:tcPr>
          <w:p w14:paraId="0BC84DD3" w14:textId="3D81822A" w:rsidR="00131C45" w:rsidRPr="00131C45" w:rsidRDefault="00131C45" w:rsidP="00131C45">
            <w:r w:rsidRPr="00131C45">
              <w:rPr>
                <w:szCs w:val="20"/>
                <w:lang w:eastAsia="bg-BG"/>
              </w:rPr>
              <w:t>≤</w:t>
            </w:r>
            <w:r w:rsidRPr="00131C45">
              <w:rPr>
                <w:szCs w:val="20"/>
              </w:rPr>
              <w:t xml:space="preserve"> 1 mg/1</w:t>
            </w:r>
          </w:p>
        </w:tc>
        <w:tc>
          <w:tcPr>
            <w:tcW w:w="3192" w:type="dxa"/>
          </w:tcPr>
          <w:p w14:paraId="1E5E3DB8" w14:textId="2C6B658B" w:rsidR="00131C45" w:rsidRPr="00131C45" w:rsidRDefault="00131C45" w:rsidP="00131C45">
            <w:r w:rsidRPr="00131C45">
              <w:rPr>
                <w:szCs w:val="20"/>
              </w:rPr>
              <w:t>&gt;2 mg/1</w:t>
            </w:r>
            <w:r w:rsidRPr="00131C45">
              <w:rPr>
                <w:szCs w:val="20"/>
              </w:rPr>
              <w:tab/>
            </w:r>
          </w:p>
        </w:tc>
      </w:tr>
      <w:tr w:rsidR="00131C45" w14:paraId="0BC0F64E" w14:textId="77777777" w:rsidTr="00131C45">
        <w:tc>
          <w:tcPr>
            <w:tcW w:w="3192" w:type="dxa"/>
          </w:tcPr>
          <w:p w14:paraId="62B7DC5A" w14:textId="2F2348A2" w:rsidR="00131C45" w:rsidRPr="00131C45" w:rsidRDefault="00131C45" w:rsidP="00131C45">
            <w:r w:rsidRPr="00131C45">
              <w:rPr>
                <w:i/>
                <w:iCs/>
                <w:szCs w:val="20"/>
              </w:rPr>
              <w:lastRenderedPageBreak/>
              <w:t>Staphylococcus spp.</w:t>
            </w:r>
          </w:p>
        </w:tc>
        <w:tc>
          <w:tcPr>
            <w:tcW w:w="3192" w:type="dxa"/>
          </w:tcPr>
          <w:p w14:paraId="428D66F3" w14:textId="77A63F19" w:rsidR="00131C45" w:rsidRPr="00131C45" w:rsidRDefault="00131C45" w:rsidP="00131C45">
            <w:r w:rsidRPr="00131C45">
              <w:rPr>
                <w:szCs w:val="20"/>
                <w:lang w:eastAsia="bg-BG"/>
              </w:rPr>
              <w:t>≤</w:t>
            </w:r>
            <w:r w:rsidRPr="00131C45">
              <w:rPr>
                <w:szCs w:val="20"/>
              </w:rPr>
              <w:t xml:space="preserve"> 1 mg/1</w:t>
            </w:r>
          </w:p>
        </w:tc>
        <w:tc>
          <w:tcPr>
            <w:tcW w:w="3192" w:type="dxa"/>
          </w:tcPr>
          <w:p w14:paraId="45B35497" w14:textId="3FCF9087" w:rsidR="00131C45" w:rsidRPr="00131C45" w:rsidRDefault="00131C45" w:rsidP="00131C45">
            <w:r w:rsidRPr="00131C45">
              <w:rPr>
                <w:szCs w:val="20"/>
                <w:lang w:eastAsia="bg-BG"/>
              </w:rPr>
              <w:t>&gt;2</w:t>
            </w:r>
            <w:r w:rsidRPr="00131C45">
              <w:rPr>
                <w:szCs w:val="20"/>
              </w:rPr>
              <w:t>mg/l</w:t>
            </w:r>
          </w:p>
        </w:tc>
      </w:tr>
      <w:tr w:rsidR="00131C45" w14:paraId="583FA2B1" w14:textId="77777777" w:rsidTr="00131C45">
        <w:tc>
          <w:tcPr>
            <w:tcW w:w="3192" w:type="dxa"/>
          </w:tcPr>
          <w:p w14:paraId="04B5D2D3" w14:textId="7323174F" w:rsidR="00131C45" w:rsidRPr="00131C45" w:rsidRDefault="00131C45" w:rsidP="00131C45">
            <w:r w:rsidRPr="00131C45">
              <w:rPr>
                <w:i/>
                <w:iCs/>
                <w:szCs w:val="20"/>
              </w:rPr>
              <w:t>S.pneumoniae</w:t>
            </w:r>
            <w:r w:rsidRPr="00131C45">
              <w:rPr>
                <w:i/>
                <w:iCs/>
                <w:szCs w:val="20"/>
                <w:vertAlign w:val="superscript"/>
              </w:rPr>
              <w:t>1</w:t>
            </w:r>
          </w:p>
        </w:tc>
        <w:tc>
          <w:tcPr>
            <w:tcW w:w="3192" w:type="dxa"/>
          </w:tcPr>
          <w:p w14:paraId="4E659CE0" w14:textId="24423008" w:rsidR="00131C45" w:rsidRPr="00131C45" w:rsidRDefault="00131C45" w:rsidP="00131C45">
            <w:r w:rsidRPr="00131C45">
              <w:rPr>
                <w:szCs w:val="20"/>
                <w:lang w:eastAsia="bg-BG"/>
              </w:rPr>
              <w:t xml:space="preserve">≤2 </w:t>
            </w:r>
            <w:r w:rsidRPr="00131C45">
              <w:rPr>
                <w:szCs w:val="20"/>
              </w:rPr>
              <w:t>mg/1</w:t>
            </w:r>
          </w:p>
        </w:tc>
        <w:tc>
          <w:tcPr>
            <w:tcW w:w="3192" w:type="dxa"/>
          </w:tcPr>
          <w:p w14:paraId="2B402E5E" w14:textId="1A395FFA" w:rsidR="00131C45" w:rsidRPr="00131C45" w:rsidRDefault="00131C45" w:rsidP="00131C45">
            <w:r w:rsidRPr="00131C45">
              <w:rPr>
                <w:szCs w:val="20"/>
              </w:rPr>
              <w:t>&gt;2 mg/1</w:t>
            </w:r>
          </w:p>
        </w:tc>
      </w:tr>
      <w:tr w:rsidR="00131C45" w14:paraId="1A8E9904" w14:textId="77777777" w:rsidTr="00131C45">
        <w:tc>
          <w:tcPr>
            <w:tcW w:w="3192" w:type="dxa"/>
          </w:tcPr>
          <w:p w14:paraId="1C513246" w14:textId="2623AEB9" w:rsidR="00131C45" w:rsidRPr="00131C45" w:rsidRDefault="00131C45" w:rsidP="00131C45">
            <w:r w:rsidRPr="00131C45">
              <w:rPr>
                <w:i/>
                <w:iCs/>
                <w:szCs w:val="20"/>
              </w:rPr>
              <w:t xml:space="preserve">Streptococcus </w:t>
            </w:r>
            <w:r w:rsidRPr="00131C45">
              <w:rPr>
                <w:i/>
                <w:iCs/>
                <w:szCs w:val="20"/>
                <w:lang w:eastAsia="bg-BG"/>
              </w:rPr>
              <w:t xml:space="preserve">А,В, С, </w:t>
            </w:r>
            <w:r w:rsidRPr="00131C45">
              <w:rPr>
                <w:i/>
                <w:iCs/>
                <w:szCs w:val="20"/>
              </w:rPr>
              <w:t>G</w:t>
            </w:r>
          </w:p>
        </w:tc>
        <w:tc>
          <w:tcPr>
            <w:tcW w:w="3192" w:type="dxa"/>
          </w:tcPr>
          <w:p w14:paraId="72027654" w14:textId="41F2ABD3" w:rsidR="00131C45" w:rsidRPr="00131C45" w:rsidRDefault="00131C45" w:rsidP="00131C45">
            <w:r w:rsidRPr="00131C45">
              <w:rPr>
                <w:szCs w:val="20"/>
                <w:lang w:eastAsia="bg-BG"/>
              </w:rPr>
              <w:t xml:space="preserve">≤ 1 </w:t>
            </w:r>
            <w:r w:rsidRPr="00131C45">
              <w:rPr>
                <w:szCs w:val="20"/>
              </w:rPr>
              <w:t>mg/1</w:t>
            </w:r>
          </w:p>
        </w:tc>
        <w:tc>
          <w:tcPr>
            <w:tcW w:w="3192" w:type="dxa"/>
          </w:tcPr>
          <w:p w14:paraId="6382589E" w14:textId="15B69579" w:rsidR="00131C45" w:rsidRPr="00131C45" w:rsidRDefault="00131C45" w:rsidP="00131C45">
            <w:r w:rsidRPr="00131C45">
              <w:rPr>
                <w:szCs w:val="20"/>
              </w:rPr>
              <w:t>&gt;2 mg/1</w:t>
            </w:r>
          </w:p>
        </w:tc>
      </w:tr>
      <w:tr w:rsidR="00131C45" w14:paraId="4A20014E" w14:textId="77777777" w:rsidTr="00131C45">
        <w:tc>
          <w:tcPr>
            <w:tcW w:w="3192" w:type="dxa"/>
          </w:tcPr>
          <w:p w14:paraId="6B90EC57" w14:textId="1890F1F1" w:rsidR="00131C45" w:rsidRPr="00131C45" w:rsidRDefault="00131C45" w:rsidP="00131C45">
            <w:r w:rsidRPr="00131C45">
              <w:rPr>
                <w:i/>
                <w:iCs/>
                <w:szCs w:val="20"/>
              </w:rPr>
              <w:t xml:space="preserve">H.influenzae </w:t>
            </w:r>
            <w:r w:rsidRPr="00131C45">
              <w:rPr>
                <w:i/>
                <w:iCs/>
                <w:szCs w:val="20"/>
                <w:vertAlign w:val="superscript"/>
                <w:lang w:eastAsia="bg-BG"/>
              </w:rPr>
              <w:t>2</w:t>
            </w:r>
          </w:p>
        </w:tc>
        <w:tc>
          <w:tcPr>
            <w:tcW w:w="3192" w:type="dxa"/>
          </w:tcPr>
          <w:p w14:paraId="31C7C728" w14:textId="0B9E59C2" w:rsidR="00131C45" w:rsidRPr="00131C45" w:rsidRDefault="00131C45" w:rsidP="00131C45">
            <w:r w:rsidRPr="00131C45">
              <w:rPr>
                <w:szCs w:val="20"/>
                <w:lang w:eastAsia="bg-BG"/>
              </w:rPr>
              <w:t xml:space="preserve">≤ 1 </w:t>
            </w:r>
            <w:r w:rsidRPr="00131C45">
              <w:rPr>
                <w:szCs w:val="20"/>
              </w:rPr>
              <w:t>mg/1</w:t>
            </w:r>
          </w:p>
        </w:tc>
        <w:tc>
          <w:tcPr>
            <w:tcW w:w="3192" w:type="dxa"/>
          </w:tcPr>
          <w:p w14:paraId="5830259E" w14:textId="54E62B96" w:rsidR="00131C45" w:rsidRPr="00131C45" w:rsidRDefault="00131C45" w:rsidP="00131C45">
            <w:r w:rsidRPr="00131C45">
              <w:rPr>
                <w:szCs w:val="20"/>
              </w:rPr>
              <w:t>&gt;1 mg/1</w:t>
            </w:r>
          </w:p>
        </w:tc>
      </w:tr>
      <w:tr w:rsidR="00131C45" w14:paraId="01744F27" w14:textId="77777777" w:rsidTr="00131C45">
        <w:tc>
          <w:tcPr>
            <w:tcW w:w="3192" w:type="dxa"/>
          </w:tcPr>
          <w:p w14:paraId="48DEDE2F" w14:textId="1D22F79B" w:rsidR="00131C45" w:rsidRPr="00131C45" w:rsidRDefault="00131C45" w:rsidP="00131C45">
            <w:r w:rsidRPr="00131C45">
              <w:rPr>
                <w:i/>
                <w:iCs/>
                <w:szCs w:val="20"/>
              </w:rPr>
              <w:t>M.catarrhalis</w:t>
            </w:r>
            <w:r w:rsidRPr="00131C45">
              <w:rPr>
                <w:i/>
                <w:iCs/>
                <w:szCs w:val="20"/>
                <w:vertAlign w:val="superscript"/>
              </w:rPr>
              <w:t>3</w:t>
            </w:r>
          </w:p>
        </w:tc>
        <w:tc>
          <w:tcPr>
            <w:tcW w:w="3192" w:type="dxa"/>
          </w:tcPr>
          <w:p w14:paraId="28FE8A8A" w14:textId="6181AE2D" w:rsidR="00131C45" w:rsidRPr="00131C45" w:rsidRDefault="00131C45" w:rsidP="00131C45">
            <w:r w:rsidRPr="00131C45">
              <w:rPr>
                <w:szCs w:val="20"/>
                <w:lang w:eastAsia="bg-BG"/>
              </w:rPr>
              <w:t xml:space="preserve">≤1 </w:t>
            </w:r>
            <w:r w:rsidRPr="00131C45">
              <w:rPr>
                <w:szCs w:val="20"/>
              </w:rPr>
              <w:t>mg/1</w:t>
            </w:r>
          </w:p>
        </w:tc>
        <w:tc>
          <w:tcPr>
            <w:tcW w:w="3192" w:type="dxa"/>
          </w:tcPr>
          <w:p w14:paraId="4815A553" w14:textId="4703EF61" w:rsidR="00131C45" w:rsidRPr="00131C45" w:rsidRDefault="00131C45" w:rsidP="00131C45">
            <w:r w:rsidRPr="00131C45">
              <w:rPr>
                <w:b/>
                <w:bCs/>
                <w:szCs w:val="20"/>
              </w:rPr>
              <w:t xml:space="preserve">&gt;1 </w:t>
            </w:r>
            <w:r w:rsidRPr="00131C45">
              <w:rPr>
                <w:szCs w:val="20"/>
              </w:rPr>
              <w:t>mg/1</w:t>
            </w:r>
          </w:p>
        </w:tc>
      </w:tr>
      <w:tr w:rsidR="00131C45" w14:paraId="3B6EC48A" w14:textId="77777777" w:rsidTr="00131C45">
        <w:tc>
          <w:tcPr>
            <w:tcW w:w="3192" w:type="dxa"/>
          </w:tcPr>
          <w:p w14:paraId="660D3128" w14:textId="7D033FD1" w:rsidR="00131C45" w:rsidRPr="00131C45" w:rsidRDefault="00131C45" w:rsidP="00131C45">
            <w:r w:rsidRPr="00131C45">
              <w:rPr>
                <w:szCs w:val="20"/>
                <w:lang w:eastAsia="bg-BG"/>
              </w:rPr>
              <w:t>Видово несвързани гранични стойности</w:t>
            </w:r>
            <w:r w:rsidRPr="00131C45">
              <w:rPr>
                <w:szCs w:val="20"/>
                <w:vertAlign w:val="superscript"/>
                <w:lang w:eastAsia="bg-BG"/>
              </w:rPr>
              <w:t>4</w:t>
            </w:r>
          </w:p>
        </w:tc>
        <w:tc>
          <w:tcPr>
            <w:tcW w:w="3192" w:type="dxa"/>
          </w:tcPr>
          <w:p w14:paraId="2323A8E5" w14:textId="00B41E21" w:rsidR="00131C45" w:rsidRPr="00131C45" w:rsidRDefault="00131C45" w:rsidP="00131C45">
            <w:r w:rsidRPr="00131C45">
              <w:rPr>
                <w:szCs w:val="20"/>
                <w:lang w:eastAsia="bg-BG"/>
              </w:rPr>
              <w:t>≤</w:t>
            </w:r>
            <w:r w:rsidRPr="00131C45">
              <w:rPr>
                <w:szCs w:val="20"/>
              </w:rPr>
              <w:t xml:space="preserve"> 1 mg/1</w:t>
            </w:r>
          </w:p>
        </w:tc>
        <w:tc>
          <w:tcPr>
            <w:tcW w:w="3192" w:type="dxa"/>
          </w:tcPr>
          <w:p w14:paraId="2A132492" w14:textId="18F48C5E" w:rsidR="00131C45" w:rsidRPr="00131C45" w:rsidRDefault="00131C45" w:rsidP="00131C45">
            <w:r w:rsidRPr="00131C45">
              <w:rPr>
                <w:szCs w:val="20"/>
              </w:rPr>
              <w:t>&gt;2mg/l</w:t>
            </w:r>
          </w:p>
        </w:tc>
      </w:tr>
      <w:tr w:rsidR="00131C45" w14:paraId="0CF3A279" w14:textId="77777777" w:rsidTr="004A253D">
        <w:tc>
          <w:tcPr>
            <w:tcW w:w="9576" w:type="dxa"/>
            <w:gridSpan w:val="3"/>
          </w:tcPr>
          <w:p w14:paraId="66E485D4" w14:textId="09A735AB" w:rsidR="00131C45" w:rsidRPr="00131C45" w:rsidRDefault="00131C45" w:rsidP="00131C45">
            <w:pPr>
              <w:spacing w:line="240" w:lineRule="auto"/>
              <w:rPr>
                <w:rFonts w:eastAsia="Times New Roman" w:cs="Arial"/>
                <w:color w:val="000000"/>
                <w:szCs w:val="20"/>
                <w:lang w:eastAsia="bg-BG"/>
              </w:rPr>
            </w:pPr>
            <w:r w:rsidRPr="00131C45">
              <w:rPr>
                <w:rFonts w:eastAsia="Times New Roman" w:cs="Arial"/>
                <w:color w:val="000000"/>
                <w:szCs w:val="20"/>
                <w:vertAlign w:val="superscript"/>
                <w:lang w:val="ru-RU" w:eastAsia="bg-BG"/>
              </w:rPr>
              <w:t>1</w:t>
            </w:r>
            <w:r w:rsidRPr="00131C45">
              <w:rPr>
                <w:rFonts w:eastAsia="Times New Roman" w:cs="Arial"/>
                <w:color w:val="000000"/>
                <w:szCs w:val="20"/>
                <w:lang w:eastAsia="bg-BG"/>
              </w:rPr>
              <w:t xml:space="preserve">Граничните стойности за левофлоксацин се отнасят </w:t>
            </w:r>
            <w:proofErr w:type="gramStart"/>
            <w:r w:rsidRPr="00131C45">
              <w:rPr>
                <w:rFonts w:eastAsia="Times New Roman" w:cs="Arial"/>
                <w:color w:val="000000"/>
                <w:szCs w:val="20"/>
                <w:lang w:eastAsia="bg-BG"/>
              </w:rPr>
              <w:t>до терапия</w:t>
            </w:r>
            <w:proofErr w:type="gramEnd"/>
            <w:r w:rsidRPr="00131C45">
              <w:rPr>
                <w:rFonts w:eastAsia="Times New Roman" w:cs="Arial"/>
                <w:color w:val="000000"/>
                <w:szCs w:val="20"/>
                <w:lang w:eastAsia="bg-BG"/>
              </w:rPr>
              <w:t xml:space="preserve"> с висока доза</w:t>
            </w:r>
          </w:p>
          <w:p w14:paraId="67EEF2B3" w14:textId="6EC28502" w:rsidR="00131C45" w:rsidRPr="00131C45" w:rsidRDefault="00131C45" w:rsidP="00131C45">
            <w:pPr>
              <w:spacing w:line="240" w:lineRule="auto"/>
              <w:rPr>
                <w:rFonts w:eastAsia="Times New Roman" w:cs="Arial"/>
                <w:color w:val="000000"/>
                <w:szCs w:val="20"/>
                <w:lang w:eastAsia="bg-BG"/>
              </w:rPr>
            </w:pPr>
            <w:r w:rsidRPr="00131C45">
              <w:rPr>
                <w:rFonts w:eastAsia="Times New Roman" w:cs="Arial"/>
                <w:color w:val="000000"/>
                <w:szCs w:val="20"/>
                <w:vertAlign w:val="superscript"/>
                <w:lang w:val="ru-RU" w:eastAsia="bg-BG"/>
              </w:rPr>
              <w:t>2</w:t>
            </w:r>
            <w:r w:rsidRPr="00131C45">
              <w:rPr>
                <w:rFonts w:eastAsia="Times New Roman" w:cs="Arial"/>
                <w:color w:val="000000"/>
                <w:szCs w:val="20"/>
                <w:lang w:eastAsia="bg-BG"/>
              </w:rPr>
              <w:t xml:space="preserve">Резистентност при ниски нива на флуорохинолони (ципрофлоксацин </w:t>
            </w:r>
            <w:r w:rsidRPr="00131C45">
              <w:rPr>
                <w:rFonts w:eastAsia="Times New Roman" w:cs="Arial"/>
                <w:color w:val="000000"/>
                <w:szCs w:val="20"/>
                <w:lang w:val="en-US"/>
              </w:rPr>
              <w:t>MIC</w:t>
            </w:r>
            <w:r w:rsidRPr="00131C45">
              <w:rPr>
                <w:rFonts w:eastAsia="Times New Roman" w:cs="Arial"/>
                <w:color w:val="000000"/>
                <w:szCs w:val="20"/>
                <w:lang w:val="ru-RU"/>
              </w:rPr>
              <w:t xml:space="preserve"> </w:t>
            </w:r>
            <w:r w:rsidRPr="00131C45">
              <w:rPr>
                <w:rFonts w:eastAsia="Times New Roman" w:cs="Arial"/>
                <w:color w:val="000000"/>
                <w:szCs w:val="20"/>
                <w:lang w:eastAsia="bg-BG"/>
              </w:rPr>
              <w:t xml:space="preserve">0.12-0.5 </w:t>
            </w:r>
            <w:r w:rsidRPr="00131C45">
              <w:rPr>
                <w:rFonts w:eastAsia="Times New Roman" w:cs="Arial"/>
                <w:color w:val="000000"/>
                <w:szCs w:val="20"/>
                <w:lang w:val="en-US"/>
              </w:rPr>
              <w:t>mg</w:t>
            </w:r>
            <w:r w:rsidRPr="00131C45">
              <w:rPr>
                <w:rFonts w:eastAsia="Times New Roman" w:cs="Arial"/>
                <w:color w:val="000000"/>
                <w:szCs w:val="20"/>
                <w:lang w:val="ru-RU"/>
              </w:rPr>
              <w:t xml:space="preserve">/1) </w:t>
            </w:r>
            <w:r w:rsidRPr="00131C45">
              <w:rPr>
                <w:rFonts w:eastAsia="Times New Roman" w:cs="Arial"/>
                <w:color w:val="000000"/>
                <w:szCs w:val="20"/>
                <w:lang w:eastAsia="bg-BG"/>
              </w:rPr>
              <w:t xml:space="preserve">може да настъпи, но няма доказателство, че тази резистентност е от клинично значение при инфекции на респираторния тракт с Н. </w:t>
            </w:r>
            <w:proofErr w:type="spellStart"/>
            <w:r w:rsidRPr="00131C45">
              <w:rPr>
                <w:rFonts w:eastAsia="Times New Roman" w:cs="Arial"/>
                <w:color w:val="000000"/>
                <w:szCs w:val="20"/>
                <w:lang w:val="en-US"/>
              </w:rPr>
              <w:t>influenzae</w:t>
            </w:r>
            <w:proofErr w:type="spellEnd"/>
          </w:p>
          <w:p w14:paraId="54E1B151" w14:textId="37759E28" w:rsidR="00131C45" w:rsidRPr="00131C45" w:rsidRDefault="00131C45" w:rsidP="00131C45">
            <w:pPr>
              <w:spacing w:line="240" w:lineRule="auto"/>
              <w:rPr>
                <w:rFonts w:eastAsia="Times New Roman" w:cs="Arial"/>
                <w:color w:val="000000"/>
                <w:szCs w:val="20"/>
                <w:lang w:eastAsia="bg-BG"/>
              </w:rPr>
            </w:pPr>
            <w:r w:rsidRPr="00131C45">
              <w:rPr>
                <w:rFonts w:eastAsia="Times New Roman" w:cs="Arial"/>
                <w:color w:val="000000"/>
                <w:szCs w:val="20"/>
                <w:vertAlign w:val="superscript"/>
                <w:lang w:val="ru-RU" w:eastAsia="bg-BG"/>
              </w:rPr>
              <w:t>3</w:t>
            </w:r>
            <w:r w:rsidRPr="00131C45">
              <w:rPr>
                <w:rFonts w:eastAsia="Times New Roman" w:cs="Arial"/>
                <w:color w:val="000000"/>
                <w:szCs w:val="20"/>
                <w:lang w:eastAsia="bg-BG"/>
              </w:rPr>
              <w:t xml:space="preserve">Щамове с </w:t>
            </w:r>
            <w:r w:rsidRPr="00131C45">
              <w:rPr>
                <w:rFonts w:eastAsia="Times New Roman" w:cs="Arial"/>
                <w:color w:val="000000"/>
                <w:szCs w:val="20"/>
                <w:lang w:val="en-US"/>
              </w:rPr>
              <w:t>MIC</w:t>
            </w:r>
            <w:r w:rsidRPr="00131C45">
              <w:rPr>
                <w:rFonts w:eastAsia="Times New Roman" w:cs="Arial"/>
                <w:color w:val="000000"/>
                <w:szCs w:val="20"/>
                <w:lang w:val="ru-RU"/>
              </w:rPr>
              <w:t xml:space="preserve"> </w:t>
            </w:r>
            <w:r w:rsidRPr="00131C45">
              <w:rPr>
                <w:rFonts w:eastAsia="Times New Roman" w:cs="Arial"/>
                <w:color w:val="000000"/>
                <w:szCs w:val="20"/>
                <w:lang w:eastAsia="bg-BG"/>
              </w:rPr>
              <w:t>стойности над граничните стойности за чувствителност са много редки или не са съобщавани все още. Тестовете за идентичност и антимикробна чувствителност на всеки такъв изолат трябва да се повторят и ако резултатът се потвърди и изолатът трябва да се изпрати до референтна лаборатория</w:t>
            </w:r>
          </w:p>
          <w:p w14:paraId="715C46AA"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 xml:space="preserve">Докато няма доказателство относно клиничния отговор за потвърдени изолати с </w:t>
            </w:r>
            <w:r w:rsidRPr="00131C45">
              <w:rPr>
                <w:rFonts w:eastAsia="Times New Roman" w:cs="Arial"/>
                <w:color w:val="000000"/>
                <w:szCs w:val="20"/>
                <w:lang w:val="en-US"/>
              </w:rPr>
              <w:t>MIC</w:t>
            </w:r>
            <w:r w:rsidRPr="00131C45">
              <w:rPr>
                <w:rFonts w:eastAsia="Times New Roman" w:cs="Arial"/>
                <w:color w:val="000000"/>
                <w:szCs w:val="20"/>
                <w:lang w:val="ru-RU"/>
              </w:rPr>
              <w:t xml:space="preserve"> </w:t>
            </w:r>
            <w:r w:rsidRPr="00131C45">
              <w:rPr>
                <w:rFonts w:eastAsia="Times New Roman" w:cs="Arial"/>
                <w:color w:val="000000"/>
                <w:szCs w:val="20"/>
                <w:lang w:eastAsia="bg-BG"/>
              </w:rPr>
              <w:t>над настоящите гранични стойности за резистентност, те трябва да се съобщават като резистентни</w:t>
            </w:r>
          </w:p>
          <w:p w14:paraId="7C0FEA94" w14:textId="364124E5" w:rsidR="00131C45" w:rsidRPr="00131C45" w:rsidRDefault="00131C45" w:rsidP="00131C45">
            <w:pPr>
              <w:spacing w:line="240" w:lineRule="auto"/>
              <w:rPr>
                <w:rFonts w:eastAsia="Times New Roman" w:cs="Arial"/>
                <w:color w:val="000000"/>
                <w:szCs w:val="20"/>
                <w:lang w:eastAsia="bg-BG"/>
              </w:rPr>
            </w:pPr>
            <w:r w:rsidRPr="00131C45">
              <w:rPr>
                <w:rFonts w:eastAsia="Times New Roman" w:cs="Arial"/>
                <w:color w:val="000000"/>
                <w:szCs w:val="20"/>
                <w:vertAlign w:val="superscript"/>
                <w:lang w:val="ru-RU" w:eastAsia="bg-BG"/>
              </w:rPr>
              <w:t>4</w:t>
            </w:r>
            <w:r w:rsidRPr="00131C45">
              <w:rPr>
                <w:rFonts w:eastAsia="Times New Roman" w:cs="Arial"/>
                <w:color w:val="000000"/>
                <w:szCs w:val="20"/>
                <w:lang w:eastAsia="bg-BG"/>
              </w:rPr>
              <w:t xml:space="preserve">Граничните стойности са приложими за перорална доза от 500 </w:t>
            </w:r>
            <w:r w:rsidRPr="00131C45">
              <w:rPr>
                <w:rFonts w:eastAsia="Times New Roman" w:cs="Arial"/>
                <w:color w:val="000000"/>
                <w:szCs w:val="20"/>
                <w:lang w:val="en-US"/>
              </w:rPr>
              <w:t>mg</w:t>
            </w:r>
            <w:r w:rsidRPr="00131C45">
              <w:rPr>
                <w:rFonts w:eastAsia="Times New Roman" w:cs="Arial"/>
                <w:color w:val="000000"/>
                <w:szCs w:val="20"/>
                <w:lang w:val="ru-RU"/>
              </w:rPr>
              <w:t xml:space="preserve"> </w:t>
            </w:r>
            <w:r w:rsidRPr="00131C45">
              <w:rPr>
                <w:rFonts w:eastAsia="Times New Roman" w:cs="Arial"/>
                <w:color w:val="000000"/>
                <w:szCs w:val="20"/>
                <w:lang w:eastAsia="bg-BG"/>
              </w:rPr>
              <w:t xml:space="preserve">х 1 до 500 </w:t>
            </w:r>
            <w:r w:rsidRPr="00131C45">
              <w:rPr>
                <w:rFonts w:eastAsia="Times New Roman" w:cs="Arial"/>
                <w:color w:val="000000"/>
                <w:szCs w:val="20"/>
                <w:lang w:val="en-US"/>
              </w:rPr>
              <w:t>mg</w:t>
            </w:r>
            <w:r w:rsidRPr="00131C45">
              <w:rPr>
                <w:rFonts w:eastAsia="Times New Roman" w:cs="Arial"/>
                <w:color w:val="000000"/>
                <w:szCs w:val="20"/>
                <w:lang w:val="ru-RU"/>
              </w:rPr>
              <w:t xml:space="preserve"> </w:t>
            </w:r>
            <w:r w:rsidRPr="00131C45">
              <w:rPr>
                <w:rFonts w:eastAsia="Times New Roman" w:cs="Arial"/>
                <w:color w:val="000000"/>
                <w:szCs w:val="20"/>
                <w:lang w:eastAsia="bg-BG"/>
              </w:rPr>
              <w:t xml:space="preserve">х 2 и интравенозна доза от 500 </w:t>
            </w:r>
            <w:r w:rsidRPr="00131C45">
              <w:rPr>
                <w:rFonts w:eastAsia="Times New Roman" w:cs="Arial"/>
                <w:color w:val="000000"/>
                <w:szCs w:val="20"/>
                <w:lang w:val="en-US"/>
              </w:rPr>
              <w:t>mg</w:t>
            </w:r>
            <w:r w:rsidRPr="00131C45">
              <w:rPr>
                <w:rFonts w:eastAsia="Times New Roman" w:cs="Arial"/>
                <w:color w:val="000000"/>
                <w:szCs w:val="20"/>
                <w:lang w:val="ru-RU"/>
              </w:rPr>
              <w:t xml:space="preserve"> </w:t>
            </w:r>
            <w:r w:rsidRPr="00131C45">
              <w:rPr>
                <w:rFonts w:eastAsia="Times New Roman" w:cs="Arial"/>
                <w:color w:val="000000"/>
                <w:szCs w:val="20"/>
                <w:lang w:eastAsia="bg-BG"/>
              </w:rPr>
              <w:t xml:space="preserve">х 1 до 500 </w:t>
            </w:r>
            <w:r w:rsidRPr="00131C45">
              <w:rPr>
                <w:rFonts w:eastAsia="Times New Roman" w:cs="Arial"/>
                <w:color w:val="000000"/>
                <w:szCs w:val="20"/>
                <w:lang w:val="en-US"/>
              </w:rPr>
              <w:t>mg</w:t>
            </w:r>
            <w:r w:rsidRPr="00131C45">
              <w:rPr>
                <w:rFonts w:eastAsia="Times New Roman" w:cs="Arial"/>
                <w:color w:val="000000"/>
                <w:szCs w:val="20"/>
                <w:lang w:val="ru-RU"/>
              </w:rPr>
              <w:t xml:space="preserve"> </w:t>
            </w:r>
            <w:r w:rsidRPr="00131C45">
              <w:rPr>
                <w:rFonts w:eastAsia="Times New Roman" w:cs="Arial"/>
                <w:color w:val="000000"/>
                <w:szCs w:val="20"/>
                <w:lang w:eastAsia="bg-BG"/>
              </w:rPr>
              <w:t>х 2.</w:t>
            </w:r>
          </w:p>
          <w:p w14:paraId="5946D203" w14:textId="77777777" w:rsidR="00131C45" w:rsidRDefault="00131C45" w:rsidP="00131C45"/>
        </w:tc>
      </w:tr>
    </w:tbl>
    <w:p w14:paraId="461D56E2" w14:textId="77777777" w:rsidR="00131C45" w:rsidRDefault="00131C45" w:rsidP="00131C45">
      <w:pPr>
        <w:spacing w:line="240" w:lineRule="auto"/>
        <w:rPr>
          <w:rFonts w:ascii="Times New Roman" w:eastAsia="Times New Roman" w:hAnsi="Times New Roman" w:cs="Times New Roman"/>
          <w:color w:val="000000"/>
          <w:sz w:val="20"/>
          <w:szCs w:val="20"/>
          <w:lang w:eastAsia="bg-BG"/>
        </w:rPr>
      </w:pPr>
    </w:p>
    <w:p w14:paraId="44E38FA3" w14:textId="690A2AEB" w:rsidR="00131C45" w:rsidRPr="00131C45" w:rsidRDefault="00131C45" w:rsidP="00131C45">
      <w:pPr>
        <w:rPr>
          <w:sz w:val="24"/>
          <w:szCs w:val="24"/>
        </w:rPr>
      </w:pPr>
      <w:r w:rsidRPr="00131C45">
        <w:rPr>
          <w:lang w:eastAsia="bg-BG"/>
        </w:rPr>
        <w:t>Преобладаването на резистентност може да варира в зависимост от географската област и във времето при избрани щамове» поради което е желателно да се търси информация за локалната резистентност, особено при лечение на тежки инфекции. При необходимост, трябва да се търси експертна консултация, когато местният профил на резистентност е такъв, че характеристиките на агента при някои видове инфекции са под въпрос.</w:t>
      </w:r>
    </w:p>
    <w:p w14:paraId="153A71CD" w14:textId="6E9AE9F3" w:rsidR="00131C45" w:rsidRDefault="00131C45" w:rsidP="00131C45"/>
    <w:tbl>
      <w:tblPr>
        <w:tblStyle w:val="TableGrid"/>
        <w:tblW w:w="0" w:type="auto"/>
        <w:tblLook w:val="04A0" w:firstRow="1" w:lastRow="0" w:firstColumn="1" w:lastColumn="0" w:noHBand="0" w:noVBand="1"/>
      </w:tblPr>
      <w:tblGrid>
        <w:gridCol w:w="9350"/>
      </w:tblGrid>
      <w:tr w:rsidR="00131C45" w14:paraId="35342713" w14:textId="77777777" w:rsidTr="00131C45">
        <w:tc>
          <w:tcPr>
            <w:tcW w:w="9576" w:type="dxa"/>
          </w:tcPr>
          <w:p w14:paraId="68AC4DDE" w14:textId="4C14C6C6" w:rsidR="00131C45" w:rsidRPr="00131C45" w:rsidRDefault="00131C45" w:rsidP="00131C45">
            <w:pPr>
              <w:rPr>
                <w:rFonts w:cs="Arial"/>
              </w:rPr>
            </w:pPr>
            <w:r w:rsidRPr="00131C45">
              <w:rPr>
                <w:rFonts w:cs="Arial"/>
                <w:b/>
                <w:bCs/>
                <w:u w:val="single"/>
                <w:lang w:eastAsia="bg-BG"/>
              </w:rPr>
              <w:t>Обичайно чувствителни щамове</w:t>
            </w:r>
          </w:p>
        </w:tc>
      </w:tr>
      <w:tr w:rsidR="00131C45" w14:paraId="218B5047" w14:textId="77777777" w:rsidTr="00C062CB">
        <w:tc>
          <w:tcPr>
            <w:tcW w:w="9576" w:type="dxa"/>
            <w:vAlign w:val="bottom"/>
          </w:tcPr>
          <w:p w14:paraId="541A7EA2" w14:textId="77777777" w:rsidR="00131C45" w:rsidRPr="00131C45" w:rsidRDefault="00131C45" w:rsidP="00131C45">
            <w:pPr>
              <w:rPr>
                <w:rFonts w:cs="Arial"/>
              </w:rPr>
            </w:pPr>
            <w:r w:rsidRPr="00131C45">
              <w:rPr>
                <w:rFonts w:cs="Arial"/>
                <w:u w:val="single"/>
                <w:lang w:eastAsia="bg-BG"/>
              </w:rPr>
              <w:t>Аеробни Грам-положителни бактерии</w:t>
            </w:r>
          </w:p>
          <w:p w14:paraId="1778EB7D" w14:textId="77777777" w:rsidR="00131C45" w:rsidRPr="00131C45" w:rsidRDefault="00131C45" w:rsidP="00131C45">
            <w:pPr>
              <w:rPr>
                <w:rFonts w:cs="Arial"/>
              </w:rPr>
            </w:pPr>
            <w:r w:rsidRPr="00131C45">
              <w:rPr>
                <w:rFonts w:cs="Arial"/>
                <w:i/>
                <w:iCs/>
              </w:rPr>
              <w:t>Bacillus anthracis</w:t>
            </w:r>
          </w:p>
          <w:p w14:paraId="14EEDDB3" w14:textId="77777777" w:rsidR="00131C45" w:rsidRPr="00131C45" w:rsidRDefault="00131C45" w:rsidP="00131C45">
            <w:pPr>
              <w:rPr>
                <w:rFonts w:cs="Arial"/>
              </w:rPr>
            </w:pPr>
            <w:r w:rsidRPr="00131C45">
              <w:rPr>
                <w:rFonts w:cs="Arial"/>
                <w:i/>
                <w:iCs/>
              </w:rPr>
              <w:t xml:space="preserve">Staphylococcus aureus* </w:t>
            </w:r>
            <w:r w:rsidRPr="00131C45">
              <w:rPr>
                <w:rFonts w:cs="Arial"/>
                <w:i/>
                <w:iCs/>
                <w:lang w:eastAsia="bg-BG"/>
              </w:rPr>
              <w:t>метицилин-чувствителен</w:t>
            </w:r>
          </w:p>
          <w:p w14:paraId="2ABBD3DA" w14:textId="77777777" w:rsidR="00131C45" w:rsidRPr="00131C45" w:rsidRDefault="00131C45" w:rsidP="00131C45">
            <w:pPr>
              <w:rPr>
                <w:rFonts w:cs="Arial"/>
              </w:rPr>
            </w:pPr>
            <w:r w:rsidRPr="00131C45">
              <w:rPr>
                <w:rFonts w:cs="Arial"/>
                <w:i/>
                <w:iCs/>
              </w:rPr>
              <w:t>Staphylococcus saprophyticus</w:t>
            </w:r>
          </w:p>
          <w:p w14:paraId="02BB120A" w14:textId="77777777" w:rsidR="00131C45" w:rsidRPr="00131C45" w:rsidRDefault="00131C45" w:rsidP="00131C45">
            <w:pPr>
              <w:rPr>
                <w:rFonts w:cs="Arial"/>
              </w:rPr>
            </w:pPr>
            <w:r w:rsidRPr="00131C45">
              <w:rPr>
                <w:rFonts w:cs="Arial"/>
                <w:i/>
                <w:iCs/>
              </w:rPr>
              <w:t xml:space="preserve">Streptococci, </w:t>
            </w:r>
            <w:r w:rsidRPr="00131C45">
              <w:rPr>
                <w:rFonts w:cs="Arial"/>
                <w:i/>
                <w:iCs/>
                <w:lang w:eastAsia="bg-BG"/>
              </w:rPr>
              <w:t xml:space="preserve">групи </w:t>
            </w:r>
            <w:r w:rsidRPr="00131C45">
              <w:rPr>
                <w:rFonts w:cs="Arial"/>
                <w:i/>
                <w:iCs/>
              </w:rPr>
              <w:t>CuG</w:t>
            </w:r>
          </w:p>
          <w:p w14:paraId="5DAFB3D1" w14:textId="77777777" w:rsidR="00131C45" w:rsidRPr="00131C45" w:rsidRDefault="00131C45" w:rsidP="00131C45">
            <w:pPr>
              <w:rPr>
                <w:rFonts w:cs="Arial"/>
              </w:rPr>
            </w:pPr>
            <w:r w:rsidRPr="00131C45">
              <w:rPr>
                <w:rFonts w:cs="Arial"/>
                <w:i/>
                <w:iCs/>
              </w:rPr>
              <w:t>Streptococcus agalactiae</w:t>
            </w:r>
          </w:p>
          <w:p w14:paraId="38923CE2" w14:textId="77777777" w:rsidR="00131C45" w:rsidRPr="00131C45" w:rsidRDefault="00131C45" w:rsidP="00131C45">
            <w:pPr>
              <w:rPr>
                <w:rFonts w:cs="Arial"/>
              </w:rPr>
            </w:pPr>
            <w:r w:rsidRPr="00131C45">
              <w:rPr>
                <w:rFonts w:cs="Arial"/>
                <w:i/>
                <w:iCs/>
              </w:rPr>
              <w:t>Streptococcus pneumoniae *</w:t>
            </w:r>
          </w:p>
          <w:p w14:paraId="2CCBCD2F" w14:textId="5D36806B" w:rsidR="00131C45" w:rsidRPr="00131C45" w:rsidRDefault="00131C45" w:rsidP="00131C45">
            <w:pPr>
              <w:rPr>
                <w:rFonts w:cs="Arial"/>
              </w:rPr>
            </w:pPr>
            <w:r w:rsidRPr="00131C45">
              <w:rPr>
                <w:rFonts w:cs="Arial"/>
                <w:i/>
                <w:iCs/>
              </w:rPr>
              <w:t>Streptococcus pyogenes*</w:t>
            </w:r>
          </w:p>
        </w:tc>
      </w:tr>
      <w:tr w:rsidR="00131C45" w14:paraId="4E1DC380" w14:textId="77777777" w:rsidTr="00131C45">
        <w:tc>
          <w:tcPr>
            <w:tcW w:w="9576" w:type="dxa"/>
          </w:tcPr>
          <w:p w14:paraId="53B21662" w14:textId="77777777" w:rsidR="00131C45" w:rsidRPr="00131C45" w:rsidRDefault="00131C45" w:rsidP="00131C45">
            <w:pPr>
              <w:spacing w:line="240" w:lineRule="auto"/>
              <w:rPr>
                <w:rFonts w:eastAsia="Times New Roman" w:cs="Arial"/>
              </w:rPr>
            </w:pPr>
            <w:r w:rsidRPr="00131C45">
              <w:rPr>
                <w:rFonts w:eastAsia="Times New Roman" w:cs="Arial"/>
                <w:b/>
                <w:bCs/>
                <w:i/>
                <w:iCs/>
                <w:color w:val="000000"/>
                <w:u w:val="single"/>
                <w:lang w:eastAsia="bg-BG"/>
              </w:rPr>
              <w:t>Аеробни Гнам-отнииателни бактерии</w:t>
            </w:r>
          </w:p>
          <w:p w14:paraId="7211A27D" w14:textId="77777777" w:rsidR="00131C45" w:rsidRPr="00131C45" w:rsidRDefault="00131C45" w:rsidP="00131C45">
            <w:pPr>
              <w:spacing w:line="240" w:lineRule="auto"/>
              <w:rPr>
                <w:rFonts w:eastAsia="Times New Roman" w:cs="Arial"/>
              </w:rPr>
            </w:pPr>
            <w:proofErr w:type="spellStart"/>
            <w:r w:rsidRPr="00131C45">
              <w:rPr>
                <w:rFonts w:eastAsia="Times New Roman" w:cs="Arial"/>
                <w:b/>
                <w:bCs/>
                <w:i/>
                <w:iCs/>
                <w:color w:val="000000"/>
                <w:lang w:val="en-US"/>
              </w:rPr>
              <w:t>Eikenella</w:t>
            </w:r>
            <w:proofErr w:type="spellEnd"/>
            <w:r w:rsidRPr="00131C45">
              <w:rPr>
                <w:rFonts w:eastAsia="Times New Roman" w:cs="Arial"/>
                <w:b/>
                <w:bCs/>
                <w:i/>
                <w:iCs/>
                <w:color w:val="000000"/>
              </w:rPr>
              <w:t xml:space="preserve"> </w:t>
            </w:r>
            <w:proofErr w:type="spellStart"/>
            <w:r w:rsidRPr="00131C45">
              <w:rPr>
                <w:rFonts w:eastAsia="Times New Roman" w:cs="Arial"/>
                <w:b/>
                <w:bCs/>
                <w:i/>
                <w:iCs/>
                <w:color w:val="000000"/>
                <w:lang w:val="en-US"/>
              </w:rPr>
              <w:t>corrodens</w:t>
            </w:r>
            <w:proofErr w:type="spellEnd"/>
          </w:p>
          <w:p w14:paraId="29937D0A"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Haemophilus</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influenzae</w:t>
            </w:r>
            <w:proofErr w:type="spellEnd"/>
            <w:r w:rsidRPr="00131C45">
              <w:rPr>
                <w:rFonts w:eastAsia="Times New Roman" w:cs="Arial"/>
                <w:i/>
                <w:iCs/>
                <w:color w:val="000000"/>
                <w:lang w:val="en-US"/>
              </w:rPr>
              <w:t xml:space="preserve"> *</w:t>
            </w:r>
          </w:p>
          <w:p w14:paraId="1A30A434"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Haemophilus</w:t>
            </w:r>
            <w:proofErr w:type="spellEnd"/>
            <w:r w:rsidRPr="00131C45">
              <w:rPr>
                <w:rFonts w:eastAsia="Times New Roman" w:cs="Arial"/>
                <w:i/>
                <w:iCs/>
                <w:color w:val="000000"/>
                <w:lang w:val="en-US"/>
              </w:rPr>
              <w:t xml:space="preserve"> para-</w:t>
            </w:r>
            <w:proofErr w:type="spellStart"/>
            <w:r w:rsidRPr="00131C45">
              <w:rPr>
                <w:rFonts w:eastAsia="Times New Roman" w:cs="Arial"/>
                <w:i/>
                <w:iCs/>
                <w:color w:val="000000"/>
                <w:lang w:val="en-US"/>
              </w:rPr>
              <w:t>influenzae</w:t>
            </w:r>
            <w:proofErr w:type="spellEnd"/>
            <w:r w:rsidRPr="00131C45">
              <w:rPr>
                <w:rFonts w:eastAsia="Times New Roman" w:cs="Arial"/>
                <w:i/>
                <w:iCs/>
                <w:color w:val="000000"/>
                <w:lang w:val="en-US"/>
              </w:rPr>
              <w:t xml:space="preserve"> *</w:t>
            </w:r>
          </w:p>
          <w:p w14:paraId="571821E0"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Klebsiella</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oxytoca</w:t>
            </w:r>
            <w:proofErr w:type="spellEnd"/>
          </w:p>
          <w:p w14:paraId="53D8770D" w14:textId="77777777" w:rsidR="00131C45" w:rsidRPr="00131C45" w:rsidRDefault="00131C45" w:rsidP="00131C45">
            <w:pPr>
              <w:spacing w:line="240" w:lineRule="auto"/>
              <w:rPr>
                <w:rFonts w:eastAsia="Times New Roman" w:cs="Arial"/>
                <w:lang w:val="en-US"/>
              </w:rPr>
            </w:pPr>
            <w:r w:rsidRPr="00131C45">
              <w:rPr>
                <w:rFonts w:eastAsia="Times New Roman" w:cs="Arial"/>
                <w:i/>
                <w:iCs/>
                <w:color w:val="000000"/>
                <w:lang w:val="en-US"/>
              </w:rPr>
              <w:t xml:space="preserve">Moraxella </w:t>
            </w:r>
            <w:proofErr w:type="spellStart"/>
            <w:r w:rsidRPr="00131C45">
              <w:rPr>
                <w:rFonts w:eastAsia="Times New Roman" w:cs="Arial"/>
                <w:i/>
                <w:iCs/>
                <w:color w:val="000000"/>
                <w:lang w:val="en-US"/>
              </w:rPr>
              <w:t>catarrhalis</w:t>
            </w:r>
            <w:proofErr w:type="spellEnd"/>
            <w:r w:rsidRPr="00131C45">
              <w:rPr>
                <w:rFonts w:eastAsia="Times New Roman" w:cs="Arial"/>
                <w:i/>
                <w:iCs/>
                <w:color w:val="000000"/>
                <w:lang w:val="en-US"/>
              </w:rPr>
              <w:t xml:space="preserve"> *</w:t>
            </w:r>
          </w:p>
          <w:p w14:paraId="325BFE0C"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Pasteurella</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multocida</w:t>
            </w:r>
            <w:proofErr w:type="spellEnd"/>
          </w:p>
          <w:p w14:paraId="0E2DE169" w14:textId="77777777" w:rsidR="00131C45" w:rsidRPr="00131C45" w:rsidRDefault="00131C45" w:rsidP="00131C45">
            <w:pPr>
              <w:spacing w:line="240" w:lineRule="auto"/>
              <w:rPr>
                <w:rFonts w:eastAsia="Times New Roman" w:cs="Arial"/>
                <w:lang w:val="en-US"/>
              </w:rPr>
            </w:pPr>
            <w:r w:rsidRPr="00131C45">
              <w:rPr>
                <w:rFonts w:eastAsia="Times New Roman" w:cs="Arial"/>
                <w:i/>
                <w:iCs/>
                <w:color w:val="000000"/>
                <w:lang w:val="en-US"/>
              </w:rPr>
              <w:t>Proteus vulgaris</w:t>
            </w:r>
          </w:p>
          <w:p w14:paraId="78938337" w14:textId="7B7971B0" w:rsidR="00131C45" w:rsidRPr="00131C45" w:rsidRDefault="00131C45" w:rsidP="00131C45">
            <w:pPr>
              <w:rPr>
                <w:rFonts w:eastAsia="Times New Roman" w:cs="Arial"/>
                <w:i/>
                <w:iCs/>
                <w:color w:val="000000"/>
                <w:lang w:val="en-US"/>
              </w:rPr>
            </w:pPr>
            <w:proofErr w:type="spellStart"/>
            <w:r w:rsidRPr="00131C45">
              <w:rPr>
                <w:rFonts w:eastAsia="Times New Roman" w:cs="Arial"/>
                <w:i/>
                <w:iCs/>
                <w:color w:val="000000"/>
                <w:lang w:val="en-US"/>
              </w:rPr>
              <w:t>Providencia</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rettgeri</w:t>
            </w:r>
            <w:proofErr w:type="spellEnd"/>
          </w:p>
        </w:tc>
      </w:tr>
      <w:tr w:rsidR="00131C45" w14:paraId="01CEE374" w14:textId="77777777" w:rsidTr="00131C45">
        <w:tc>
          <w:tcPr>
            <w:tcW w:w="9576" w:type="dxa"/>
          </w:tcPr>
          <w:p w14:paraId="4DCF0A7E" w14:textId="77777777" w:rsidR="00131C45" w:rsidRPr="00131C45" w:rsidRDefault="00131C45" w:rsidP="00131C45">
            <w:pPr>
              <w:spacing w:line="240" w:lineRule="auto"/>
              <w:rPr>
                <w:rFonts w:eastAsia="Times New Roman" w:cs="Arial"/>
              </w:rPr>
            </w:pPr>
            <w:r w:rsidRPr="00131C45">
              <w:rPr>
                <w:rFonts w:eastAsia="Times New Roman" w:cs="Arial"/>
                <w:b/>
                <w:bCs/>
                <w:i/>
                <w:iCs/>
                <w:color w:val="000000"/>
                <w:u w:val="single"/>
                <w:lang w:eastAsia="bg-BG"/>
              </w:rPr>
              <w:t>Анаеробни бактерии</w:t>
            </w:r>
          </w:p>
          <w:p w14:paraId="66E1DC57" w14:textId="1AD257EC" w:rsidR="00131C45" w:rsidRPr="00131C45" w:rsidRDefault="00131C45" w:rsidP="00131C45">
            <w:pPr>
              <w:rPr>
                <w:rFonts w:cs="Arial"/>
              </w:rPr>
            </w:pPr>
            <w:proofErr w:type="spellStart"/>
            <w:r w:rsidRPr="00131C45">
              <w:rPr>
                <w:rFonts w:eastAsia="Times New Roman" w:cs="Arial"/>
                <w:i/>
                <w:iCs/>
                <w:color w:val="000000"/>
                <w:lang w:val="en-US"/>
              </w:rPr>
              <w:t>Peptostreptococcus</w:t>
            </w:r>
            <w:proofErr w:type="spellEnd"/>
          </w:p>
        </w:tc>
      </w:tr>
      <w:tr w:rsidR="00131C45" w14:paraId="73DB0830" w14:textId="77777777" w:rsidTr="00131C45">
        <w:tc>
          <w:tcPr>
            <w:tcW w:w="9576" w:type="dxa"/>
          </w:tcPr>
          <w:p w14:paraId="520452F8" w14:textId="77777777" w:rsidR="00131C45" w:rsidRPr="00131C45" w:rsidRDefault="00131C45" w:rsidP="00131C45">
            <w:pPr>
              <w:spacing w:line="240" w:lineRule="auto"/>
              <w:rPr>
                <w:rFonts w:eastAsia="Times New Roman" w:cs="Arial"/>
              </w:rPr>
            </w:pPr>
            <w:r w:rsidRPr="00131C45">
              <w:rPr>
                <w:rFonts w:eastAsia="Times New Roman" w:cs="Arial"/>
                <w:smallCaps/>
                <w:color w:val="000000"/>
                <w:lang w:eastAsia="bg-BG"/>
              </w:rPr>
              <w:t>Други</w:t>
            </w:r>
          </w:p>
          <w:p w14:paraId="2ED07273" w14:textId="77777777" w:rsidR="00131C45" w:rsidRPr="00131C45" w:rsidRDefault="00131C45" w:rsidP="00131C45">
            <w:pPr>
              <w:spacing w:line="240" w:lineRule="auto"/>
              <w:rPr>
                <w:rFonts w:eastAsia="Times New Roman" w:cs="Arial"/>
                <w:i/>
                <w:iCs/>
                <w:color w:val="000000"/>
              </w:rPr>
            </w:pPr>
            <w:proofErr w:type="spellStart"/>
            <w:r w:rsidRPr="00131C45">
              <w:rPr>
                <w:rFonts w:eastAsia="Times New Roman" w:cs="Arial"/>
                <w:i/>
                <w:iCs/>
                <w:color w:val="000000"/>
                <w:lang w:val="en-US"/>
              </w:rPr>
              <w:lastRenderedPageBreak/>
              <w:t>Chlamydophila</w:t>
            </w:r>
            <w:proofErr w:type="spellEnd"/>
            <w:r w:rsidRPr="00131C45">
              <w:rPr>
                <w:rFonts w:eastAsia="Times New Roman" w:cs="Arial"/>
                <w:i/>
                <w:iCs/>
                <w:color w:val="000000"/>
              </w:rPr>
              <w:t xml:space="preserve"> </w:t>
            </w:r>
            <w:proofErr w:type="spellStart"/>
            <w:r w:rsidRPr="00131C45">
              <w:rPr>
                <w:rFonts w:eastAsia="Times New Roman" w:cs="Arial"/>
                <w:i/>
                <w:iCs/>
                <w:color w:val="000000"/>
                <w:lang w:val="en-US"/>
              </w:rPr>
              <w:t>pneumoniae</w:t>
            </w:r>
            <w:proofErr w:type="spellEnd"/>
            <w:r w:rsidRPr="00131C45">
              <w:rPr>
                <w:rFonts w:eastAsia="Times New Roman" w:cs="Arial"/>
                <w:i/>
                <w:iCs/>
                <w:color w:val="000000"/>
              </w:rPr>
              <w:t xml:space="preserve">* </w:t>
            </w:r>
          </w:p>
          <w:p w14:paraId="1EF56E3B" w14:textId="77777777" w:rsidR="00131C45" w:rsidRPr="00131C45" w:rsidRDefault="00131C45" w:rsidP="00131C45">
            <w:pPr>
              <w:spacing w:line="240" w:lineRule="auto"/>
              <w:rPr>
                <w:rFonts w:eastAsia="Times New Roman" w:cs="Arial"/>
                <w:i/>
                <w:iCs/>
                <w:color w:val="000000"/>
              </w:rPr>
            </w:pPr>
            <w:proofErr w:type="spellStart"/>
            <w:r w:rsidRPr="00131C45">
              <w:rPr>
                <w:rFonts w:eastAsia="Times New Roman" w:cs="Arial"/>
                <w:i/>
                <w:iCs/>
                <w:color w:val="000000"/>
                <w:lang w:val="en-US"/>
              </w:rPr>
              <w:t>Chlamydophila</w:t>
            </w:r>
            <w:proofErr w:type="spellEnd"/>
            <w:r w:rsidRPr="00131C45">
              <w:rPr>
                <w:rFonts w:eastAsia="Times New Roman" w:cs="Arial"/>
                <w:i/>
                <w:iCs/>
                <w:color w:val="000000"/>
              </w:rPr>
              <w:t xml:space="preserve"> </w:t>
            </w:r>
            <w:proofErr w:type="spellStart"/>
            <w:r w:rsidRPr="00131C45">
              <w:rPr>
                <w:rFonts w:eastAsia="Times New Roman" w:cs="Arial"/>
                <w:i/>
                <w:iCs/>
                <w:color w:val="000000"/>
                <w:lang w:val="en-US"/>
              </w:rPr>
              <w:t>psittaci</w:t>
            </w:r>
            <w:proofErr w:type="spellEnd"/>
            <w:r w:rsidRPr="00131C45">
              <w:rPr>
                <w:rFonts w:eastAsia="Times New Roman" w:cs="Arial"/>
                <w:i/>
                <w:iCs/>
                <w:color w:val="000000"/>
              </w:rPr>
              <w:t xml:space="preserve"> </w:t>
            </w:r>
          </w:p>
          <w:p w14:paraId="37E6B6A0" w14:textId="77777777" w:rsidR="00131C45" w:rsidRPr="00131C45" w:rsidRDefault="00131C45" w:rsidP="00131C45">
            <w:pPr>
              <w:spacing w:line="240" w:lineRule="auto"/>
              <w:rPr>
                <w:rFonts w:eastAsia="Times New Roman" w:cs="Arial"/>
                <w:i/>
                <w:iCs/>
                <w:color w:val="000000"/>
              </w:rPr>
            </w:pPr>
            <w:r w:rsidRPr="00131C45">
              <w:rPr>
                <w:rFonts w:eastAsia="Times New Roman" w:cs="Arial"/>
                <w:i/>
                <w:iCs/>
                <w:color w:val="000000"/>
                <w:lang w:val="en-US"/>
              </w:rPr>
              <w:t>Chlamydia</w:t>
            </w:r>
            <w:r w:rsidRPr="00131C45">
              <w:rPr>
                <w:rFonts w:eastAsia="Times New Roman" w:cs="Arial"/>
                <w:i/>
                <w:iCs/>
                <w:color w:val="000000"/>
              </w:rPr>
              <w:t xml:space="preserve"> </w:t>
            </w:r>
            <w:r w:rsidRPr="00131C45">
              <w:rPr>
                <w:rFonts w:eastAsia="Times New Roman" w:cs="Arial"/>
                <w:i/>
                <w:iCs/>
                <w:color w:val="000000"/>
                <w:lang w:val="en-US"/>
              </w:rPr>
              <w:t>trachomatis</w:t>
            </w:r>
            <w:r w:rsidRPr="00131C45">
              <w:rPr>
                <w:rFonts w:eastAsia="Times New Roman" w:cs="Arial"/>
                <w:i/>
                <w:iCs/>
                <w:color w:val="000000"/>
              </w:rPr>
              <w:t xml:space="preserve"> </w:t>
            </w:r>
          </w:p>
          <w:p w14:paraId="72E89112" w14:textId="77777777" w:rsidR="00131C45" w:rsidRPr="00131C45" w:rsidRDefault="00131C45" w:rsidP="00131C45">
            <w:pPr>
              <w:spacing w:line="240" w:lineRule="auto"/>
              <w:rPr>
                <w:rFonts w:eastAsia="Times New Roman" w:cs="Arial"/>
                <w:i/>
                <w:iCs/>
                <w:color w:val="000000"/>
              </w:rPr>
            </w:pPr>
            <w:r w:rsidRPr="00131C45">
              <w:rPr>
                <w:rFonts w:eastAsia="Times New Roman" w:cs="Arial"/>
                <w:i/>
                <w:iCs/>
                <w:color w:val="000000"/>
                <w:lang w:val="en-US"/>
              </w:rPr>
              <w:t>Legionella</w:t>
            </w:r>
            <w:r w:rsidRPr="00131C45">
              <w:rPr>
                <w:rFonts w:eastAsia="Times New Roman" w:cs="Arial"/>
                <w:i/>
                <w:iCs/>
                <w:color w:val="000000"/>
              </w:rPr>
              <w:t xml:space="preserve"> </w:t>
            </w:r>
            <w:proofErr w:type="spellStart"/>
            <w:r w:rsidRPr="00131C45">
              <w:rPr>
                <w:rFonts w:eastAsia="Times New Roman" w:cs="Arial"/>
                <w:i/>
                <w:iCs/>
                <w:color w:val="000000"/>
                <w:lang w:val="en-US"/>
              </w:rPr>
              <w:t>pneumophila</w:t>
            </w:r>
            <w:proofErr w:type="spellEnd"/>
            <w:r w:rsidRPr="00131C45">
              <w:rPr>
                <w:rFonts w:eastAsia="Times New Roman" w:cs="Arial"/>
                <w:i/>
                <w:iCs/>
                <w:color w:val="000000"/>
              </w:rPr>
              <w:t xml:space="preserve">* </w:t>
            </w:r>
          </w:p>
          <w:p w14:paraId="5C99E8AB" w14:textId="77777777" w:rsidR="00131C45" w:rsidRPr="00131C45" w:rsidRDefault="00131C45" w:rsidP="00131C45">
            <w:pPr>
              <w:spacing w:line="240" w:lineRule="auto"/>
              <w:rPr>
                <w:rFonts w:eastAsia="Times New Roman" w:cs="Arial"/>
                <w:i/>
                <w:iCs/>
                <w:color w:val="000000"/>
              </w:rPr>
            </w:pPr>
            <w:r w:rsidRPr="00131C45">
              <w:rPr>
                <w:rFonts w:eastAsia="Times New Roman" w:cs="Arial"/>
                <w:i/>
                <w:iCs/>
                <w:color w:val="000000"/>
                <w:lang w:val="en-US"/>
              </w:rPr>
              <w:t>Mycoplasma</w:t>
            </w:r>
            <w:r w:rsidRPr="00131C45">
              <w:rPr>
                <w:rFonts w:eastAsia="Times New Roman" w:cs="Arial"/>
                <w:i/>
                <w:iCs/>
                <w:color w:val="000000"/>
              </w:rPr>
              <w:t xml:space="preserve"> </w:t>
            </w:r>
            <w:proofErr w:type="spellStart"/>
            <w:r w:rsidRPr="00131C45">
              <w:rPr>
                <w:rFonts w:eastAsia="Times New Roman" w:cs="Arial"/>
                <w:i/>
                <w:iCs/>
                <w:color w:val="000000"/>
                <w:lang w:val="en-US"/>
              </w:rPr>
              <w:t>pneumoniae</w:t>
            </w:r>
            <w:proofErr w:type="spellEnd"/>
            <w:r w:rsidRPr="00131C45">
              <w:rPr>
                <w:rFonts w:eastAsia="Times New Roman" w:cs="Arial"/>
                <w:i/>
                <w:iCs/>
                <w:color w:val="000000"/>
              </w:rPr>
              <w:t xml:space="preserve">* </w:t>
            </w:r>
          </w:p>
          <w:p w14:paraId="1E34CA07" w14:textId="77777777" w:rsidR="00131C45" w:rsidRPr="00131C45" w:rsidRDefault="00131C45" w:rsidP="00131C45">
            <w:pPr>
              <w:spacing w:line="240" w:lineRule="auto"/>
              <w:rPr>
                <w:rFonts w:eastAsia="Times New Roman" w:cs="Arial"/>
                <w:i/>
                <w:iCs/>
                <w:color w:val="000000"/>
              </w:rPr>
            </w:pPr>
            <w:r w:rsidRPr="00131C45">
              <w:rPr>
                <w:rFonts w:eastAsia="Times New Roman" w:cs="Arial"/>
                <w:i/>
                <w:iCs/>
                <w:color w:val="000000"/>
                <w:lang w:val="en-US"/>
              </w:rPr>
              <w:t>Mycoplasma</w:t>
            </w:r>
            <w:r w:rsidRPr="00131C45">
              <w:rPr>
                <w:rFonts w:eastAsia="Times New Roman" w:cs="Arial"/>
                <w:i/>
                <w:iCs/>
                <w:color w:val="000000"/>
              </w:rPr>
              <w:t xml:space="preserve"> </w:t>
            </w:r>
            <w:proofErr w:type="spellStart"/>
            <w:r w:rsidRPr="00131C45">
              <w:rPr>
                <w:rFonts w:eastAsia="Times New Roman" w:cs="Arial"/>
                <w:i/>
                <w:iCs/>
                <w:color w:val="000000"/>
                <w:lang w:val="en-US"/>
              </w:rPr>
              <w:t>hominis</w:t>
            </w:r>
            <w:proofErr w:type="spellEnd"/>
            <w:r w:rsidRPr="00131C45">
              <w:rPr>
                <w:rFonts w:eastAsia="Times New Roman" w:cs="Arial"/>
                <w:i/>
                <w:iCs/>
                <w:color w:val="000000"/>
              </w:rPr>
              <w:t xml:space="preserve"> </w:t>
            </w:r>
          </w:p>
          <w:p w14:paraId="0AEFCEB0" w14:textId="177FD5AB" w:rsidR="00131C45" w:rsidRPr="00131C45" w:rsidRDefault="00131C45" w:rsidP="00131C45">
            <w:pPr>
              <w:spacing w:line="240" w:lineRule="auto"/>
              <w:rPr>
                <w:rFonts w:eastAsia="Times New Roman" w:cs="Arial"/>
              </w:rPr>
            </w:pPr>
            <w:proofErr w:type="spellStart"/>
            <w:r w:rsidRPr="00131C45">
              <w:rPr>
                <w:rFonts w:eastAsia="Times New Roman" w:cs="Arial"/>
                <w:i/>
                <w:iCs/>
                <w:color w:val="000000"/>
                <w:lang w:val="en-US"/>
              </w:rPr>
              <w:t>Ureaplasma</w:t>
            </w:r>
            <w:proofErr w:type="spellEnd"/>
            <w:r w:rsidRPr="00131C45">
              <w:rPr>
                <w:rFonts w:eastAsia="Times New Roman" w:cs="Arial"/>
                <w:i/>
                <w:iCs/>
                <w:color w:val="000000"/>
              </w:rPr>
              <w:t xml:space="preserve"> </w:t>
            </w:r>
            <w:proofErr w:type="spellStart"/>
            <w:r w:rsidRPr="00131C45">
              <w:rPr>
                <w:rFonts w:eastAsia="Times New Roman" w:cs="Arial"/>
                <w:i/>
                <w:iCs/>
                <w:color w:val="000000"/>
                <w:lang w:val="en-US"/>
              </w:rPr>
              <w:t>urealyticum</w:t>
            </w:r>
            <w:proofErr w:type="spellEnd"/>
          </w:p>
          <w:p w14:paraId="78F8978E" w14:textId="77777777" w:rsidR="00131C45" w:rsidRPr="00131C45" w:rsidRDefault="00131C45" w:rsidP="00131C45">
            <w:pPr>
              <w:rPr>
                <w:rFonts w:cs="Arial"/>
              </w:rPr>
            </w:pPr>
          </w:p>
        </w:tc>
      </w:tr>
      <w:tr w:rsidR="00131C45" w14:paraId="14188089" w14:textId="77777777" w:rsidTr="00131C45">
        <w:tc>
          <w:tcPr>
            <w:tcW w:w="9576" w:type="dxa"/>
          </w:tcPr>
          <w:p w14:paraId="34D6160B" w14:textId="010AFC88" w:rsidR="00131C45" w:rsidRPr="00131C45" w:rsidRDefault="00131C45" w:rsidP="00131C45">
            <w:pPr>
              <w:rPr>
                <w:rFonts w:cs="Arial"/>
              </w:rPr>
            </w:pPr>
            <w:r w:rsidRPr="00131C45">
              <w:rPr>
                <w:rFonts w:cs="Arial"/>
                <w:u w:val="single"/>
              </w:rPr>
              <w:lastRenderedPageBreak/>
              <w:t>Видове, при които придобитата резистентност може да се окаже проблем</w:t>
            </w:r>
          </w:p>
        </w:tc>
      </w:tr>
      <w:tr w:rsidR="00131C45" w14:paraId="44873BF6" w14:textId="77777777" w:rsidTr="00131C45">
        <w:tc>
          <w:tcPr>
            <w:tcW w:w="9576" w:type="dxa"/>
          </w:tcPr>
          <w:p w14:paraId="4BEF6420" w14:textId="77777777" w:rsidR="00131C45" w:rsidRPr="00131C45" w:rsidRDefault="00131C45" w:rsidP="00131C45">
            <w:pPr>
              <w:spacing w:line="240" w:lineRule="auto"/>
              <w:rPr>
                <w:rFonts w:eastAsia="Times New Roman" w:cs="Arial"/>
              </w:rPr>
            </w:pPr>
            <w:r w:rsidRPr="00131C45">
              <w:rPr>
                <w:rFonts w:eastAsia="Times New Roman" w:cs="Arial"/>
                <w:b/>
                <w:bCs/>
                <w:color w:val="000000"/>
                <w:u w:val="single"/>
                <w:lang w:eastAsia="bg-BG"/>
              </w:rPr>
              <w:t>Аеробни Грам-положителни бактерии</w:t>
            </w:r>
          </w:p>
          <w:p w14:paraId="39E10095" w14:textId="77777777" w:rsidR="00131C45" w:rsidRPr="00131C45" w:rsidRDefault="00131C45" w:rsidP="00131C45">
            <w:pPr>
              <w:spacing w:line="240" w:lineRule="auto"/>
              <w:rPr>
                <w:rFonts w:eastAsia="Times New Roman" w:cs="Arial"/>
              </w:rPr>
            </w:pPr>
            <w:r w:rsidRPr="00131C45">
              <w:rPr>
                <w:rFonts w:eastAsia="Times New Roman" w:cs="Arial"/>
                <w:i/>
                <w:iCs/>
                <w:color w:val="000000"/>
                <w:lang w:val="en-US"/>
              </w:rPr>
              <w:t>Enterococcus</w:t>
            </w:r>
            <w:r w:rsidRPr="00131C45">
              <w:rPr>
                <w:rFonts w:eastAsia="Times New Roman" w:cs="Arial"/>
                <w:i/>
                <w:iCs/>
                <w:color w:val="000000"/>
                <w:lang w:val="ru-RU"/>
              </w:rPr>
              <w:t xml:space="preserve"> </w:t>
            </w:r>
            <w:proofErr w:type="spellStart"/>
            <w:r w:rsidRPr="00131C45">
              <w:rPr>
                <w:rFonts w:eastAsia="Times New Roman" w:cs="Arial"/>
                <w:i/>
                <w:iCs/>
                <w:color w:val="000000"/>
                <w:lang w:val="en-US"/>
              </w:rPr>
              <w:t>faecalis</w:t>
            </w:r>
            <w:proofErr w:type="spellEnd"/>
            <w:r w:rsidRPr="00131C45">
              <w:rPr>
                <w:rFonts w:eastAsia="Times New Roman" w:cs="Arial"/>
                <w:i/>
                <w:iCs/>
                <w:color w:val="000000"/>
                <w:lang w:val="ru-RU"/>
              </w:rPr>
              <w:t>*</w:t>
            </w:r>
          </w:p>
          <w:p w14:paraId="07E02F9F" w14:textId="77777777" w:rsidR="00131C45" w:rsidRPr="00131C45" w:rsidRDefault="00131C45" w:rsidP="00131C45">
            <w:pPr>
              <w:spacing w:line="240" w:lineRule="auto"/>
              <w:rPr>
                <w:rFonts w:eastAsia="Times New Roman" w:cs="Arial"/>
              </w:rPr>
            </w:pPr>
            <w:r w:rsidRPr="00131C45">
              <w:rPr>
                <w:rFonts w:eastAsia="Times New Roman" w:cs="Arial"/>
                <w:i/>
                <w:iCs/>
                <w:color w:val="000000"/>
                <w:lang w:val="en-US"/>
              </w:rPr>
              <w:t>Staphylococcus</w:t>
            </w:r>
            <w:r w:rsidRPr="00131C45">
              <w:rPr>
                <w:rFonts w:eastAsia="Times New Roman" w:cs="Arial"/>
                <w:i/>
                <w:iCs/>
                <w:color w:val="000000"/>
              </w:rPr>
              <w:t xml:space="preserve"> </w:t>
            </w:r>
            <w:r w:rsidRPr="00131C45">
              <w:rPr>
                <w:rFonts w:eastAsia="Times New Roman" w:cs="Arial"/>
                <w:i/>
                <w:iCs/>
                <w:color w:val="000000"/>
                <w:lang w:val="en-US"/>
              </w:rPr>
              <w:t>aureus</w:t>
            </w:r>
            <w:r w:rsidRPr="00131C45">
              <w:rPr>
                <w:rFonts w:eastAsia="Times New Roman" w:cs="Arial"/>
                <w:color w:val="000000"/>
              </w:rPr>
              <w:t xml:space="preserve"> </w:t>
            </w:r>
            <w:r w:rsidRPr="00131C45">
              <w:rPr>
                <w:rFonts w:eastAsia="Times New Roman" w:cs="Arial"/>
                <w:color w:val="000000"/>
                <w:lang w:eastAsia="bg-BG"/>
              </w:rPr>
              <w:t>метицилин-резистентен</w:t>
            </w:r>
          </w:p>
          <w:p w14:paraId="0B07C7C3" w14:textId="6D6EC5E7" w:rsidR="00131C45" w:rsidRPr="00131C45" w:rsidRDefault="00131C45" w:rsidP="00131C45">
            <w:pPr>
              <w:spacing w:line="240" w:lineRule="auto"/>
              <w:rPr>
                <w:rFonts w:eastAsia="Times New Roman" w:cs="Arial"/>
              </w:rPr>
            </w:pPr>
            <w:r w:rsidRPr="00131C45">
              <w:rPr>
                <w:rFonts w:eastAsia="Times New Roman" w:cs="Arial"/>
                <w:color w:val="000000"/>
                <w:lang w:eastAsia="bg-BG"/>
              </w:rPr>
              <w:t xml:space="preserve">Коагулаза-негативен </w:t>
            </w:r>
            <w:r w:rsidRPr="00131C45">
              <w:rPr>
                <w:rFonts w:eastAsia="Times New Roman" w:cs="Arial"/>
                <w:i/>
                <w:iCs/>
                <w:color w:val="000000"/>
                <w:lang w:val="en-US"/>
              </w:rPr>
              <w:t>Staphylococcus</w:t>
            </w:r>
            <w:r w:rsidRPr="00131C45">
              <w:rPr>
                <w:rFonts w:eastAsia="Times New Roman" w:cs="Arial"/>
                <w:i/>
                <w:iCs/>
                <w:color w:val="000000"/>
              </w:rPr>
              <w:t xml:space="preserve"> </w:t>
            </w:r>
            <w:proofErr w:type="spellStart"/>
            <w:r w:rsidRPr="00131C45">
              <w:rPr>
                <w:rFonts w:eastAsia="Times New Roman" w:cs="Arial"/>
                <w:i/>
                <w:iCs/>
                <w:color w:val="000000"/>
                <w:lang w:val="en-US"/>
              </w:rPr>
              <w:t>spp</w:t>
            </w:r>
            <w:proofErr w:type="spellEnd"/>
          </w:p>
        </w:tc>
      </w:tr>
      <w:tr w:rsidR="00131C45" w14:paraId="07526DB2" w14:textId="77777777" w:rsidTr="00131C45">
        <w:tc>
          <w:tcPr>
            <w:tcW w:w="9576" w:type="dxa"/>
          </w:tcPr>
          <w:p w14:paraId="50A8B8EB" w14:textId="77777777" w:rsidR="00131C45" w:rsidRPr="00131C45" w:rsidRDefault="00131C45" w:rsidP="00131C45">
            <w:pPr>
              <w:spacing w:line="240" w:lineRule="auto"/>
              <w:rPr>
                <w:rFonts w:eastAsia="Times New Roman" w:cs="Arial"/>
              </w:rPr>
            </w:pPr>
            <w:r w:rsidRPr="00131C45">
              <w:rPr>
                <w:rFonts w:eastAsia="Times New Roman" w:cs="Arial"/>
                <w:b/>
                <w:bCs/>
                <w:color w:val="000000"/>
                <w:u w:val="single"/>
                <w:lang w:eastAsia="bg-BG"/>
              </w:rPr>
              <w:t>Аеробни Грам-отрипателни бактерии</w:t>
            </w:r>
          </w:p>
          <w:p w14:paraId="73CAF68B" w14:textId="77777777" w:rsidR="00131C45" w:rsidRPr="00131C45" w:rsidRDefault="00131C45" w:rsidP="00131C45">
            <w:pPr>
              <w:spacing w:line="240" w:lineRule="auto"/>
              <w:rPr>
                <w:rFonts w:eastAsia="Times New Roman" w:cs="Arial"/>
              </w:rPr>
            </w:pPr>
            <w:proofErr w:type="spellStart"/>
            <w:r w:rsidRPr="00131C45">
              <w:rPr>
                <w:rFonts w:eastAsia="Times New Roman" w:cs="Arial"/>
                <w:i/>
                <w:iCs/>
                <w:color w:val="000000"/>
                <w:lang w:val="en-US"/>
              </w:rPr>
              <w:t>Acinetobacter</w:t>
            </w:r>
            <w:proofErr w:type="spellEnd"/>
            <w:r w:rsidRPr="00131C45">
              <w:rPr>
                <w:rFonts w:eastAsia="Times New Roman" w:cs="Arial"/>
                <w:i/>
                <w:iCs/>
                <w:color w:val="000000"/>
              </w:rPr>
              <w:t xml:space="preserve"> </w:t>
            </w:r>
            <w:proofErr w:type="spellStart"/>
            <w:r w:rsidRPr="00131C45">
              <w:rPr>
                <w:rFonts w:eastAsia="Times New Roman" w:cs="Arial"/>
                <w:i/>
                <w:iCs/>
                <w:color w:val="000000"/>
                <w:lang w:val="en-US"/>
              </w:rPr>
              <w:t>baumannii</w:t>
            </w:r>
            <w:proofErr w:type="spellEnd"/>
            <w:r w:rsidRPr="00131C45">
              <w:rPr>
                <w:rFonts w:eastAsia="Times New Roman" w:cs="Arial"/>
                <w:i/>
                <w:iCs/>
                <w:color w:val="000000"/>
              </w:rPr>
              <w:t xml:space="preserve"> </w:t>
            </w:r>
            <w:r w:rsidRPr="00131C45">
              <w:rPr>
                <w:rFonts w:eastAsia="Times New Roman" w:cs="Arial"/>
                <w:i/>
                <w:iCs/>
                <w:color w:val="000000"/>
                <w:lang w:eastAsia="bg-BG"/>
              </w:rPr>
              <w:t>*</w:t>
            </w:r>
          </w:p>
          <w:p w14:paraId="4C613745"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Citrobacter</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freundii</w:t>
            </w:r>
            <w:proofErr w:type="spellEnd"/>
            <w:r w:rsidRPr="00131C45">
              <w:rPr>
                <w:rFonts w:eastAsia="Times New Roman" w:cs="Arial"/>
                <w:i/>
                <w:iCs/>
                <w:color w:val="000000"/>
                <w:lang w:val="en-US"/>
              </w:rPr>
              <w:t xml:space="preserve"> *</w:t>
            </w:r>
          </w:p>
          <w:p w14:paraId="489226CF"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Enterobacter</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aerogenes</w:t>
            </w:r>
            <w:proofErr w:type="spellEnd"/>
          </w:p>
          <w:p w14:paraId="29E7BDC0"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Enterobacter</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agglomerans</w:t>
            </w:r>
            <w:proofErr w:type="spellEnd"/>
          </w:p>
          <w:p w14:paraId="3A672D77"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Enterobacter</w:t>
            </w:r>
            <w:proofErr w:type="spellEnd"/>
            <w:r w:rsidRPr="00131C45">
              <w:rPr>
                <w:rFonts w:eastAsia="Times New Roman" w:cs="Arial"/>
                <w:i/>
                <w:iCs/>
                <w:color w:val="000000"/>
                <w:lang w:val="en-US"/>
              </w:rPr>
              <w:t xml:space="preserve"> cloacae *</w:t>
            </w:r>
          </w:p>
          <w:p w14:paraId="23480958" w14:textId="77777777" w:rsidR="00131C45" w:rsidRPr="00131C45" w:rsidRDefault="00131C45" w:rsidP="00131C45">
            <w:pPr>
              <w:spacing w:line="240" w:lineRule="auto"/>
              <w:rPr>
                <w:rFonts w:eastAsia="Times New Roman" w:cs="Arial"/>
                <w:lang w:val="en-US"/>
              </w:rPr>
            </w:pPr>
            <w:r w:rsidRPr="00131C45">
              <w:rPr>
                <w:rFonts w:eastAsia="Times New Roman" w:cs="Arial"/>
                <w:i/>
                <w:iCs/>
                <w:color w:val="000000"/>
                <w:lang w:val="en-US"/>
              </w:rPr>
              <w:t>Escherichia coli *</w:t>
            </w:r>
          </w:p>
          <w:p w14:paraId="1D9B4A04"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Morganella</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morganii</w:t>
            </w:r>
            <w:proofErr w:type="spellEnd"/>
            <w:r w:rsidRPr="00131C45">
              <w:rPr>
                <w:rFonts w:eastAsia="Times New Roman" w:cs="Arial"/>
                <w:i/>
                <w:iCs/>
                <w:color w:val="000000"/>
                <w:lang w:val="en-US"/>
              </w:rPr>
              <w:t xml:space="preserve"> *</w:t>
            </w:r>
          </w:p>
          <w:p w14:paraId="69733525" w14:textId="77777777" w:rsidR="00131C45" w:rsidRPr="00131C45" w:rsidRDefault="00131C45" w:rsidP="00131C45">
            <w:pPr>
              <w:spacing w:line="240" w:lineRule="auto"/>
              <w:rPr>
                <w:rFonts w:eastAsia="Times New Roman" w:cs="Arial"/>
                <w:lang w:val="en-US"/>
              </w:rPr>
            </w:pPr>
            <w:r w:rsidRPr="00131C45">
              <w:rPr>
                <w:rFonts w:eastAsia="Times New Roman" w:cs="Arial"/>
                <w:i/>
                <w:iCs/>
                <w:color w:val="000000"/>
                <w:lang w:val="en-US"/>
              </w:rPr>
              <w:t>Proteus mirabilis*</w:t>
            </w:r>
          </w:p>
          <w:p w14:paraId="03CAC767" w14:textId="77777777"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Providencia</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stuartii</w:t>
            </w:r>
            <w:proofErr w:type="spellEnd"/>
          </w:p>
          <w:p w14:paraId="155070AB" w14:textId="77777777" w:rsidR="00131C45" w:rsidRPr="00131C45" w:rsidRDefault="00131C45" w:rsidP="00131C45">
            <w:pPr>
              <w:spacing w:line="240" w:lineRule="auto"/>
              <w:rPr>
                <w:rFonts w:eastAsia="Times New Roman" w:cs="Arial"/>
                <w:lang w:val="en-US"/>
              </w:rPr>
            </w:pPr>
            <w:r w:rsidRPr="00131C45">
              <w:rPr>
                <w:rFonts w:eastAsia="Times New Roman" w:cs="Arial"/>
                <w:i/>
                <w:iCs/>
                <w:color w:val="000000"/>
                <w:lang w:val="en-US"/>
              </w:rPr>
              <w:t>Pseudomonas aeruginosa*</w:t>
            </w:r>
          </w:p>
          <w:p w14:paraId="13142815" w14:textId="6060E093"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Serratia</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marcescens</w:t>
            </w:r>
            <w:proofErr w:type="spellEnd"/>
            <w:r w:rsidRPr="00131C45">
              <w:rPr>
                <w:rFonts w:eastAsia="Times New Roman" w:cs="Arial"/>
                <w:i/>
                <w:iCs/>
                <w:color w:val="000000"/>
                <w:lang w:val="en-US"/>
              </w:rPr>
              <w:t>*</w:t>
            </w:r>
          </w:p>
        </w:tc>
      </w:tr>
      <w:tr w:rsidR="00131C45" w14:paraId="3F8E37B4" w14:textId="77777777" w:rsidTr="00131C45">
        <w:tc>
          <w:tcPr>
            <w:tcW w:w="9576" w:type="dxa"/>
          </w:tcPr>
          <w:p w14:paraId="2661AC3D" w14:textId="77777777" w:rsidR="00131C45" w:rsidRPr="00131C45" w:rsidRDefault="00131C45" w:rsidP="00131C45">
            <w:pPr>
              <w:spacing w:line="240" w:lineRule="auto"/>
              <w:rPr>
                <w:rFonts w:eastAsia="Times New Roman" w:cs="Arial"/>
                <w:lang w:val="en-US"/>
              </w:rPr>
            </w:pPr>
            <w:r w:rsidRPr="00131C45">
              <w:rPr>
                <w:rFonts w:eastAsia="Times New Roman" w:cs="Arial"/>
                <w:b/>
                <w:bCs/>
                <w:color w:val="000000"/>
                <w:u w:val="single"/>
                <w:lang w:eastAsia="bg-BG"/>
              </w:rPr>
              <w:t>Анаеробни бактерии</w:t>
            </w:r>
          </w:p>
          <w:p w14:paraId="004704C2" w14:textId="1F7DFE7E" w:rsidR="00131C45" w:rsidRPr="00131C45" w:rsidRDefault="00131C45" w:rsidP="00131C45">
            <w:pPr>
              <w:spacing w:line="240" w:lineRule="auto"/>
              <w:rPr>
                <w:rFonts w:eastAsia="Times New Roman" w:cs="Arial"/>
                <w:lang w:val="en-US"/>
              </w:rPr>
            </w:pPr>
            <w:proofErr w:type="spellStart"/>
            <w:r w:rsidRPr="00131C45">
              <w:rPr>
                <w:rFonts w:eastAsia="Times New Roman" w:cs="Arial"/>
                <w:i/>
                <w:iCs/>
                <w:color w:val="000000"/>
                <w:lang w:val="en-US"/>
              </w:rPr>
              <w:t>Bacteroides</w:t>
            </w:r>
            <w:proofErr w:type="spellEnd"/>
            <w:r w:rsidRPr="00131C45">
              <w:rPr>
                <w:rFonts w:eastAsia="Times New Roman" w:cs="Arial"/>
                <w:i/>
                <w:iCs/>
                <w:color w:val="000000"/>
                <w:lang w:val="en-US"/>
              </w:rPr>
              <w:t xml:space="preserve"> </w:t>
            </w:r>
            <w:proofErr w:type="spellStart"/>
            <w:r w:rsidRPr="00131C45">
              <w:rPr>
                <w:rFonts w:eastAsia="Times New Roman" w:cs="Arial"/>
                <w:i/>
                <w:iCs/>
                <w:color w:val="000000"/>
                <w:lang w:val="en-US"/>
              </w:rPr>
              <w:t>fragilis</w:t>
            </w:r>
            <w:proofErr w:type="spellEnd"/>
          </w:p>
        </w:tc>
      </w:tr>
      <w:tr w:rsidR="00131C45" w14:paraId="5214D71E" w14:textId="77777777" w:rsidTr="00131C45">
        <w:tc>
          <w:tcPr>
            <w:tcW w:w="9576" w:type="dxa"/>
          </w:tcPr>
          <w:p w14:paraId="4A00AEAE" w14:textId="77777777" w:rsidR="00131C45" w:rsidRPr="00131C45" w:rsidRDefault="00131C45" w:rsidP="00131C45">
            <w:pPr>
              <w:spacing w:line="240" w:lineRule="auto"/>
              <w:rPr>
                <w:rFonts w:eastAsia="Times New Roman" w:cs="Arial"/>
              </w:rPr>
            </w:pPr>
            <w:r w:rsidRPr="00131C45">
              <w:rPr>
                <w:rFonts w:eastAsia="Times New Roman" w:cs="Arial"/>
                <w:b/>
                <w:bCs/>
                <w:color w:val="000000"/>
                <w:lang w:eastAsia="bg-BG"/>
              </w:rPr>
              <w:t>Наследствено резистентни щамове</w:t>
            </w:r>
          </w:p>
          <w:p w14:paraId="173A22E7" w14:textId="77777777" w:rsidR="00131C45" w:rsidRPr="00131C45" w:rsidRDefault="00131C45" w:rsidP="00131C45">
            <w:pPr>
              <w:spacing w:line="240" w:lineRule="auto"/>
              <w:rPr>
                <w:rFonts w:eastAsia="Times New Roman" w:cs="Arial"/>
              </w:rPr>
            </w:pPr>
            <w:r w:rsidRPr="00131C45">
              <w:rPr>
                <w:rFonts w:eastAsia="Times New Roman" w:cs="Arial"/>
                <w:color w:val="000000"/>
                <w:lang w:eastAsia="bg-BG"/>
              </w:rPr>
              <w:t>Аеробни Грам-положителни бактерии</w:t>
            </w:r>
          </w:p>
          <w:p w14:paraId="4DFBDB31" w14:textId="2C59BBA8" w:rsidR="00131C45" w:rsidRPr="00131C45" w:rsidRDefault="00131C45" w:rsidP="00131C45">
            <w:pPr>
              <w:rPr>
                <w:rFonts w:cs="Arial"/>
              </w:rPr>
            </w:pPr>
            <w:r w:rsidRPr="00131C45">
              <w:rPr>
                <w:rFonts w:eastAsia="Times New Roman" w:cs="Arial"/>
                <w:color w:val="000000"/>
                <w:lang w:val="en-US"/>
              </w:rPr>
              <w:t xml:space="preserve">Enterococcus </w:t>
            </w:r>
            <w:proofErr w:type="spellStart"/>
            <w:r w:rsidRPr="00131C45">
              <w:rPr>
                <w:rFonts w:eastAsia="Times New Roman" w:cs="Arial"/>
                <w:color w:val="000000"/>
                <w:lang w:val="en-US"/>
              </w:rPr>
              <w:t>faecium</w:t>
            </w:r>
            <w:proofErr w:type="spellEnd"/>
          </w:p>
        </w:tc>
      </w:tr>
    </w:tbl>
    <w:p w14:paraId="480E04EA" w14:textId="7CAA8859" w:rsidR="00131C45" w:rsidRDefault="00131C45" w:rsidP="00131C45">
      <w:r w:rsidRPr="00131C45">
        <w:rPr>
          <w:sz w:val="20"/>
          <w:szCs w:val="20"/>
          <w:lang w:val="ru-RU"/>
        </w:rPr>
        <w:t>*</w:t>
      </w:r>
      <w:r w:rsidRPr="00131C45">
        <w:t>Много е вероятно метицилин-резистентни S</w:t>
      </w:r>
      <w:r w:rsidRPr="00131C45">
        <w:rPr>
          <w:lang w:val="ru-RU"/>
        </w:rPr>
        <w:t xml:space="preserve">. </w:t>
      </w:r>
      <w:r w:rsidRPr="00131C45">
        <w:t>aureus</w:t>
      </w:r>
      <w:r w:rsidRPr="00131C45">
        <w:rPr>
          <w:lang w:val="ru-RU"/>
        </w:rPr>
        <w:t xml:space="preserve"> </w:t>
      </w:r>
      <w:r w:rsidRPr="00131C45">
        <w:t>да имат корезистентност към флуорохинолони, включително левофлоксацин.</w:t>
      </w:r>
    </w:p>
    <w:p w14:paraId="063E239C" w14:textId="18E8CA67" w:rsidR="00131C45" w:rsidRPr="00131C45" w:rsidRDefault="00131C45" w:rsidP="00131C45"/>
    <w:p w14:paraId="35F84B81" w14:textId="35A983C5" w:rsidR="00CF77F7" w:rsidRDefault="002C50EE" w:rsidP="004A448E">
      <w:pPr>
        <w:pStyle w:val="Heading2"/>
      </w:pPr>
      <w:r>
        <w:t>5.2. Фармакокинетични свойства</w:t>
      </w:r>
    </w:p>
    <w:p w14:paraId="4330F8CE" w14:textId="48C5C150" w:rsidR="00131C45" w:rsidRDefault="00131C45" w:rsidP="00131C45"/>
    <w:p w14:paraId="564349CF" w14:textId="77777777" w:rsidR="00131C45" w:rsidRPr="00131C45" w:rsidRDefault="00131C45" w:rsidP="00131C45">
      <w:pPr>
        <w:pStyle w:val="Heading3"/>
        <w:rPr>
          <w:rFonts w:eastAsia="Times New Roman"/>
          <w:sz w:val="28"/>
          <w:u w:val="single"/>
        </w:rPr>
      </w:pPr>
      <w:r w:rsidRPr="00131C45">
        <w:rPr>
          <w:rFonts w:eastAsia="Times New Roman"/>
          <w:u w:val="single"/>
          <w:lang w:eastAsia="bg-BG"/>
        </w:rPr>
        <w:t>Абсорбция</w:t>
      </w:r>
    </w:p>
    <w:p w14:paraId="6E735C78"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Перорално приложеният левофлоксацин бързо и почти напълно се абсорбира, като пикови плазмени концентрации се достигат в рамките на 1 -2 часа. Абсолютната бионаличност е приблизително 99-100%. Приемането на храна има ограничено влияние върху резорбцията на левофлоксацина.</w:t>
      </w:r>
    </w:p>
    <w:p w14:paraId="5C28DACF" w14:textId="77777777" w:rsidR="00131C45" w:rsidRPr="00131C45" w:rsidRDefault="00131C45" w:rsidP="00131C45">
      <w:pPr>
        <w:spacing w:line="240" w:lineRule="auto"/>
        <w:rPr>
          <w:rFonts w:eastAsia="Times New Roman" w:cs="Arial"/>
          <w:color w:val="000000"/>
          <w:szCs w:val="20"/>
          <w:u w:val="single"/>
          <w:lang w:eastAsia="bg-BG"/>
        </w:rPr>
      </w:pPr>
    </w:p>
    <w:p w14:paraId="5AAF525E" w14:textId="70DCA813" w:rsidR="00131C45" w:rsidRPr="00131C45" w:rsidRDefault="00131C45" w:rsidP="00131C45">
      <w:pPr>
        <w:pStyle w:val="Heading3"/>
        <w:rPr>
          <w:rFonts w:eastAsia="Times New Roman"/>
          <w:sz w:val="28"/>
          <w:u w:val="single"/>
        </w:rPr>
      </w:pPr>
      <w:r w:rsidRPr="00131C45">
        <w:rPr>
          <w:rFonts w:eastAsia="Times New Roman"/>
          <w:u w:val="single"/>
          <w:lang w:eastAsia="bg-BG"/>
        </w:rPr>
        <w:t>Разпределение</w:t>
      </w:r>
    </w:p>
    <w:p w14:paraId="12F7B3D9"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Приблизително 30-40% от левофлоксацин се свързва със серумните протеини.</w:t>
      </w:r>
    </w:p>
    <w:p w14:paraId="43BB3B30"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Средният обем на разпределение на левофлоксацин е приблизително</w:t>
      </w:r>
    </w:p>
    <w:p w14:paraId="00DA727D"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 xml:space="preserve">1001 след еднократна и многократни дози от 500 </w:t>
      </w:r>
      <w:r w:rsidRPr="00131C45">
        <w:rPr>
          <w:rFonts w:eastAsia="Times New Roman" w:cs="Arial"/>
          <w:color w:val="000000"/>
          <w:szCs w:val="20"/>
          <w:lang w:val="en-US"/>
        </w:rPr>
        <w:t>mg</w:t>
      </w:r>
      <w:r w:rsidRPr="00131C45">
        <w:rPr>
          <w:rFonts w:eastAsia="Times New Roman" w:cs="Arial"/>
          <w:color w:val="000000"/>
          <w:szCs w:val="20"/>
          <w:lang w:val="ru-RU"/>
        </w:rPr>
        <w:t xml:space="preserve">, </w:t>
      </w:r>
      <w:r w:rsidRPr="00131C45">
        <w:rPr>
          <w:rFonts w:eastAsia="Times New Roman" w:cs="Arial"/>
          <w:color w:val="000000"/>
          <w:szCs w:val="20"/>
          <w:lang w:eastAsia="bg-BG"/>
        </w:rPr>
        <w:t>и показва широко разпределение в телесните тъкани.</w:t>
      </w:r>
    </w:p>
    <w:p w14:paraId="2B2B5B21" w14:textId="77777777" w:rsidR="00131C45" w:rsidRPr="00131C45" w:rsidRDefault="00131C45" w:rsidP="00131C45">
      <w:pPr>
        <w:spacing w:line="240" w:lineRule="auto"/>
        <w:rPr>
          <w:rFonts w:eastAsia="Times New Roman" w:cs="Arial"/>
          <w:color w:val="000000"/>
          <w:szCs w:val="20"/>
          <w:u w:val="single"/>
          <w:lang w:eastAsia="bg-BG"/>
        </w:rPr>
      </w:pPr>
    </w:p>
    <w:p w14:paraId="5766D4EA" w14:textId="265F256C"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u w:val="single"/>
          <w:lang w:eastAsia="bg-BG"/>
        </w:rPr>
        <w:t>Проникване в тъканите и телесните течности</w:t>
      </w:r>
    </w:p>
    <w:p w14:paraId="1F02F4FF"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lastRenderedPageBreak/>
        <w:t>Левофлоксацин прониква в бронхиалната лигавица, епителната покривна течност, алвеоларните макрофаги, белодробната тъкан, кожата (течността в мехурите), тъканта на простатата и урината.</w:t>
      </w:r>
    </w:p>
    <w:p w14:paraId="4F7D8D5D"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Обаче, левофлоксацин има незначително проникване в гръбначно-мозъчната течност.</w:t>
      </w:r>
    </w:p>
    <w:p w14:paraId="5FAB97F2" w14:textId="77777777" w:rsidR="00131C45" w:rsidRPr="00131C45" w:rsidRDefault="00131C45" w:rsidP="00131C45">
      <w:pPr>
        <w:spacing w:line="240" w:lineRule="auto"/>
        <w:rPr>
          <w:rFonts w:eastAsia="Times New Roman" w:cs="Arial"/>
          <w:color w:val="000000"/>
          <w:szCs w:val="20"/>
          <w:u w:val="single"/>
          <w:lang w:eastAsia="bg-BG"/>
        </w:rPr>
      </w:pPr>
    </w:p>
    <w:p w14:paraId="1EA50181" w14:textId="3953D1FD" w:rsidR="00131C45" w:rsidRPr="00131C45" w:rsidRDefault="00131C45" w:rsidP="00131C45">
      <w:pPr>
        <w:pStyle w:val="Heading3"/>
        <w:rPr>
          <w:rFonts w:eastAsia="Times New Roman"/>
          <w:sz w:val="28"/>
          <w:u w:val="single"/>
        </w:rPr>
      </w:pPr>
      <w:r w:rsidRPr="00131C45">
        <w:rPr>
          <w:rFonts w:eastAsia="Times New Roman"/>
          <w:u w:val="single"/>
          <w:lang w:eastAsia="bg-BG"/>
        </w:rPr>
        <w:t>Биотрансформация</w:t>
      </w:r>
    </w:p>
    <w:p w14:paraId="3B3767BD"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 xml:space="preserve">Левофлоксацин се метаболизира в много малка степен. Метаболитите дезметил-левофлоксацин и левофлоксацин </w:t>
      </w:r>
      <w:r w:rsidRPr="00131C45">
        <w:rPr>
          <w:rFonts w:eastAsia="Times New Roman" w:cs="Arial"/>
          <w:color w:val="000000"/>
          <w:szCs w:val="20"/>
          <w:lang w:val="en-US"/>
        </w:rPr>
        <w:t>N</w:t>
      </w:r>
      <w:r w:rsidRPr="00131C45">
        <w:rPr>
          <w:rFonts w:eastAsia="Times New Roman" w:cs="Arial"/>
          <w:color w:val="000000"/>
          <w:szCs w:val="20"/>
          <w:lang w:eastAsia="bg-BG"/>
        </w:rPr>
        <w:t>-оксид представляват &lt; 5% от дозата, която се екскретира в урината. Левофлоксацин е стереохимично стабилен и не подлежи на хирална инверсия.</w:t>
      </w:r>
    </w:p>
    <w:p w14:paraId="3F5529D1" w14:textId="77777777" w:rsidR="00131C45" w:rsidRPr="00131C45" w:rsidRDefault="00131C45" w:rsidP="00131C45">
      <w:pPr>
        <w:spacing w:line="240" w:lineRule="auto"/>
        <w:rPr>
          <w:rFonts w:eastAsia="Times New Roman" w:cs="Arial"/>
          <w:color w:val="000000"/>
          <w:szCs w:val="20"/>
          <w:u w:val="single"/>
          <w:lang w:eastAsia="bg-BG"/>
        </w:rPr>
      </w:pPr>
    </w:p>
    <w:p w14:paraId="57938823" w14:textId="54F1123A" w:rsidR="00131C45" w:rsidRPr="00131C45" w:rsidRDefault="00131C45" w:rsidP="00131C45">
      <w:pPr>
        <w:pStyle w:val="Heading3"/>
        <w:rPr>
          <w:rFonts w:eastAsia="Times New Roman"/>
          <w:sz w:val="28"/>
          <w:u w:val="single"/>
        </w:rPr>
      </w:pPr>
      <w:r w:rsidRPr="00131C45">
        <w:rPr>
          <w:rFonts w:eastAsia="Times New Roman"/>
          <w:u w:val="single"/>
          <w:lang w:eastAsia="bg-BG"/>
        </w:rPr>
        <w:t>Елиминиране</w:t>
      </w:r>
    </w:p>
    <w:p w14:paraId="51DA95AF"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 xml:space="preserve">След перорално и интравенозно прилагане, левофлоксацин се елиминира относително бавно от плазмата </w:t>
      </w:r>
      <w:r w:rsidRPr="00131C45">
        <w:rPr>
          <w:rFonts w:eastAsia="Times New Roman" w:cs="Arial"/>
          <w:color w:val="000000"/>
          <w:szCs w:val="20"/>
          <w:lang w:val="ru-RU"/>
        </w:rPr>
        <w:t>(</w:t>
      </w:r>
      <w:r w:rsidRPr="00131C45">
        <w:rPr>
          <w:rFonts w:eastAsia="Times New Roman" w:cs="Arial"/>
          <w:color w:val="000000"/>
          <w:szCs w:val="20"/>
          <w:lang w:val="en-US"/>
        </w:rPr>
        <w:t>t</w:t>
      </w:r>
      <w:r w:rsidRPr="00131C45">
        <w:rPr>
          <w:rFonts w:eastAsia="Times New Roman" w:cs="Arial"/>
          <w:color w:val="000000"/>
          <w:szCs w:val="20"/>
          <w:lang w:val="ru-RU"/>
        </w:rPr>
        <w:t xml:space="preserve"> </w:t>
      </w:r>
      <w:r w:rsidRPr="00131C45">
        <w:rPr>
          <w:rFonts w:eastAsia="Times New Roman" w:cs="Arial"/>
          <w:color w:val="000000"/>
          <w:szCs w:val="20"/>
          <w:vertAlign w:val="subscript"/>
          <w:lang w:val="ru-RU"/>
        </w:rPr>
        <w:t>1/2</w:t>
      </w:r>
      <w:r w:rsidRPr="00131C45">
        <w:rPr>
          <w:rFonts w:eastAsia="Times New Roman" w:cs="Arial"/>
          <w:color w:val="000000"/>
          <w:szCs w:val="20"/>
          <w:lang w:eastAsia="bg-BG"/>
        </w:rPr>
        <w:t>=6-8 часа). Екскрецията се извършва предимно чрез бъбреците (&gt; 85% от приложената доза).</w:t>
      </w:r>
    </w:p>
    <w:p w14:paraId="28C9CE18" w14:textId="77777777" w:rsidR="00131C45" w:rsidRPr="00131C45" w:rsidRDefault="00131C45" w:rsidP="00131C45">
      <w:pPr>
        <w:spacing w:line="240" w:lineRule="auto"/>
        <w:rPr>
          <w:rFonts w:eastAsia="Times New Roman" w:cs="Arial"/>
          <w:color w:val="000000"/>
          <w:szCs w:val="20"/>
          <w:lang w:eastAsia="bg-BG"/>
        </w:rPr>
      </w:pPr>
    </w:p>
    <w:p w14:paraId="49AD34CA" w14:textId="414C579C"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 xml:space="preserve">Средният привиден общ телесен клирънс на левофлоксацин след единична доза от 500 </w:t>
      </w:r>
      <w:r w:rsidRPr="00131C45">
        <w:rPr>
          <w:rFonts w:eastAsia="Times New Roman" w:cs="Arial"/>
          <w:color w:val="000000"/>
          <w:szCs w:val="20"/>
          <w:lang w:val="en-US"/>
        </w:rPr>
        <w:t>mg</w:t>
      </w:r>
      <w:r w:rsidRPr="00131C45">
        <w:rPr>
          <w:rFonts w:eastAsia="Times New Roman" w:cs="Arial"/>
          <w:color w:val="000000"/>
          <w:szCs w:val="20"/>
          <w:lang w:val="ru-RU"/>
        </w:rPr>
        <w:t xml:space="preserve"> </w:t>
      </w:r>
      <w:r w:rsidRPr="00131C45">
        <w:rPr>
          <w:rFonts w:eastAsia="Times New Roman" w:cs="Arial"/>
          <w:color w:val="000000"/>
          <w:szCs w:val="20"/>
          <w:lang w:eastAsia="bg-BG"/>
        </w:rPr>
        <w:t xml:space="preserve">е 175 +/-29.2 </w:t>
      </w:r>
      <w:r w:rsidRPr="00131C45">
        <w:rPr>
          <w:rFonts w:eastAsia="Times New Roman" w:cs="Arial"/>
          <w:color w:val="000000"/>
          <w:szCs w:val="20"/>
          <w:lang w:val="en-US"/>
        </w:rPr>
        <w:t>ml</w:t>
      </w:r>
      <w:r w:rsidRPr="00131C45">
        <w:rPr>
          <w:rFonts w:eastAsia="Times New Roman" w:cs="Arial"/>
          <w:color w:val="000000"/>
          <w:szCs w:val="20"/>
          <w:lang w:val="ru-RU"/>
        </w:rPr>
        <w:t xml:space="preserve">/ </w:t>
      </w:r>
      <w:r w:rsidRPr="00131C45">
        <w:rPr>
          <w:rFonts w:eastAsia="Times New Roman" w:cs="Arial"/>
          <w:color w:val="000000"/>
          <w:szCs w:val="20"/>
          <w:lang w:eastAsia="bg-BG"/>
        </w:rPr>
        <w:t>мин.</w:t>
      </w:r>
    </w:p>
    <w:p w14:paraId="331ED7DF" w14:textId="77777777" w:rsidR="00131C45" w:rsidRPr="00131C45" w:rsidRDefault="00131C45" w:rsidP="00131C45">
      <w:pPr>
        <w:spacing w:line="240" w:lineRule="auto"/>
        <w:rPr>
          <w:rFonts w:eastAsia="Times New Roman" w:cs="Arial"/>
          <w:color w:val="000000"/>
          <w:szCs w:val="20"/>
          <w:lang w:eastAsia="bg-BG"/>
        </w:rPr>
      </w:pPr>
    </w:p>
    <w:p w14:paraId="14CEF789" w14:textId="4B6314B9"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Няма съществени разлики във фармакокинетиката на левофлоксацин след интравенозно и перорално прилагане, което означава, че пероралният и интравенозният пътища са взаимозаменяеми.</w:t>
      </w:r>
    </w:p>
    <w:p w14:paraId="35A66450" w14:textId="77777777" w:rsidR="00131C45" w:rsidRPr="00131C45" w:rsidRDefault="00131C45" w:rsidP="00131C45">
      <w:pPr>
        <w:spacing w:line="240" w:lineRule="auto"/>
        <w:rPr>
          <w:rFonts w:eastAsia="Times New Roman" w:cs="Arial"/>
          <w:color w:val="000000"/>
          <w:szCs w:val="20"/>
          <w:u w:val="single"/>
          <w:lang w:eastAsia="bg-BG"/>
        </w:rPr>
      </w:pPr>
    </w:p>
    <w:p w14:paraId="62FB078D" w14:textId="4131FC3C" w:rsidR="00131C45" w:rsidRPr="00131C45" w:rsidRDefault="00131C45" w:rsidP="00131C45">
      <w:pPr>
        <w:pStyle w:val="Heading3"/>
        <w:rPr>
          <w:rFonts w:eastAsia="Times New Roman"/>
          <w:sz w:val="28"/>
          <w:u w:val="single"/>
        </w:rPr>
      </w:pPr>
      <w:r w:rsidRPr="00131C45">
        <w:rPr>
          <w:rFonts w:eastAsia="Times New Roman"/>
          <w:u w:val="single"/>
          <w:lang w:eastAsia="bg-BG"/>
        </w:rPr>
        <w:t>Линейност</w:t>
      </w:r>
    </w:p>
    <w:p w14:paraId="535DA2AF"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 xml:space="preserve">Левофлоксацин е подчинен на линеарна фармакокинетика при дози в обхвата от 50 до 1000 </w:t>
      </w:r>
      <w:r w:rsidRPr="00131C45">
        <w:rPr>
          <w:rFonts w:eastAsia="Times New Roman" w:cs="Arial"/>
          <w:color w:val="000000"/>
          <w:szCs w:val="20"/>
          <w:lang w:val="en-US"/>
        </w:rPr>
        <w:t>mg</w:t>
      </w:r>
      <w:r w:rsidRPr="00131C45">
        <w:rPr>
          <w:rFonts w:eastAsia="Times New Roman" w:cs="Arial"/>
          <w:color w:val="000000"/>
          <w:szCs w:val="20"/>
          <w:lang w:val="ru-RU"/>
        </w:rPr>
        <w:t>.</w:t>
      </w:r>
    </w:p>
    <w:p w14:paraId="1570F48E" w14:textId="77777777" w:rsidR="00131C45" w:rsidRPr="00131C45" w:rsidRDefault="00131C45" w:rsidP="00131C45">
      <w:pPr>
        <w:spacing w:line="240" w:lineRule="auto"/>
        <w:rPr>
          <w:rFonts w:eastAsia="Times New Roman" w:cs="Arial"/>
          <w:color w:val="000000"/>
          <w:szCs w:val="20"/>
          <w:u w:val="single"/>
          <w:lang w:eastAsia="bg-BG"/>
        </w:rPr>
      </w:pPr>
    </w:p>
    <w:p w14:paraId="4A36F415" w14:textId="60F44110"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u w:val="single"/>
          <w:lang w:eastAsia="bg-BG"/>
        </w:rPr>
        <w:t>Специални популапиии</w:t>
      </w:r>
    </w:p>
    <w:p w14:paraId="393EA1AC" w14:textId="77777777" w:rsidR="00131C45" w:rsidRPr="00131C45" w:rsidRDefault="00131C45" w:rsidP="00131C45">
      <w:pPr>
        <w:spacing w:line="240" w:lineRule="auto"/>
        <w:rPr>
          <w:rFonts w:eastAsia="Times New Roman" w:cs="Arial"/>
          <w:sz w:val="28"/>
          <w:szCs w:val="24"/>
        </w:rPr>
      </w:pPr>
      <w:r w:rsidRPr="00131C45">
        <w:rPr>
          <w:rFonts w:eastAsia="Times New Roman" w:cs="Arial"/>
          <w:i/>
          <w:iCs/>
          <w:color w:val="000000"/>
          <w:szCs w:val="20"/>
          <w:lang w:eastAsia="bg-BG"/>
        </w:rPr>
        <w:t>Лица с бъбречна недостатъчност</w:t>
      </w:r>
    </w:p>
    <w:p w14:paraId="32CD075F"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Фармакокинетиката на левофлоксацин се влияе от бъбречни увреждания. С понижаване на бъбречната функция, бъбречната елиминация и клирънс се понижават, а елиминационните полуживоти се удължават според следващата таблица:</w:t>
      </w:r>
    </w:p>
    <w:p w14:paraId="4BB00A1E" w14:textId="77777777" w:rsidR="00131C45" w:rsidRPr="00131C45" w:rsidRDefault="00131C45" w:rsidP="00131C45">
      <w:pPr>
        <w:rPr>
          <w:rFonts w:eastAsia="Times New Roman" w:cs="Arial"/>
          <w:color w:val="000000"/>
          <w:szCs w:val="20"/>
          <w:lang w:eastAsia="bg-BG"/>
        </w:rPr>
      </w:pPr>
    </w:p>
    <w:p w14:paraId="65960908" w14:textId="0B524A94" w:rsidR="00131C45" w:rsidRDefault="00131C45" w:rsidP="00131C45">
      <w:pPr>
        <w:rPr>
          <w:rFonts w:eastAsia="Times New Roman" w:cs="Arial"/>
          <w:color w:val="000000"/>
          <w:szCs w:val="20"/>
          <w:lang w:val="ru-RU"/>
        </w:rPr>
      </w:pPr>
      <w:r w:rsidRPr="00131C45">
        <w:rPr>
          <w:rFonts w:eastAsia="Times New Roman" w:cs="Arial"/>
          <w:color w:val="000000"/>
          <w:szCs w:val="20"/>
          <w:lang w:eastAsia="bg-BG"/>
        </w:rPr>
        <w:t xml:space="preserve">Фармакокинетика при бъбречна недостатъчност след единична перорална доза от 500 </w:t>
      </w:r>
      <w:r w:rsidRPr="00131C45">
        <w:rPr>
          <w:rFonts w:eastAsia="Times New Roman" w:cs="Arial"/>
          <w:color w:val="000000"/>
          <w:szCs w:val="20"/>
          <w:lang w:val="en-US"/>
        </w:rPr>
        <w:t>mg</w:t>
      </w:r>
      <w:r w:rsidRPr="00131C45">
        <w:rPr>
          <w:rFonts w:eastAsia="Times New Roman" w:cs="Arial"/>
          <w:color w:val="000000"/>
          <w:szCs w:val="20"/>
          <w:lang w:val="ru-RU"/>
        </w:rPr>
        <w:t>:</w:t>
      </w:r>
    </w:p>
    <w:tbl>
      <w:tblPr>
        <w:tblStyle w:val="TableGrid"/>
        <w:tblW w:w="0" w:type="auto"/>
        <w:tblLook w:val="04A0" w:firstRow="1" w:lastRow="0" w:firstColumn="1" w:lastColumn="0" w:noHBand="0" w:noVBand="1"/>
      </w:tblPr>
      <w:tblGrid>
        <w:gridCol w:w="2349"/>
        <w:gridCol w:w="2335"/>
        <w:gridCol w:w="2333"/>
        <w:gridCol w:w="2333"/>
      </w:tblGrid>
      <w:tr w:rsidR="00131C45" w14:paraId="58E1B499" w14:textId="77777777" w:rsidTr="00131C45">
        <w:tc>
          <w:tcPr>
            <w:tcW w:w="2394" w:type="dxa"/>
          </w:tcPr>
          <w:p w14:paraId="03730CCD" w14:textId="304DDA62" w:rsidR="00131C45" w:rsidRPr="00131C45" w:rsidRDefault="00131C45" w:rsidP="00131C45">
            <w:pPr>
              <w:rPr>
                <w:rFonts w:ascii="Times New Roman" w:eastAsia="Times New Roman" w:hAnsi="Times New Roman" w:cs="Times New Roman"/>
                <w:color w:val="000000"/>
                <w:szCs w:val="20"/>
                <w:lang w:val="ru-RU"/>
              </w:rPr>
            </w:pPr>
            <w:r w:rsidRPr="00131C45">
              <w:rPr>
                <w:szCs w:val="20"/>
              </w:rPr>
              <w:t>CIcR (ml/min)</w:t>
            </w:r>
          </w:p>
        </w:tc>
        <w:tc>
          <w:tcPr>
            <w:tcW w:w="2394" w:type="dxa"/>
          </w:tcPr>
          <w:p w14:paraId="6FBEC58C" w14:textId="35BF9D65" w:rsidR="00131C45" w:rsidRPr="00131C45" w:rsidRDefault="00131C45" w:rsidP="00131C45">
            <w:pPr>
              <w:rPr>
                <w:rFonts w:ascii="Times New Roman" w:eastAsia="Times New Roman" w:hAnsi="Times New Roman" w:cs="Times New Roman"/>
                <w:color w:val="000000"/>
                <w:szCs w:val="20"/>
                <w:lang w:val="ru-RU"/>
              </w:rPr>
            </w:pPr>
            <w:r w:rsidRPr="00131C45">
              <w:rPr>
                <w:szCs w:val="20"/>
              </w:rPr>
              <w:t>&lt;20</w:t>
            </w:r>
          </w:p>
        </w:tc>
        <w:tc>
          <w:tcPr>
            <w:tcW w:w="2394" w:type="dxa"/>
          </w:tcPr>
          <w:p w14:paraId="04AD8B17" w14:textId="13060396" w:rsidR="00131C45" w:rsidRPr="00131C45" w:rsidRDefault="00131C45" w:rsidP="00131C45">
            <w:pPr>
              <w:rPr>
                <w:rFonts w:ascii="Times New Roman" w:eastAsia="Times New Roman" w:hAnsi="Times New Roman" w:cs="Times New Roman"/>
                <w:color w:val="000000"/>
                <w:szCs w:val="20"/>
                <w:lang w:val="ru-RU"/>
              </w:rPr>
            </w:pPr>
            <w:r w:rsidRPr="00131C45">
              <w:rPr>
                <w:szCs w:val="20"/>
              </w:rPr>
              <w:t>20-49</w:t>
            </w:r>
          </w:p>
        </w:tc>
        <w:tc>
          <w:tcPr>
            <w:tcW w:w="2394" w:type="dxa"/>
          </w:tcPr>
          <w:p w14:paraId="10BDB552" w14:textId="68C44770" w:rsidR="00131C45" w:rsidRPr="00131C45" w:rsidRDefault="00131C45" w:rsidP="00131C45">
            <w:pPr>
              <w:rPr>
                <w:rFonts w:ascii="Times New Roman" w:eastAsia="Times New Roman" w:hAnsi="Times New Roman" w:cs="Times New Roman"/>
                <w:color w:val="000000"/>
                <w:szCs w:val="20"/>
                <w:lang w:val="ru-RU"/>
              </w:rPr>
            </w:pPr>
            <w:r w:rsidRPr="00131C45">
              <w:rPr>
                <w:szCs w:val="20"/>
              </w:rPr>
              <w:t>50-80</w:t>
            </w:r>
          </w:p>
        </w:tc>
      </w:tr>
      <w:tr w:rsidR="00131C45" w14:paraId="08C632E7" w14:textId="77777777" w:rsidTr="00131C45">
        <w:tc>
          <w:tcPr>
            <w:tcW w:w="2394" w:type="dxa"/>
          </w:tcPr>
          <w:p w14:paraId="65DA390E" w14:textId="4CF58B7F" w:rsidR="00131C45" w:rsidRPr="00131C45" w:rsidRDefault="00131C45" w:rsidP="00131C45">
            <w:pPr>
              <w:rPr>
                <w:rFonts w:ascii="Times New Roman" w:eastAsia="Times New Roman" w:hAnsi="Times New Roman" w:cs="Times New Roman"/>
                <w:color w:val="000000"/>
                <w:szCs w:val="20"/>
                <w:lang w:val="ru-RU"/>
              </w:rPr>
            </w:pPr>
            <w:r w:rsidRPr="00131C45">
              <w:rPr>
                <w:smallCaps/>
                <w:szCs w:val="20"/>
              </w:rPr>
              <w:t>C1</w:t>
            </w:r>
            <w:r w:rsidRPr="00131C45">
              <w:rPr>
                <w:smallCaps/>
                <w:szCs w:val="20"/>
                <w:vertAlign w:val="subscript"/>
              </w:rPr>
              <w:t>r</w:t>
            </w:r>
            <w:r w:rsidRPr="00131C45">
              <w:rPr>
                <w:szCs w:val="20"/>
              </w:rPr>
              <w:t xml:space="preserve"> (ml/min)</w:t>
            </w:r>
          </w:p>
        </w:tc>
        <w:tc>
          <w:tcPr>
            <w:tcW w:w="2394" w:type="dxa"/>
          </w:tcPr>
          <w:p w14:paraId="7FCBC85E" w14:textId="02F571FD" w:rsidR="00131C45" w:rsidRPr="00131C45" w:rsidRDefault="00131C45" w:rsidP="00131C45">
            <w:pPr>
              <w:rPr>
                <w:rFonts w:ascii="Times New Roman" w:eastAsia="Times New Roman" w:hAnsi="Times New Roman" w:cs="Times New Roman"/>
                <w:color w:val="000000"/>
                <w:szCs w:val="20"/>
                <w:lang w:val="ru-RU"/>
              </w:rPr>
            </w:pPr>
            <w:r w:rsidRPr="00131C45">
              <w:rPr>
                <w:szCs w:val="20"/>
              </w:rPr>
              <w:t>13</w:t>
            </w:r>
          </w:p>
        </w:tc>
        <w:tc>
          <w:tcPr>
            <w:tcW w:w="2394" w:type="dxa"/>
          </w:tcPr>
          <w:p w14:paraId="47D2A8C5" w14:textId="1D22AB23" w:rsidR="00131C45" w:rsidRPr="00131C45" w:rsidRDefault="00131C45" w:rsidP="00131C45">
            <w:pPr>
              <w:rPr>
                <w:rFonts w:ascii="Times New Roman" w:eastAsia="Times New Roman" w:hAnsi="Times New Roman" w:cs="Times New Roman"/>
                <w:color w:val="000000"/>
                <w:szCs w:val="20"/>
                <w:lang w:val="ru-RU"/>
              </w:rPr>
            </w:pPr>
            <w:r w:rsidRPr="00131C45">
              <w:rPr>
                <w:szCs w:val="20"/>
              </w:rPr>
              <w:t>26</w:t>
            </w:r>
          </w:p>
        </w:tc>
        <w:tc>
          <w:tcPr>
            <w:tcW w:w="2394" w:type="dxa"/>
          </w:tcPr>
          <w:p w14:paraId="77A179AF" w14:textId="560C2858" w:rsidR="00131C45" w:rsidRPr="00131C45" w:rsidRDefault="00131C45" w:rsidP="00131C45">
            <w:pPr>
              <w:rPr>
                <w:rFonts w:ascii="Times New Roman" w:eastAsia="Times New Roman" w:hAnsi="Times New Roman" w:cs="Times New Roman"/>
                <w:color w:val="000000"/>
                <w:szCs w:val="20"/>
                <w:lang w:val="ru-RU"/>
              </w:rPr>
            </w:pPr>
            <w:r w:rsidRPr="00131C45">
              <w:rPr>
                <w:szCs w:val="20"/>
              </w:rPr>
              <w:t>57</w:t>
            </w:r>
          </w:p>
        </w:tc>
      </w:tr>
      <w:tr w:rsidR="00131C45" w14:paraId="74AB75D3" w14:textId="77777777" w:rsidTr="00286400">
        <w:tc>
          <w:tcPr>
            <w:tcW w:w="2394" w:type="dxa"/>
          </w:tcPr>
          <w:p w14:paraId="369B7301" w14:textId="2B74A584" w:rsidR="00131C45" w:rsidRPr="00131C45" w:rsidRDefault="00131C45" w:rsidP="00131C45">
            <w:pPr>
              <w:rPr>
                <w:rFonts w:ascii="Times New Roman" w:eastAsia="Times New Roman" w:hAnsi="Times New Roman" w:cs="Times New Roman"/>
                <w:color w:val="000000"/>
                <w:szCs w:val="20"/>
                <w:lang w:val="ru-RU"/>
              </w:rPr>
            </w:pPr>
            <w:r w:rsidRPr="00131C45">
              <w:rPr>
                <w:szCs w:val="20"/>
              </w:rPr>
              <w:t>T</w:t>
            </w:r>
            <w:r w:rsidRPr="00131C45">
              <w:rPr>
                <w:szCs w:val="20"/>
                <w:vertAlign w:val="subscript"/>
              </w:rPr>
              <w:t>1/2</w:t>
            </w:r>
            <w:r w:rsidRPr="00131C45">
              <w:rPr>
                <w:szCs w:val="20"/>
              </w:rPr>
              <w:t>(h)</w:t>
            </w:r>
          </w:p>
        </w:tc>
        <w:tc>
          <w:tcPr>
            <w:tcW w:w="2394" w:type="dxa"/>
          </w:tcPr>
          <w:p w14:paraId="0497B1DA" w14:textId="34FE81DC" w:rsidR="00131C45" w:rsidRPr="00131C45" w:rsidRDefault="00131C45" w:rsidP="00131C45">
            <w:pPr>
              <w:rPr>
                <w:rFonts w:ascii="Times New Roman" w:eastAsia="Times New Roman" w:hAnsi="Times New Roman" w:cs="Times New Roman"/>
                <w:color w:val="000000"/>
                <w:szCs w:val="20"/>
                <w:lang w:val="ru-RU"/>
              </w:rPr>
            </w:pPr>
            <w:r w:rsidRPr="00131C45">
              <w:rPr>
                <w:szCs w:val="20"/>
              </w:rPr>
              <w:t>35</w:t>
            </w:r>
          </w:p>
        </w:tc>
        <w:tc>
          <w:tcPr>
            <w:tcW w:w="2394" w:type="dxa"/>
          </w:tcPr>
          <w:p w14:paraId="4A8EAC6C" w14:textId="22C8A4A6" w:rsidR="00131C45" w:rsidRPr="00131C45" w:rsidRDefault="00131C45" w:rsidP="00131C45">
            <w:pPr>
              <w:rPr>
                <w:rFonts w:ascii="Times New Roman" w:eastAsia="Times New Roman" w:hAnsi="Times New Roman" w:cs="Times New Roman"/>
                <w:color w:val="000000"/>
                <w:szCs w:val="20"/>
                <w:lang w:val="ru-RU"/>
              </w:rPr>
            </w:pPr>
            <w:r w:rsidRPr="00131C45">
              <w:rPr>
                <w:szCs w:val="20"/>
              </w:rPr>
              <w:t>27</w:t>
            </w:r>
          </w:p>
        </w:tc>
        <w:tc>
          <w:tcPr>
            <w:tcW w:w="2394" w:type="dxa"/>
            <w:vAlign w:val="bottom"/>
          </w:tcPr>
          <w:p w14:paraId="5E7975DD" w14:textId="066131F9" w:rsidR="00131C45" w:rsidRPr="00131C45" w:rsidRDefault="00131C45" w:rsidP="00131C45">
            <w:pPr>
              <w:rPr>
                <w:rFonts w:ascii="Times New Roman" w:eastAsia="Times New Roman" w:hAnsi="Times New Roman" w:cs="Times New Roman"/>
                <w:color w:val="000000"/>
                <w:szCs w:val="20"/>
                <w:lang w:val="ru-RU"/>
              </w:rPr>
            </w:pPr>
            <w:r w:rsidRPr="00131C45">
              <w:rPr>
                <w:szCs w:val="28"/>
                <w:vertAlign w:val="superscript"/>
              </w:rPr>
              <w:t>9</w:t>
            </w:r>
          </w:p>
        </w:tc>
      </w:tr>
    </w:tbl>
    <w:p w14:paraId="34A29158" w14:textId="0A44EA8E"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Няма значителни разлики в кинетиката на левофлоксацин между млади и възрастни индивиди, с изключение на тези свързани с разликите в креатининовия клирънс.</w:t>
      </w:r>
    </w:p>
    <w:p w14:paraId="73747CBD" w14:textId="77777777" w:rsidR="00131C45" w:rsidRPr="00131C45" w:rsidRDefault="00131C45" w:rsidP="00131C45">
      <w:pPr>
        <w:spacing w:line="240" w:lineRule="auto"/>
        <w:rPr>
          <w:rFonts w:eastAsia="Times New Roman" w:cs="Arial"/>
          <w:color w:val="000000"/>
          <w:szCs w:val="20"/>
          <w:u w:val="single"/>
          <w:lang w:eastAsia="bg-BG"/>
        </w:rPr>
      </w:pPr>
    </w:p>
    <w:p w14:paraId="5BAEB96E" w14:textId="520A6293"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u w:val="single"/>
          <w:lang w:eastAsia="bg-BG"/>
        </w:rPr>
        <w:t>Полови разлики</w:t>
      </w:r>
    </w:p>
    <w:p w14:paraId="5D0C02BF" w14:textId="4AC5F00F" w:rsidR="00131C45" w:rsidRDefault="00131C45" w:rsidP="00131C45">
      <w:pPr>
        <w:rPr>
          <w:rFonts w:eastAsia="Times New Roman" w:cs="Arial"/>
          <w:color w:val="000000"/>
          <w:szCs w:val="20"/>
          <w:lang w:eastAsia="bg-BG"/>
        </w:rPr>
      </w:pPr>
      <w:r w:rsidRPr="00131C45">
        <w:rPr>
          <w:rFonts w:eastAsia="Times New Roman" w:cs="Arial"/>
          <w:color w:val="000000"/>
          <w:szCs w:val="20"/>
          <w:lang w:eastAsia="bg-BG"/>
        </w:rPr>
        <w:t>Отделните анализи при мъже и жени показват малки до гранични полови разлики във фармакокинетиката на левофлоксацин. Няма данни тези полови разлики да са от клинично значение.</w:t>
      </w:r>
    </w:p>
    <w:p w14:paraId="269747AE" w14:textId="77777777" w:rsidR="00131C45" w:rsidRPr="00131C45" w:rsidRDefault="00131C45" w:rsidP="00131C45">
      <w:pPr>
        <w:rPr>
          <w:rFonts w:cs="Arial"/>
          <w:sz w:val="24"/>
          <w:lang w:val="ru-RU"/>
        </w:rPr>
      </w:pPr>
    </w:p>
    <w:p w14:paraId="648E39DA" w14:textId="10E70F33" w:rsidR="00CF77F7" w:rsidRDefault="002C50EE" w:rsidP="004A448E">
      <w:pPr>
        <w:pStyle w:val="Heading2"/>
      </w:pPr>
      <w:r>
        <w:t>5.3. Предклинични данни за безопасност</w:t>
      </w:r>
    </w:p>
    <w:p w14:paraId="0B3EC131" w14:textId="018627FB" w:rsidR="00131C45" w:rsidRDefault="00131C45" w:rsidP="00131C45"/>
    <w:p w14:paraId="74B19A84" w14:textId="77777777"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lastRenderedPageBreak/>
        <w:t>Неклиничните данни не показват особен риск за хора на базата на конвенционалните фармакологични проучвания за токсичност на единична доза и при многократно прилагане, канцерогенен потенциал, репродуктивна токсичност и токсичност на развитието.</w:t>
      </w:r>
    </w:p>
    <w:p w14:paraId="6F31BCAC" w14:textId="77777777" w:rsidR="00131C45" w:rsidRPr="00131C45" w:rsidRDefault="00131C45" w:rsidP="00131C45">
      <w:pPr>
        <w:spacing w:line="240" w:lineRule="auto"/>
        <w:rPr>
          <w:rFonts w:eastAsia="Times New Roman" w:cs="Arial"/>
          <w:color w:val="000000"/>
          <w:szCs w:val="20"/>
          <w:lang w:eastAsia="bg-BG"/>
        </w:rPr>
      </w:pPr>
    </w:p>
    <w:p w14:paraId="5C81BB94" w14:textId="5E940286"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Левофлоксацин не предизвиква нарушение на фертилитета или репродуктивната способност при плъхове и неговия единствен ефект върху плода е забавено съзряване вследствие на токсичност при майката.</w:t>
      </w:r>
    </w:p>
    <w:p w14:paraId="3935C359" w14:textId="77777777" w:rsidR="00131C45" w:rsidRPr="00131C45" w:rsidRDefault="00131C45" w:rsidP="00131C45">
      <w:pPr>
        <w:spacing w:line="240" w:lineRule="auto"/>
        <w:rPr>
          <w:rFonts w:eastAsia="Times New Roman" w:cs="Arial"/>
          <w:color w:val="000000"/>
          <w:szCs w:val="20"/>
          <w:lang w:eastAsia="bg-BG"/>
        </w:rPr>
      </w:pPr>
    </w:p>
    <w:p w14:paraId="7805FFE5" w14:textId="04B1EF4B"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 xml:space="preserve">Левофлоксацин не индуцира генни мутации в бактериалните клетки или клетки на бозайници, но индуцира хромозомни аберации в белодробни клетки от китайски хамстер ин витро. Тези ефекти може да се дължат на инхибирането на топоизомераза </w:t>
      </w:r>
      <w:r w:rsidRPr="00131C45">
        <w:rPr>
          <w:rFonts w:eastAsia="Times New Roman" w:cs="Arial"/>
          <w:color w:val="000000"/>
          <w:szCs w:val="20"/>
          <w:lang w:val="en-US"/>
        </w:rPr>
        <w:t>II</w:t>
      </w:r>
      <w:r w:rsidRPr="00131C45">
        <w:rPr>
          <w:rFonts w:eastAsia="Times New Roman" w:cs="Arial"/>
          <w:color w:val="000000"/>
          <w:szCs w:val="20"/>
          <w:lang w:val="ru-RU"/>
        </w:rPr>
        <w:t xml:space="preserve">. </w:t>
      </w:r>
      <w:r w:rsidRPr="00131C45">
        <w:rPr>
          <w:rFonts w:eastAsia="Times New Roman" w:cs="Arial"/>
          <w:i/>
          <w:iCs/>
          <w:color w:val="000000"/>
          <w:szCs w:val="20"/>
          <w:lang w:val="en-US"/>
        </w:rPr>
        <w:t>In</w:t>
      </w:r>
      <w:r w:rsidRPr="00131C45">
        <w:rPr>
          <w:rFonts w:eastAsia="Times New Roman" w:cs="Arial"/>
          <w:i/>
          <w:iCs/>
          <w:color w:val="000000"/>
          <w:szCs w:val="20"/>
          <w:lang w:val="ru-RU"/>
        </w:rPr>
        <w:t xml:space="preserve"> </w:t>
      </w:r>
      <w:r w:rsidRPr="00131C45">
        <w:rPr>
          <w:rFonts w:eastAsia="Times New Roman" w:cs="Arial"/>
          <w:i/>
          <w:iCs/>
          <w:color w:val="000000"/>
          <w:szCs w:val="20"/>
          <w:lang w:val="en-US"/>
        </w:rPr>
        <w:t>vitro</w:t>
      </w:r>
      <w:r w:rsidRPr="00131C45">
        <w:rPr>
          <w:rFonts w:eastAsia="Times New Roman" w:cs="Arial"/>
          <w:color w:val="000000"/>
          <w:szCs w:val="20"/>
          <w:lang w:val="ru-RU"/>
        </w:rPr>
        <w:t xml:space="preserve"> </w:t>
      </w:r>
      <w:r w:rsidRPr="00131C45">
        <w:rPr>
          <w:rFonts w:eastAsia="Times New Roman" w:cs="Arial"/>
          <w:color w:val="000000"/>
          <w:szCs w:val="20"/>
          <w:lang w:eastAsia="bg-BG"/>
        </w:rPr>
        <w:t>тестове (микронуклеарни, размяна на сестрински хроматиди, непредвиден синтез на ДНК, доминантни летални тестове) не показват никакъв генотоксичен потенциал.</w:t>
      </w:r>
    </w:p>
    <w:p w14:paraId="0A9EAF26" w14:textId="77777777" w:rsidR="00131C45" w:rsidRPr="00131C45" w:rsidRDefault="00131C45" w:rsidP="00131C45">
      <w:pPr>
        <w:spacing w:line="240" w:lineRule="auto"/>
        <w:rPr>
          <w:rFonts w:eastAsia="Times New Roman" w:cs="Arial"/>
          <w:color w:val="000000"/>
          <w:szCs w:val="20"/>
          <w:lang w:eastAsia="bg-BG"/>
        </w:rPr>
      </w:pPr>
    </w:p>
    <w:p w14:paraId="1936D9F2" w14:textId="6C761F61"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Проучванията при мишки показват, че левофлоксацин има фототоксична активност само при много високи дози. Левофлоксацин не показва никакъв генотоксичен потенциал при теста за фотомутагенност и намалява туморното развитие при проучване за фотоканцерогенност.</w:t>
      </w:r>
    </w:p>
    <w:p w14:paraId="3EC025C7" w14:textId="77777777" w:rsidR="00131C45" w:rsidRPr="00131C45" w:rsidRDefault="00131C45" w:rsidP="00131C45">
      <w:pPr>
        <w:spacing w:line="240" w:lineRule="auto"/>
        <w:rPr>
          <w:rFonts w:eastAsia="Times New Roman" w:cs="Arial"/>
          <w:color w:val="000000"/>
          <w:szCs w:val="20"/>
          <w:lang w:eastAsia="bg-BG"/>
        </w:rPr>
      </w:pPr>
    </w:p>
    <w:p w14:paraId="6853E62A" w14:textId="75B1BD82" w:rsidR="00131C45" w:rsidRPr="00131C45" w:rsidRDefault="00131C45" w:rsidP="00131C45">
      <w:pPr>
        <w:spacing w:line="240" w:lineRule="auto"/>
        <w:rPr>
          <w:rFonts w:eastAsia="Times New Roman" w:cs="Arial"/>
          <w:sz w:val="28"/>
          <w:szCs w:val="24"/>
        </w:rPr>
      </w:pPr>
      <w:r w:rsidRPr="00131C45">
        <w:rPr>
          <w:rFonts w:eastAsia="Times New Roman" w:cs="Arial"/>
          <w:color w:val="000000"/>
          <w:szCs w:val="20"/>
          <w:lang w:eastAsia="bg-BG"/>
        </w:rPr>
        <w:t>Както при другите флуорохинолони, левофлоксацин показва ефекти върху хрущялите (отлепване и образуване на кухини) при плъхове и кучета. Тези находки са по-изразени при млади животни.</w:t>
      </w:r>
    </w:p>
    <w:p w14:paraId="31036564" w14:textId="6A5588BD" w:rsidR="00131C45" w:rsidRPr="00131C45" w:rsidRDefault="00131C45" w:rsidP="00131C45"/>
    <w:p w14:paraId="6A7820AB" w14:textId="2C3D4DA2" w:rsidR="008A6AF2" w:rsidRDefault="002C50EE" w:rsidP="00395555">
      <w:pPr>
        <w:pStyle w:val="Heading1"/>
      </w:pPr>
      <w:r>
        <w:t>7. ПРИТЕЖАТЕЛ НА РАЗРЕШЕНИЕТО ЗА УПОТРЕБА</w:t>
      </w:r>
    </w:p>
    <w:p w14:paraId="46D81A5D" w14:textId="6B784BCE" w:rsidR="00131C45" w:rsidRDefault="00131C45" w:rsidP="00131C45"/>
    <w:p w14:paraId="67FBAD78" w14:textId="77777777" w:rsidR="00131C45" w:rsidRPr="00131C45" w:rsidRDefault="00131C45" w:rsidP="00131C45">
      <w:pPr>
        <w:rPr>
          <w:sz w:val="24"/>
          <w:szCs w:val="24"/>
          <w:lang w:val="en-US"/>
        </w:rPr>
      </w:pPr>
      <w:bookmarkStart w:id="1" w:name="bookmark0"/>
      <w:r w:rsidRPr="00131C45">
        <w:rPr>
          <w:lang w:val="en-US"/>
        </w:rPr>
        <w:t>ST ADA ARZNEIMITTEL AG</w:t>
      </w:r>
      <w:bookmarkEnd w:id="1"/>
    </w:p>
    <w:p w14:paraId="3D3AB135" w14:textId="77777777" w:rsidR="00131C45" w:rsidRPr="00131C45" w:rsidRDefault="00131C45" w:rsidP="00131C45">
      <w:pPr>
        <w:rPr>
          <w:sz w:val="24"/>
          <w:szCs w:val="24"/>
          <w:lang w:val="en-US"/>
        </w:rPr>
      </w:pPr>
      <w:proofErr w:type="spellStart"/>
      <w:r w:rsidRPr="00131C45">
        <w:rPr>
          <w:lang w:val="en-US"/>
        </w:rPr>
        <w:t>Stadastrasse</w:t>
      </w:r>
      <w:proofErr w:type="spellEnd"/>
      <w:r w:rsidRPr="00131C45">
        <w:rPr>
          <w:lang w:val="en-US"/>
        </w:rPr>
        <w:t xml:space="preserve"> 2-18</w:t>
      </w:r>
      <w:proofErr w:type="gramStart"/>
      <w:r w:rsidRPr="00131C45">
        <w:rPr>
          <w:lang w:val="en-US"/>
        </w:rPr>
        <w:t>,61118</w:t>
      </w:r>
      <w:proofErr w:type="gramEnd"/>
      <w:r w:rsidRPr="00131C45">
        <w:rPr>
          <w:lang w:val="en-US"/>
        </w:rPr>
        <w:t xml:space="preserve"> Bad </w:t>
      </w:r>
      <w:proofErr w:type="spellStart"/>
      <w:r w:rsidRPr="00131C45">
        <w:rPr>
          <w:lang w:val="en-US"/>
        </w:rPr>
        <w:t>Vilbel</w:t>
      </w:r>
      <w:proofErr w:type="spellEnd"/>
    </w:p>
    <w:p w14:paraId="01011EDE" w14:textId="0FAD0537" w:rsidR="00131C45" w:rsidRPr="00131C45" w:rsidRDefault="00131C45" w:rsidP="00131C45">
      <w:r w:rsidRPr="00131C45">
        <w:rPr>
          <w:lang w:eastAsia="bg-BG"/>
        </w:rPr>
        <w:t>Германия</w:t>
      </w:r>
    </w:p>
    <w:p w14:paraId="7BA1BA64" w14:textId="7BADC2FA" w:rsidR="00CF77F7" w:rsidRDefault="002C50EE" w:rsidP="004A448E">
      <w:pPr>
        <w:pStyle w:val="Heading1"/>
      </w:pPr>
      <w:r>
        <w:t>8. НОМЕР НА РАЗРЕШЕНИЕТО ЗА УПОТРЕБА</w:t>
      </w:r>
    </w:p>
    <w:p w14:paraId="541DF345" w14:textId="1C0A810D" w:rsidR="00131C45" w:rsidRDefault="00131C45" w:rsidP="00131C45"/>
    <w:p w14:paraId="5A05812D" w14:textId="724EB78F" w:rsidR="00131C45" w:rsidRPr="00131C45" w:rsidRDefault="00131C45" w:rsidP="00131C45">
      <w:r>
        <w:t>Регистрационен номер: 20110002</w:t>
      </w:r>
    </w:p>
    <w:p w14:paraId="2CCB5832" w14:textId="50E4D359" w:rsidR="007C605B" w:rsidRDefault="002C50EE" w:rsidP="007C605B">
      <w:pPr>
        <w:pStyle w:val="Heading1"/>
      </w:pPr>
      <w:r>
        <w:t>9. ДАТА НА ПЪРВО РАЗРЕШАВАНЕ/ПОДНОВЯВАНЕ НА РАЗРЕШЕНИЕТО ЗА УПОТРЕБА</w:t>
      </w:r>
    </w:p>
    <w:p w14:paraId="29E7D619" w14:textId="77777777" w:rsidR="00131C45" w:rsidRPr="00131C45" w:rsidRDefault="00131C45" w:rsidP="00131C45">
      <w:pPr>
        <w:rPr>
          <w:sz w:val="24"/>
          <w:szCs w:val="24"/>
        </w:rPr>
      </w:pPr>
      <w:r w:rsidRPr="00131C45">
        <w:rPr>
          <w:lang w:eastAsia="bg-BG"/>
        </w:rPr>
        <w:t>Дата на първо разрешаване: 06.01.2011</w:t>
      </w:r>
    </w:p>
    <w:p w14:paraId="758CD478" w14:textId="3E0D4D41" w:rsidR="00131C45" w:rsidRPr="00131C45" w:rsidRDefault="00131C45" w:rsidP="00131C45">
      <w:r w:rsidRPr="00131C45">
        <w:rPr>
          <w:lang w:eastAsia="bg-BG"/>
        </w:rPr>
        <w:t>Дата на подновяване: 03.02.2014</w:t>
      </w:r>
    </w:p>
    <w:p w14:paraId="0E9D0119" w14:textId="0245C6D7" w:rsidR="002C50EE" w:rsidRDefault="002C50EE" w:rsidP="002C50EE">
      <w:pPr>
        <w:pStyle w:val="Heading1"/>
      </w:pPr>
      <w:r>
        <w:t>10. ДАТА НА АКТУАЛИЗИРАНЕ НА ТЕКСТА</w:t>
      </w:r>
    </w:p>
    <w:bookmarkEnd w:id="0"/>
    <w:p w14:paraId="43FB38A2" w14:textId="2B7EEA9B" w:rsidR="007C605B" w:rsidRPr="003E3126" w:rsidRDefault="00131C45" w:rsidP="00131C45">
      <w:r>
        <w:t>05/2021</w:t>
      </w:r>
      <w:bookmarkStart w:id="2" w:name="_GoBack"/>
      <w:bookmarkEnd w:id="2"/>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98097E"/>
    <w:multiLevelType w:val="hybridMultilevel"/>
    <w:tmpl w:val="799A9C7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1"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257469"/>
    <w:multiLevelType w:val="hybridMultilevel"/>
    <w:tmpl w:val="59021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8C7B91"/>
    <w:multiLevelType w:val="hybridMultilevel"/>
    <w:tmpl w:val="57B67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53CB6"/>
    <w:multiLevelType w:val="hybridMultilevel"/>
    <w:tmpl w:val="8EFC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B058D4"/>
    <w:multiLevelType w:val="hybridMultilevel"/>
    <w:tmpl w:val="0018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3"/>
  </w:num>
  <w:num w:numId="4">
    <w:abstractNumId w:val="3"/>
  </w:num>
  <w:num w:numId="5">
    <w:abstractNumId w:val="1"/>
  </w:num>
  <w:num w:numId="6">
    <w:abstractNumId w:val="16"/>
  </w:num>
  <w:num w:numId="7">
    <w:abstractNumId w:val="11"/>
  </w:num>
  <w:num w:numId="8">
    <w:abstractNumId w:val="15"/>
  </w:num>
  <w:num w:numId="9">
    <w:abstractNumId w:val="2"/>
  </w:num>
  <w:num w:numId="10">
    <w:abstractNumId w:val="4"/>
  </w:num>
  <w:num w:numId="11">
    <w:abstractNumId w:val="33"/>
  </w:num>
  <w:num w:numId="12">
    <w:abstractNumId w:val="14"/>
  </w:num>
  <w:num w:numId="13">
    <w:abstractNumId w:val="19"/>
  </w:num>
  <w:num w:numId="14">
    <w:abstractNumId w:val="12"/>
  </w:num>
  <w:num w:numId="15">
    <w:abstractNumId w:val="32"/>
  </w:num>
  <w:num w:numId="16">
    <w:abstractNumId w:val="10"/>
  </w:num>
  <w:num w:numId="17">
    <w:abstractNumId w:val="25"/>
  </w:num>
  <w:num w:numId="18">
    <w:abstractNumId w:val="7"/>
  </w:num>
  <w:num w:numId="19">
    <w:abstractNumId w:val="28"/>
  </w:num>
  <w:num w:numId="20">
    <w:abstractNumId w:val="24"/>
  </w:num>
  <w:num w:numId="21">
    <w:abstractNumId w:val="17"/>
  </w:num>
  <w:num w:numId="22">
    <w:abstractNumId w:val="26"/>
  </w:num>
  <w:num w:numId="23">
    <w:abstractNumId w:val="18"/>
  </w:num>
  <w:num w:numId="24">
    <w:abstractNumId w:val="8"/>
  </w:num>
  <w:num w:numId="25">
    <w:abstractNumId w:val="23"/>
  </w:num>
  <w:num w:numId="26">
    <w:abstractNumId w:val="21"/>
  </w:num>
  <w:num w:numId="27">
    <w:abstractNumId w:val="34"/>
  </w:num>
  <w:num w:numId="28">
    <w:abstractNumId w:val="6"/>
  </w:num>
  <w:num w:numId="29">
    <w:abstractNumId w:val="20"/>
  </w:num>
  <w:num w:numId="30">
    <w:abstractNumId w:val="38"/>
  </w:num>
  <w:num w:numId="31">
    <w:abstractNumId w:val="5"/>
  </w:num>
  <w:num w:numId="32">
    <w:abstractNumId w:val="36"/>
  </w:num>
  <w:num w:numId="33">
    <w:abstractNumId w:val="30"/>
  </w:num>
  <w:num w:numId="34">
    <w:abstractNumId w:val="35"/>
  </w:num>
  <w:num w:numId="35">
    <w:abstractNumId w:val="37"/>
  </w:num>
  <w:num w:numId="36">
    <w:abstractNumId w:val="31"/>
  </w:num>
  <w:num w:numId="37">
    <w:abstractNumId w:val="27"/>
  </w:num>
  <w:num w:numId="38">
    <w:abstractNumId w:val="22"/>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31C45"/>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 w:val="00FE5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5921</Words>
  <Characters>33756</Characters>
  <Application>Microsoft Office Word</Application>
  <DocSecurity>0</DocSecurity>
  <Lines>281</Lines>
  <Paragraphs>79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2022-03-01T22:03:00Z</dcterms:created>
  <dcterms:modified xsi:type="dcterms:W3CDTF">2022-03-01T22:03:00Z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