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0A9EBC20" w14:textId="0308FB46" w:rsidR="009F77A4" w:rsidRDefault="00DD466D" w:rsidP="00387A66">
      <w:pPr>
        <w:pStyle w:val="Heading1"/>
      </w:pPr>
      <w:r>
        <w:t>1.ИМЕ НА ЛЕКАРСТВЕНИЯ ПРОДУКТ</w:t>
      </w:r>
    </w:p>
    <w:p w14:paraId="0D953982" w14:textId="77777777" w:rsidR="00E42D7B" w:rsidRDefault="00E42D7B" w:rsidP="00E42D7B"/>
    <w:p w14:paraId="7CF870B1" w14:textId="77777777" w:rsidR="00E42D7B" w:rsidRPr="00E42D7B" w:rsidRDefault="00E42D7B" w:rsidP="00E42D7B">
      <w:pPr>
        <w:rPr>
          <w:sz w:val="24"/>
          <w:szCs w:val="24"/>
          <w:lang w:val="en-US" w:eastAsia="bg-BG"/>
        </w:rPr>
      </w:pPr>
      <w:r w:rsidRPr="00E42D7B">
        <w:rPr>
          <w:lang w:eastAsia="bg-BG"/>
        </w:rPr>
        <w:t xml:space="preserve">Волтарен 50 </w:t>
      </w:r>
      <w:r w:rsidRPr="00E42D7B">
        <w:rPr>
          <w:lang w:val="en-US"/>
        </w:rPr>
        <w:t xml:space="preserve">mg </w:t>
      </w:r>
      <w:r w:rsidRPr="00E42D7B">
        <w:rPr>
          <w:lang w:eastAsia="bg-BG"/>
        </w:rPr>
        <w:t>супозитории</w:t>
      </w:r>
    </w:p>
    <w:p w14:paraId="62083767" w14:textId="77777777" w:rsidR="00E42D7B" w:rsidRPr="00E42D7B" w:rsidRDefault="00E42D7B" w:rsidP="00E42D7B">
      <w:pPr>
        <w:rPr>
          <w:sz w:val="24"/>
          <w:szCs w:val="24"/>
          <w:lang w:val="en-US" w:eastAsia="bg-BG"/>
        </w:rPr>
      </w:pPr>
      <w:proofErr w:type="spellStart"/>
      <w:r w:rsidRPr="00E42D7B">
        <w:rPr>
          <w:lang w:val="en-US"/>
        </w:rPr>
        <w:t>Voltaren</w:t>
      </w:r>
      <w:proofErr w:type="spellEnd"/>
      <w:r w:rsidRPr="00E42D7B">
        <w:rPr>
          <w:lang w:val="en-US"/>
        </w:rPr>
        <w:t xml:space="preserve"> </w:t>
      </w:r>
      <w:r w:rsidRPr="00E42D7B">
        <w:rPr>
          <w:lang w:eastAsia="bg-BG"/>
        </w:rPr>
        <w:t xml:space="preserve">50 </w:t>
      </w:r>
      <w:r w:rsidRPr="00E42D7B">
        <w:rPr>
          <w:lang w:val="en-US"/>
        </w:rPr>
        <w:t>mg suppositories</w:t>
      </w:r>
    </w:p>
    <w:p w14:paraId="261789DE" w14:textId="77777777" w:rsidR="00E42D7B" w:rsidRDefault="00E42D7B" w:rsidP="00E42D7B">
      <w:pPr>
        <w:rPr>
          <w:lang w:eastAsia="bg-BG"/>
        </w:rPr>
      </w:pPr>
    </w:p>
    <w:p w14:paraId="7042430E" w14:textId="77B2EC13" w:rsidR="00E42D7B" w:rsidRPr="00E42D7B" w:rsidRDefault="00E42D7B" w:rsidP="00E42D7B">
      <w:pPr>
        <w:rPr>
          <w:sz w:val="24"/>
          <w:szCs w:val="24"/>
          <w:lang w:val="en-US" w:eastAsia="bg-BG"/>
        </w:rPr>
      </w:pPr>
      <w:r w:rsidRPr="00E42D7B">
        <w:rPr>
          <w:lang w:eastAsia="bg-BG"/>
        </w:rPr>
        <w:t xml:space="preserve">Волтарен 100 </w:t>
      </w:r>
      <w:r w:rsidRPr="00E42D7B">
        <w:rPr>
          <w:lang w:val="en-US"/>
        </w:rPr>
        <w:t xml:space="preserve">mg </w:t>
      </w:r>
      <w:r w:rsidRPr="00E42D7B">
        <w:rPr>
          <w:lang w:eastAsia="bg-BG"/>
        </w:rPr>
        <w:t>супозитории</w:t>
      </w:r>
    </w:p>
    <w:p w14:paraId="39136BB8" w14:textId="77777777" w:rsidR="00E42D7B" w:rsidRPr="00E42D7B" w:rsidRDefault="00E42D7B" w:rsidP="00E42D7B">
      <w:pPr>
        <w:rPr>
          <w:sz w:val="24"/>
          <w:szCs w:val="24"/>
          <w:lang w:val="en-US" w:eastAsia="bg-BG"/>
        </w:rPr>
      </w:pPr>
      <w:proofErr w:type="spellStart"/>
      <w:r w:rsidRPr="00E42D7B">
        <w:rPr>
          <w:lang w:val="en-US"/>
        </w:rPr>
        <w:t>Voltaren</w:t>
      </w:r>
      <w:proofErr w:type="spellEnd"/>
      <w:r w:rsidRPr="00E42D7B">
        <w:rPr>
          <w:lang w:val="en-US"/>
        </w:rPr>
        <w:t xml:space="preserve"> </w:t>
      </w:r>
      <w:r w:rsidRPr="00E42D7B">
        <w:rPr>
          <w:lang w:eastAsia="bg-BG"/>
        </w:rPr>
        <w:t xml:space="preserve">100 </w:t>
      </w:r>
      <w:r w:rsidRPr="00E42D7B">
        <w:rPr>
          <w:lang w:val="en-US"/>
        </w:rPr>
        <w:t>mg suppositories</w:t>
      </w:r>
    </w:p>
    <w:p w14:paraId="1A8EEF2F" w14:textId="77777777" w:rsidR="00E42D7B" w:rsidRPr="00E42D7B" w:rsidRDefault="00E42D7B" w:rsidP="00E42D7B"/>
    <w:p w14:paraId="0DF202EC" w14:textId="10882A08" w:rsidR="00F53FB7" w:rsidRDefault="00DD466D" w:rsidP="00A93499">
      <w:pPr>
        <w:pStyle w:val="Heading1"/>
      </w:pPr>
      <w:r>
        <w:t>2. КАЧЕСТВЕН И КОЛИЧЕСТВЕН СЪСТАВ</w:t>
      </w:r>
    </w:p>
    <w:p w14:paraId="7AD7F8B0" w14:textId="77777777" w:rsidR="00E42D7B" w:rsidRDefault="00E42D7B" w:rsidP="00E42D7B"/>
    <w:p w14:paraId="288B5C09" w14:textId="77777777" w:rsidR="00E42D7B" w:rsidRPr="00E42D7B" w:rsidRDefault="00E42D7B" w:rsidP="00E42D7B">
      <w:pPr>
        <w:rPr>
          <w:sz w:val="24"/>
          <w:szCs w:val="24"/>
          <w:lang w:eastAsia="bg-BG"/>
        </w:rPr>
      </w:pPr>
      <w:r w:rsidRPr="00E42D7B">
        <w:rPr>
          <w:lang w:eastAsia="bg-BG"/>
        </w:rPr>
        <w:t xml:space="preserve">Активното вещество е натриев-[о-[(2,6-дихлорфенил)-амино]-фенил]-ацетат (= </w:t>
      </w:r>
      <w:r w:rsidRPr="00E42D7B">
        <w:rPr>
          <w:lang w:val="en-US"/>
        </w:rPr>
        <w:t>diclofenac sodium</w:t>
      </w:r>
      <w:r w:rsidRPr="00E42D7B">
        <w:rPr>
          <w:lang w:eastAsia="bg-BG"/>
        </w:rPr>
        <w:t>/диклофенак натрий).</w:t>
      </w:r>
    </w:p>
    <w:p w14:paraId="3FB3FE88" w14:textId="77158049" w:rsidR="00E42D7B" w:rsidRDefault="00E42D7B" w:rsidP="00E42D7B">
      <w:pPr>
        <w:rPr>
          <w:sz w:val="24"/>
          <w:szCs w:val="24"/>
          <w:lang w:eastAsia="bg-BG"/>
        </w:rPr>
      </w:pPr>
      <w:r w:rsidRPr="00E42D7B">
        <w:rPr>
          <w:lang w:eastAsia="bg-BG"/>
        </w:rPr>
        <w:t xml:space="preserve">Всяка супозитория съдържа 50 </w:t>
      </w:r>
      <w:r w:rsidRPr="00E42D7B">
        <w:rPr>
          <w:lang w:val="en-US"/>
        </w:rPr>
        <w:t xml:space="preserve">mg </w:t>
      </w:r>
      <w:r w:rsidRPr="00E42D7B">
        <w:rPr>
          <w:lang w:eastAsia="bg-BG"/>
        </w:rPr>
        <w:t xml:space="preserve">или 100 </w:t>
      </w:r>
      <w:r w:rsidRPr="00E42D7B">
        <w:rPr>
          <w:lang w:val="en-US"/>
        </w:rPr>
        <w:t xml:space="preserve">mg </w:t>
      </w:r>
      <w:r w:rsidRPr="00E42D7B">
        <w:rPr>
          <w:lang w:eastAsia="bg-BG"/>
        </w:rPr>
        <w:t>диклофенак натрий.</w:t>
      </w:r>
    </w:p>
    <w:p w14:paraId="5C7DE1C0" w14:textId="77777777" w:rsidR="00E42D7B" w:rsidRPr="00E42D7B" w:rsidRDefault="00E42D7B" w:rsidP="00E42D7B">
      <w:pPr>
        <w:spacing w:line="240" w:lineRule="auto"/>
        <w:rPr>
          <w:rFonts w:ascii="Times New Roman" w:eastAsia="Times New Roman" w:hAnsi="Times New Roman" w:cs="Times New Roman"/>
          <w:sz w:val="24"/>
          <w:szCs w:val="24"/>
          <w:lang w:eastAsia="bg-BG"/>
        </w:rPr>
      </w:pPr>
    </w:p>
    <w:p w14:paraId="4CABB9ED" w14:textId="2740FB4D" w:rsidR="00F53FB7" w:rsidRDefault="00DD466D" w:rsidP="00A93499">
      <w:pPr>
        <w:pStyle w:val="Heading1"/>
      </w:pPr>
      <w:r>
        <w:t>3. ЛЕКАРСТВЕНА ФОРМА</w:t>
      </w:r>
    </w:p>
    <w:p w14:paraId="7E25FB46" w14:textId="77777777" w:rsidR="00E42D7B" w:rsidRDefault="00E42D7B" w:rsidP="00E42D7B"/>
    <w:p w14:paraId="7C6148E7" w14:textId="77777777" w:rsidR="00E42D7B" w:rsidRPr="00E42D7B" w:rsidRDefault="00E42D7B" w:rsidP="00E42D7B">
      <w:pPr>
        <w:rPr>
          <w:sz w:val="24"/>
          <w:szCs w:val="24"/>
          <w:lang w:eastAsia="bg-BG"/>
        </w:rPr>
      </w:pPr>
      <w:r w:rsidRPr="00E42D7B">
        <w:rPr>
          <w:lang w:eastAsia="bg-BG"/>
        </w:rPr>
        <w:t>Супозитория</w:t>
      </w:r>
    </w:p>
    <w:p w14:paraId="47883530" w14:textId="3B36BE2E" w:rsidR="00E42D7B" w:rsidRPr="00E42D7B" w:rsidRDefault="00E42D7B" w:rsidP="00E42D7B">
      <w:r w:rsidRPr="00E42D7B">
        <w:rPr>
          <w:lang w:eastAsia="bg-BG"/>
        </w:rPr>
        <w:t>Бели до жълтеникави, торпедообразни свещички с гладки или леко неравни повърхности.</w:t>
      </w:r>
    </w:p>
    <w:p w14:paraId="490FC2C4" w14:textId="6899DE43" w:rsidR="002C50EE" w:rsidRDefault="002C50EE" w:rsidP="002C50EE">
      <w:pPr>
        <w:pStyle w:val="Heading1"/>
      </w:pPr>
      <w:r>
        <w:t>4. КЛИНИЧНИ ДАННИ</w:t>
      </w:r>
    </w:p>
    <w:p w14:paraId="461901E4" w14:textId="0A9C51D3" w:rsidR="009F77A4" w:rsidRDefault="002C50EE" w:rsidP="00387A66">
      <w:pPr>
        <w:pStyle w:val="Heading2"/>
      </w:pPr>
      <w:r>
        <w:t>4.1. Терапевтични показания</w:t>
      </w:r>
    </w:p>
    <w:p w14:paraId="7EF9D8B6" w14:textId="77777777" w:rsidR="00E42D7B" w:rsidRDefault="00E42D7B" w:rsidP="00E42D7B"/>
    <w:p w14:paraId="6B101E0C" w14:textId="77777777" w:rsidR="00E42D7B" w:rsidRPr="00E42D7B" w:rsidRDefault="00E42D7B" w:rsidP="00E42D7B">
      <w:pPr>
        <w:spacing w:line="240" w:lineRule="auto"/>
        <w:rPr>
          <w:rFonts w:eastAsia="Times New Roman" w:cs="Arial"/>
          <w:sz w:val="36"/>
          <w:szCs w:val="36"/>
          <w:lang w:eastAsia="bg-BG"/>
        </w:rPr>
      </w:pPr>
      <w:r w:rsidRPr="00E42D7B">
        <w:rPr>
          <w:rFonts w:eastAsia="Times New Roman" w:cs="Arial"/>
          <w:color w:val="000000"/>
          <w:lang w:eastAsia="bg-BG"/>
        </w:rPr>
        <w:t>Лечение на:</w:t>
      </w:r>
    </w:p>
    <w:p w14:paraId="3D8752AE" w14:textId="77777777" w:rsidR="00E42D7B" w:rsidRPr="00E42D7B" w:rsidRDefault="00E42D7B" w:rsidP="00E42D7B">
      <w:pPr>
        <w:pStyle w:val="ListParagraph"/>
        <w:numPr>
          <w:ilvl w:val="0"/>
          <w:numId w:val="40"/>
        </w:numPr>
        <w:spacing w:line="240" w:lineRule="auto"/>
        <w:rPr>
          <w:rFonts w:eastAsia="Times New Roman" w:cs="Arial"/>
          <w:color w:val="000000"/>
          <w:lang w:eastAsia="bg-BG"/>
        </w:rPr>
      </w:pPr>
      <w:r w:rsidRPr="00E42D7B">
        <w:rPr>
          <w:rFonts w:eastAsia="Times New Roman" w:cs="Arial"/>
          <w:color w:val="000000"/>
          <w:lang w:eastAsia="bg-BG"/>
        </w:rPr>
        <w:t>възпалителни и дегенеративни форми на ставни заболявалия: ревматоиден артрит, ювенилен хроничен артрит, анкилозиращ спондилит, остеоартрит и спондилартроза, болезнени синдроми на гръбначния стълб, извънставни мекотъканни заболявания;</w:t>
      </w:r>
    </w:p>
    <w:p w14:paraId="46F1828A" w14:textId="77777777" w:rsidR="00E42D7B" w:rsidRPr="00E42D7B" w:rsidRDefault="00E42D7B" w:rsidP="00E42D7B">
      <w:pPr>
        <w:pStyle w:val="ListParagraph"/>
        <w:numPr>
          <w:ilvl w:val="0"/>
          <w:numId w:val="40"/>
        </w:numPr>
        <w:spacing w:line="240" w:lineRule="auto"/>
        <w:rPr>
          <w:rFonts w:eastAsia="Times New Roman" w:cs="Arial"/>
          <w:color w:val="000000"/>
          <w:lang w:eastAsia="bg-BG"/>
        </w:rPr>
      </w:pPr>
      <w:r w:rsidRPr="00E42D7B">
        <w:rPr>
          <w:rFonts w:eastAsia="Times New Roman" w:cs="Arial"/>
          <w:color w:val="000000"/>
          <w:lang w:eastAsia="bg-BG"/>
        </w:rPr>
        <w:t>подагрозна криза;</w:t>
      </w:r>
    </w:p>
    <w:p w14:paraId="40E7F49A" w14:textId="77777777" w:rsidR="00E42D7B" w:rsidRPr="00E42D7B" w:rsidRDefault="00E42D7B" w:rsidP="00E42D7B">
      <w:pPr>
        <w:pStyle w:val="ListParagraph"/>
        <w:numPr>
          <w:ilvl w:val="0"/>
          <w:numId w:val="40"/>
        </w:numPr>
        <w:spacing w:line="240" w:lineRule="auto"/>
        <w:rPr>
          <w:rFonts w:eastAsia="Times New Roman" w:cs="Arial"/>
          <w:color w:val="000000"/>
          <w:lang w:eastAsia="bg-BG"/>
        </w:rPr>
      </w:pPr>
      <w:r w:rsidRPr="00E42D7B">
        <w:rPr>
          <w:rFonts w:eastAsia="Times New Roman" w:cs="Arial"/>
          <w:color w:val="000000"/>
          <w:lang w:eastAsia="bg-BG"/>
        </w:rPr>
        <w:t>посттравматична и постоперативна болка, възпаление или подуване, напр. след стоматологична или ортопедична операция;</w:t>
      </w:r>
    </w:p>
    <w:p w14:paraId="7A5F6C5A" w14:textId="77777777" w:rsidR="00E42D7B" w:rsidRPr="00E42D7B" w:rsidRDefault="00E42D7B" w:rsidP="00E42D7B">
      <w:pPr>
        <w:pStyle w:val="ListParagraph"/>
        <w:numPr>
          <w:ilvl w:val="0"/>
          <w:numId w:val="40"/>
        </w:numPr>
        <w:spacing w:line="240" w:lineRule="auto"/>
        <w:rPr>
          <w:rFonts w:eastAsia="Times New Roman" w:cs="Arial"/>
          <w:color w:val="000000"/>
          <w:lang w:eastAsia="bg-BG"/>
        </w:rPr>
      </w:pPr>
      <w:r w:rsidRPr="00E42D7B">
        <w:rPr>
          <w:rFonts w:eastAsia="Times New Roman" w:cs="Arial"/>
          <w:color w:val="000000"/>
          <w:lang w:eastAsia="bg-BG"/>
        </w:rPr>
        <w:t>болезнени и/или възпалителни състояния в гинекологията, напр. първична дисменорея или аднексит;</w:t>
      </w:r>
    </w:p>
    <w:p w14:paraId="01B7B9C7" w14:textId="77777777" w:rsidR="00E42D7B" w:rsidRPr="00E42D7B" w:rsidRDefault="00E42D7B" w:rsidP="00E42D7B">
      <w:pPr>
        <w:pStyle w:val="ListParagraph"/>
        <w:numPr>
          <w:ilvl w:val="0"/>
          <w:numId w:val="40"/>
        </w:numPr>
        <w:spacing w:line="240" w:lineRule="auto"/>
        <w:rPr>
          <w:rFonts w:eastAsia="Times New Roman" w:cs="Arial"/>
          <w:color w:val="000000"/>
          <w:lang w:eastAsia="bg-BG"/>
        </w:rPr>
      </w:pPr>
      <w:r w:rsidRPr="00E42D7B">
        <w:rPr>
          <w:rFonts w:eastAsia="Times New Roman" w:cs="Arial"/>
          <w:color w:val="000000"/>
          <w:lang w:eastAsia="bg-BG"/>
        </w:rPr>
        <w:t>пристъпи на мигрена</w:t>
      </w:r>
    </w:p>
    <w:p w14:paraId="332A912B" w14:textId="73CFB09F" w:rsidR="00E42D7B" w:rsidRPr="00E42D7B" w:rsidRDefault="00E42D7B" w:rsidP="00E42D7B">
      <w:pPr>
        <w:pStyle w:val="ListParagraph"/>
        <w:numPr>
          <w:ilvl w:val="0"/>
          <w:numId w:val="40"/>
        </w:numPr>
        <w:spacing w:line="240" w:lineRule="auto"/>
        <w:rPr>
          <w:rFonts w:eastAsia="Times New Roman" w:cs="Arial"/>
          <w:color w:val="000000"/>
          <w:lang w:eastAsia="bg-BG"/>
        </w:rPr>
      </w:pPr>
      <w:r w:rsidRPr="00E42D7B">
        <w:rPr>
          <w:rFonts w:eastAsia="Times New Roman" w:cs="Arial"/>
          <w:color w:val="000000"/>
          <w:lang w:eastAsia="bg-BG"/>
        </w:rPr>
        <w:t>като допълнение при лечението на болезнени инфекции на ухото, носа или гърлото, напр. тонзилофарингит, отит. Спазвайки терапевтичните принципи, подлежащото заболяване трябва да се лекува със съответната терапия. Фебрилитет, сам по себе си, не е показание за приложение.</w:t>
      </w:r>
    </w:p>
    <w:p w14:paraId="42427BA4" w14:textId="77777777" w:rsidR="00E42D7B" w:rsidRPr="00E42D7B" w:rsidRDefault="00E42D7B" w:rsidP="00E42D7B"/>
    <w:p w14:paraId="31744E5A" w14:textId="29FBB145" w:rsidR="009F77A4" w:rsidRDefault="002C50EE" w:rsidP="00387A66">
      <w:pPr>
        <w:pStyle w:val="Heading2"/>
      </w:pPr>
      <w:r>
        <w:t>4.2. Дозировка и начин на приложение</w:t>
      </w:r>
    </w:p>
    <w:p w14:paraId="5E66E537" w14:textId="77777777" w:rsidR="00E42D7B" w:rsidRDefault="00E42D7B" w:rsidP="00E42D7B"/>
    <w:p w14:paraId="3C420A80" w14:textId="77777777" w:rsidR="00E42D7B" w:rsidRPr="00E42D7B" w:rsidRDefault="00E42D7B" w:rsidP="00E42D7B">
      <w:pPr>
        <w:pStyle w:val="Heading3"/>
        <w:rPr>
          <w:rFonts w:eastAsia="Times New Roman"/>
          <w:sz w:val="36"/>
          <w:szCs w:val="36"/>
          <w:u w:val="single"/>
          <w:lang w:eastAsia="bg-BG"/>
        </w:rPr>
      </w:pPr>
      <w:r w:rsidRPr="00E42D7B">
        <w:rPr>
          <w:rFonts w:eastAsia="Times New Roman"/>
          <w:u w:val="single"/>
          <w:lang w:eastAsia="bg-BG"/>
        </w:rPr>
        <w:lastRenderedPageBreak/>
        <w:t>Дозировка</w:t>
      </w:r>
    </w:p>
    <w:p w14:paraId="4C99A4CB" w14:textId="77777777" w:rsidR="00E42D7B" w:rsidRPr="00E42D7B" w:rsidRDefault="00E42D7B" w:rsidP="00E42D7B">
      <w:pPr>
        <w:spacing w:line="240" w:lineRule="auto"/>
        <w:rPr>
          <w:rFonts w:eastAsia="Times New Roman" w:cs="Arial"/>
          <w:sz w:val="36"/>
          <w:szCs w:val="36"/>
          <w:lang w:eastAsia="bg-BG"/>
        </w:rPr>
      </w:pPr>
      <w:r w:rsidRPr="00E42D7B">
        <w:rPr>
          <w:rFonts w:eastAsia="Times New Roman" w:cs="Arial"/>
          <w:color w:val="000000"/>
          <w:lang w:eastAsia="bg-BG"/>
        </w:rPr>
        <w:t>Нежеланите лекарствени реакции могат да бъдат сведени до минимум чрез използване на най- ниската ефективна доза за най-краткия период от време, необходим за контролиране на симптомите (вж. т. 4.4 Специални предупреждения и предпазни мерки при употреба).</w:t>
      </w:r>
    </w:p>
    <w:p w14:paraId="155F51C9" w14:textId="77777777" w:rsidR="00E42D7B" w:rsidRPr="00E42D7B" w:rsidRDefault="00E42D7B" w:rsidP="00E42D7B">
      <w:pPr>
        <w:spacing w:line="240" w:lineRule="auto"/>
        <w:rPr>
          <w:rFonts w:eastAsia="Times New Roman" w:cs="Arial"/>
          <w:color w:val="000000"/>
          <w:lang w:eastAsia="bg-BG"/>
        </w:rPr>
      </w:pPr>
    </w:p>
    <w:p w14:paraId="3D53E6D9" w14:textId="3951E231" w:rsidR="00E42D7B" w:rsidRPr="00E42D7B" w:rsidRDefault="00E42D7B" w:rsidP="00E42D7B">
      <w:pPr>
        <w:spacing w:line="240" w:lineRule="auto"/>
        <w:rPr>
          <w:rFonts w:eastAsia="Times New Roman" w:cs="Arial"/>
          <w:sz w:val="36"/>
          <w:szCs w:val="36"/>
          <w:lang w:eastAsia="bg-BG"/>
        </w:rPr>
      </w:pPr>
      <w:r w:rsidRPr="00E42D7B">
        <w:rPr>
          <w:rFonts w:eastAsia="Times New Roman" w:cs="Arial"/>
          <w:color w:val="000000"/>
          <w:lang w:eastAsia="bg-BG"/>
        </w:rPr>
        <w:t>Възрастни</w:t>
      </w:r>
    </w:p>
    <w:p w14:paraId="56CBEA46" w14:textId="77777777" w:rsidR="00E42D7B" w:rsidRPr="00E42D7B" w:rsidRDefault="00E42D7B" w:rsidP="00E42D7B">
      <w:pPr>
        <w:spacing w:line="240" w:lineRule="auto"/>
        <w:rPr>
          <w:rFonts w:eastAsia="Times New Roman" w:cs="Arial"/>
          <w:sz w:val="36"/>
          <w:szCs w:val="36"/>
          <w:lang w:eastAsia="bg-BG"/>
        </w:rPr>
      </w:pPr>
      <w:r w:rsidRPr="00E42D7B">
        <w:rPr>
          <w:rFonts w:eastAsia="Times New Roman" w:cs="Arial"/>
          <w:color w:val="000000"/>
          <w:lang w:eastAsia="bg-BG"/>
        </w:rPr>
        <w:t xml:space="preserve">Препоръчваната начална доза е 100 до 150 </w:t>
      </w:r>
      <w:r w:rsidRPr="00E42D7B">
        <w:rPr>
          <w:rFonts w:eastAsia="Times New Roman" w:cs="Arial"/>
          <w:color w:val="000000"/>
          <w:lang w:val="en-US"/>
        </w:rPr>
        <w:t xml:space="preserve">mg. </w:t>
      </w:r>
      <w:r w:rsidRPr="00E42D7B">
        <w:rPr>
          <w:rFonts w:eastAsia="Times New Roman" w:cs="Arial"/>
          <w:color w:val="000000"/>
          <w:lang w:eastAsia="bg-BG"/>
        </w:rPr>
        <w:t xml:space="preserve">При по-леки случаи, както и при продължителна употреба, обикновено са достатъчни 75 до 100 </w:t>
      </w:r>
      <w:r w:rsidRPr="00E42D7B">
        <w:rPr>
          <w:rFonts w:eastAsia="Times New Roman" w:cs="Arial"/>
          <w:color w:val="000000"/>
          <w:lang w:val="en-US"/>
        </w:rPr>
        <w:t xml:space="preserve">mg </w:t>
      </w:r>
      <w:r w:rsidRPr="00E42D7B">
        <w:rPr>
          <w:rFonts w:eastAsia="Times New Roman" w:cs="Arial"/>
          <w:color w:val="000000"/>
          <w:lang w:eastAsia="bg-BG"/>
        </w:rPr>
        <w:t>дневно.</w:t>
      </w:r>
    </w:p>
    <w:p w14:paraId="6E68EFAC" w14:textId="77777777" w:rsidR="00E42D7B" w:rsidRPr="00E42D7B" w:rsidRDefault="00E42D7B" w:rsidP="00E42D7B">
      <w:pPr>
        <w:spacing w:line="240" w:lineRule="auto"/>
        <w:rPr>
          <w:rFonts w:eastAsia="Times New Roman" w:cs="Arial"/>
          <w:color w:val="000000"/>
          <w:lang w:eastAsia="bg-BG"/>
        </w:rPr>
      </w:pPr>
    </w:p>
    <w:p w14:paraId="67E7584B" w14:textId="04D159A6" w:rsidR="00E42D7B" w:rsidRPr="00E42D7B" w:rsidRDefault="00E42D7B" w:rsidP="00E42D7B">
      <w:pPr>
        <w:spacing w:line="240" w:lineRule="auto"/>
        <w:rPr>
          <w:rFonts w:eastAsia="Times New Roman" w:cs="Arial"/>
          <w:color w:val="000000"/>
          <w:lang w:val="en-US"/>
        </w:rPr>
      </w:pPr>
      <w:r w:rsidRPr="00E42D7B">
        <w:rPr>
          <w:rFonts w:eastAsia="Times New Roman" w:cs="Arial"/>
          <w:color w:val="000000"/>
          <w:lang w:eastAsia="bg-BG"/>
        </w:rPr>
        <w:t xml:space="preserve">Общата дневната доза трябва да бъде разпределена на 2 до 3 приема. За подтискане на нощната болка и предотвратяване на сутрешната скованост, лечението с таблетки през деня може да бъде комбинирано с прилагане на супозитории вечер преди лягане (до максимална дневна доза от 150 </w:t>
      </w:r>
      <w:r w:rsidRPr="00E42D7B">
        <w:rPr>
          <w:rFonts w:eastAsia="Times New Roman" w:cs="Arial"/>
          <w:color w:val="000000"/>
          <w:lang w:val="en-US"/>
        </w:rPr>
        <w:t>mg).</w:t>
      </w:r>
    </w:p>
    <w:p w14:paraId="309507FF" w14:textId="77777777" w:rsidR="00E42D7B" w:rsidRPr="00E42D7B" w:rsidRDefault="00E42D7B" w:rsidP="00E42D7B">
      <w:pPr>
        <w:spacing w:line="240" w:lineRule="auto"/>
        <w:rPr>
          <w:rFonts w:eastAsia="Times New Roman" w:cs="Arial"/>
          <w:color w:val="000000"/>
          <w:lang w:val="en-US"/>
        </w:rPr>
      </w:pPr>
    </w:p>
    <w:p w14:paraId="29EFEEA6" w14:textId="77777777" w:rsidR="00E42D7B" w:rsidRPr="00E42D7B" w:rsidRDefault="00E42D7B" w:rsidP="00E42D7B">
      <w:pPr>
        <w:spacing w:line="240" w:lineRule="auto"/>
        <w:rPr>
          <w:rFonts w:eastAsia="Times New Roman" w:cs="Arial"/>
          <w:sz w:val="36"/>
          <w:szCs w:val="36"/>
          <w:lang w:eastAsia="bg-BG"/>
        </w:rPr>
      </w:pPr>
      <w:r w:rsidRPr="00E42D7B">
        <w:rPr>
          <w:rFonts w:eastAsia="Times New Roman" w:cs="Arial"/>
          <w:color w:val="000000"/>
          <w:lang w:eastAsia="bg-BG"/>
        </w:rPr>
        <w:t xml:space="preserve">При първична дисменорея дневната доза трябва да бъде адаптирана индивидуално, и обичайно е 50 до 150 </w:t>
      </w:r>
      <w:r w:rsidRPr="00E42D7B">
        <w:rPr>
          <w:rFonts w:eastAsia="Times New Roman" w:cs="Arial"/>
          <w:color w:val="000000"/>
          <w:lang w:val="en-US"/>
        </w:rPr>
        <w:t xml:space="preserve">mg. </w:t>
      </w:r>
      <w:r w:rsidRPr="00E42D7B">
        <w:rPr>
          <w:rFonts w:eastAsia="Times New Roman" w:cs="Arial"/>
          <w:color w:val="000000"/>
          <w:lang w:eastAsia="bg-BG"/>
        </w:rPr>
        <w:t xml:space="preserve">При започване на лечението трябва да се приложат 50 до 100 </w:t>
      </w:r>
      <w:r w:rsidRPr="00E42D7B">
        <w:rPr>
          <w:rFonts w:eastAsia="Times New Roman" w:cs="Arial"/>
          <w:color w:val="000000"/>
          <w:lang w:val="en-US"/>
        </w:rPr>
        <w:t xml:space="preserve">mg </w:t>
      </w:r>
      <w:r w:rsidRPr="00E42D7B">
        <w:rPr>
          <w:rFonts w:eastAsia="Times New Roman" w:cs="Arial"/>
          <w:color w:val="000000"/>
          <w:lang w:eastAsia="bg-BG"/>
        </w:rPr>
        <w:t xml:space="preserve">и при необходимост, дозата да се повиши в течение на няколко менструални цикъла до максимално 200 </w:t>
      </w:r>
      <w:r w:rsidRPr="00E42D7B">
        <w:rPr>
          <w:rFonts w:eastAsia="Times New Roman" w:cs="Arial"/>
          <w:color w:val="000000"/>
          <w:lang w:val="en-US"/>
        </w:rPr>
        <w:t>mg</w:t>
      </w:r>
      <w:r w:rsidRPr="00E42D7B">
        <w:rPr>
          <w:rFonts w:eastAsia="Times New Roman" w:cs="Arial"/>
          <w:color w:val="000000"/>
          <w:lang w:eastAsia="bg-BG"/>
        </w:rPr>
        <w:t>/дневно. Лечението трябва да започне при поява на първите симптоми и в зависимост от оплакванията, да продължи няколко дни.</w:t>
      </w:r>
    </w:p>
    <w:p w14:paraId="4D852567" w14:textId="77777777" w:rsidR="00E42D7B" w:rsidRPr="00E42D7B" w:rsidRDefault="00E42D7B" w:rsidP="00E42D7B">
      <w:pPr>
        <w:spacing w:line="240" w:lineRule="auto"/>
        <w:rPr>
          <w:rFonts w:eastAsia="Times New Roman" w:cs="Arial"/>
          <w:color w:val="000000"/>
          <w:lang w:eastAsia="bg-BG"/>
        </w:rPr>
      </w:pPr>
    </w:p>
    <w:p w14:paraId="74A31697" w14:textId="05F97188" w:rsidR="00E42D7B" w:rsidRPr="00E42D7B" w:rsidRDefault="00E42D7B" w:rsidP="00E42D7B">
      <w:pPr>
        <w:spacing w:line="240" w:lineRule="auto"/>
        <w:rPr>
          <w:rFonts w:eastAsia="Times New Roman" w:cs="Arial"/>
          <w:sz w:val="36"/>
          <w:szCs w:val="36"/>
          <w:lang w:eastAsia="bg-BG"/>
        </w:rPr>
      </w:pPr>
      <w:r w:rsidRPr="00E42D7B">
        <w:rPr>
          <w:rFonts w:eastAsia="Times New Roman" w:cs="Arial"/>
          <w:color w:val="000000"/>
          <w:lang w:eastAsia="bg-BG"/>
        </w:rPr>
        <w:t xml:space="preserve">Лечението на мигрена със супозитории Волтарен трябва да бъде инициирано с доза от 100 </w:t>
      </w:r>
      <w:r w:rsidRPr="00E42D7B">
        <w:rPr>
          <w:rFonts w:eastAsia="Times New Roman" w:cs="Arial"/>
          <w:color w:val="000000"/>
          <w:lang w:val="en-US"/>
        </w:rPr>
        <w:t xml:space="preserve">mg </w:t>
      </w:r>
      <w:r w:rsidRPr="00E42D7B">
        <w:rPr>
          <w:rFonts w:eastAsia="Times New Roman" w:cs="Arial"/>
          <w:color w:val="000000"/>
          <w:lang w:eastAsia="bg-BG"/>
        </w:rPr>
        <w:t xml:space="preserve">при първите признаци на започващ мигренозен пристъп. При необходимост могат да се приложат допълнително до 100 </w:t>
      </w:r>
      <w:r w:rsidRPr="00E42D7B">
        <w:rPr>
          <w:rFonts w:eastAsia="Times New Roman" w:cs="Arial"/>
          <w:color w:val="000000"/>
          <w:lang w:val="en-US"/>
        </w:rPr>
        <w:t xml:space="preserve">mg </w:t>
      </w:r>
      <w:r w:rsidRPr="00E42D7B">
        <w:rPr>
          <w:rFonts w:eastAsia="Times New Roman" w:cs="Arial"/>
          <w:color w:val="000000"/>
          <w:lang w:eastAsia="bg-BG"/>
        </w:rPr>
        <w:t xml:space="preserve">в рамките на същия ден. В случай, че терапията трябва да бъде продължена през следващите дни, максималната дневна доза не трябва да надвишава 150 </w:t>
      </w:r>
      <w:r w:rsidRPr="00E42D7B">
        <w:rPr>
          <w:rFonts w:eastAsia="Times New Roman" w:cs="Arial"/>
          <w:color w:val="000000"/>
          <w:lang w:val="en-US"/>
        </w:rPr>
        <w:t xml:space="preserve">mg, </w:t>
      </w:r>
      <w:r w:rsidRPr="00E42D7B">
        <w:rPr>
          <w:rFonts w:eastAsia="Times New Roman" w:cs="Arial"/>
          <w:color w:val="000000"/>
          <w:lang w:eastAsia="bg-BG"/>
        </w:rPr>
        <w:t>разпределени в няколко приема.</w:t>
      </w:r>
    </w:p>
    <w:p w14:paraId="629EED10" w14:textId="77777777" w:rsidR="00E42D7B" w:rsidRPr="00E42D7B" w:rsidRDefault="00E42D7B" w:rsidP="00E42D7B">
      <w:pPr>
        <w:spacing w:line="240" w:lineRule="auto"/>
        <w:rPr>
          <w:rFonts w:eastAsia="Times New Roman" w:cs="Arial"/>
          <w:color w:val="000000"/>
          <w:lang w:eastAsia="bg-BG"/>
        </w:rPr>
      </w:pPr>
    </w:p>
    <w:p w14:paraId="2FA69937" w14:textId="0CBDA63B" w:rsidR="00E42D7B" w:rsidRPr="00E42D7B" w:rsidRDefault="00E42D7B" w:rsidP="00E42D7B">
      <w:pPr>
        <w:spacing w:line="240" w:lineRule="auto"/>
        <w:rPr>
          <w:rFonts w:eastAsia="Times New Roman" w:cs="Arial"/>
          <w:sz w:val="36"/>
          <w:szCs w:val="36"/>
          <w:lang w:eastAsia="bg-BG"/>
        </w:rPr>
      </w:pPr>
      <w:r w:rsidRPr="00E42D7B">
        <w:rPr>
          <w:rFonts w:eastAsia="Times New Roman" w:cs="Arial"/>
          <w:color w:val="000000"/>
          <w:lang w:eastAsia="bg-BG"/>
        </w:rPr>
        <w:t>Педиатрична популация</w:t>
      </w:r>
    </w:p>
    <w:p w14:paraId="25509E49" w14:textId="77777777" w:rsidR="00E42D7B" w:rsidRPr="00E42D7B" w:rsidRDefault="00E42D7B" w:rsidP="00E42D7B">
      <w:pPr>
        <w:spacing w:line="240" w:lineRule="auto"/>
        <w:rPr>
          <w:rFonts w:eastAsia="Times New Roman" w:cs="Arial"/>
          <w:sz w:val="36"/>
          <w:szCs w:val="36"/>
          <w:lang w:eastAsia="bg-BG"/>
        </w:rPr>
      </w:pPr>
      <w:r w:rsidRPr="00E42D7B">
        <w:rPr>
          <w:rFonts w:eastAsia="Times New Roman" w:cs="Arial"/>
          <w:color w:val="000000"/>
          <w:lang w:eastAsia="bg-BG"/>
        </w:rPr>
        <w:t xml:space="preserve">При деца на/над 1-годишна възраст и подрастващи трябва да се прилагат 0,5 до 2 </w:t>
      </w:r>
      <w:r w:rsidRPr="00E42D7B">
        <w:rPr>
          <w:rFonts w:eastAsia="Times New Roman" w:cs="Arial"/>
          <w:color w:val="000000"/>
          <w:lang w:val="en-US"/>
        </w:rPr>
        <w:t xml:space="preserve">mg/kg </w:t>
      </w:r>
      <w:r w:rsidRPr="00E42D7B">
        <w:rPr>
          <w:rFonts w:eastAsia="Times New Roman" w:cs="Arial"/>
          <w:color w:val="000000"/>
          <w:lang w:eastAsia="bg-BG"/>
        </w:rPr>
        <w:t>телесно тегло дневно, в 2 до 3 отделни приема, в зависимост от тежестта на състоянието.</w:t>
      </w:r>
    </w:p>
    <w:p w14:paraId="20D51F0D" w14:textId="77777777" w:rsidR="00E42D7B" w:rsidRPr="00E42D7B" w:rsidRDefault="00E42D7B" w:rsidP="00E42D7B">
      <w:pPr>
        <w:spacing w:line="240" w:lineRule="auto"/>
        <w:rPr>
          <w:rFonts w:eastAsia="Times New Roman" w:cs="Arial"/>
          <w:sz w:val="36"/>
          <w:szCs w:val="36"/>
          <w:lang w:eastAsia="bg-BG"/>
        </w:rPr>
      </w:pPr>
      <w:r w:rsidRPr="00E42D7B">
        <w:rPr>
          <w:rFonts w:eastAsia="Times New Roman" w:cs="Arial"/>
          <w:color w:val="000000"/>
          <w:lang w:eastAsia="bg-BG"/>
        </w:rPr>
        <w:t xml:space="preserve">За лечение на ювенилен хроничен артрит дневната доза може да се повиши до максимум 3 </w:t>
      </w:r>
      <w:r w:rsidRPr="00E42D7B">
        <w:rPr>
          <w:rFonts w:eastAsia="Times New Roman" w:cs="Arial"/>
          <w:color w:val="000000"/>
          <w:lang w:val="en-US"/>
        </w:rPr>
        <w:t xml:space="preserve">mg/kg, </w:t>
      </w:r>
      <w:r w:rsidRPr="00E42D7B">
        <w:rPr>
          <w:rFonts w:eastAsia="Times New Roman" w:cs="Arial"/>
          <w:color w:val="000000"/>
          <w:lang w:eastAsia="bg-BG"/>
        </w:rPr>
        <w:t>разпределени в няколко приема.</w:t>
      </w:r>
    </w:p>
    <w:p w14:paraId="6DEB722E" w14:textId="77777777" w:rsidR="00E42D7B" w:rsidRPr="00E42D7B" w:rsidRDefault="00E42D7B" w:rsidP="00E42D7B">
      <w:pPr>
        <w:spacing w:line="240" w:lineRule="auto"/>
        <w:rPr>
          <w:rFonts w:eastAsia="Times New Roman" w:cs="Arial"/>
          <w:color w:val="000000"/>
          <w:lang w:eastAsia="bg-BG"/>
        </w:rPr>
      </w:pPr>
    </w:p>
    <w:p w14:paraId="2B1508F8" w14:textId="07F8C6B3" w:rsidR="00E42D7B" w:rsidRPr="00E42D7B" w:rsidRDefault="00E42D7B" w:rsidP="00E42D7B">
      <w:pPr>
        <w:spacing w:line="240" w:lineRule="auto"/>
        <w:rPr>
          <w:rFonts w:eastAsia="Times New Roman" w:cs="Arial"/>
          <w:sz w:val="36"/>
          <w:szCs w:val="36"/>
          <w:lang w:eastAsia="bg-BG"/>
        </w:rPr>
      </w:pPr>
      <w:r w:rsidRPr="00E42D7B">
        <w:rPr>
          <w:rFonts w:eastAsia="Times New Roman" w:cs="Arial"/>
          <w:color w:val="000000"/>
          <w:lang w:eastAsia="bg-BG"/>
        </w:rPr>
        <w:t xml:space="preserve">Не трябва да се превишава максималната дневна доза от 150 </w:t>
      </w:r>
      <w:r w:rsidRPr="00E42D7B">
        <w:rPr>
          <w:rFonts w:eastAsia="Times New Roman" w:cs="Arial"/>
          <w:color w:val="000000"/>
          <w:lang w:val="en-US"/>
        </w:rPr>
        <w:t>mg.</w:t>
      </w:r>
    </w:p>
    <w:p w14:paraId="0F6E70A0" w14:textId="77777777" w:rsidR="00E42D7B" w:rsidRPr="00E42D7B" w:rsidRDefault="00E42D7B" w:rsidP="00E42D7B">
      <w:pPr>
        <w:spacing w:line="240" w:lineRule="auto"/>
        <w:rPr>
          <w:rFonts w:eastAsia="Times New Roman" w:cs="Arial"/>
          <w:color w:val="000000"/>
          <w:lang w:eastAsia="bg-BG"/>
        </w:rPr>
      </w:pPr>
    </w:p>
    <w:p w14:paraId="6105E45D" w14:textId="7C882E8A" w:rsidR="00E42D7B" w:rsidRPr="00E42D7B" w:rsidRDefault="00E42D7B" w:rsidP="00E42D7B">
      <w:pPr>
        <w:spacing w:line="240" w:lineRule="auto"/>
        <w:rPr>
          <w:rFonts w:eastAsia="Times New Roman" w:cs="Arial"/>
          <w:sz w:val="36"/>
          <w:szCs w:val="36"/>
          <w:lang w:eastAsia="bg-BG"/>
        </w:rPr>
      </w:pPr>
      <w:r w:rsidRPr="00E42D7B">
        <w:rPr>
          <w:rFonts w:eastAsia="Times New Roman" w:cs="Arial"/>
          <w:color w:val="000000"/>
          <w:lang w:eastAsia="bg-BG"/>
        </w:rPr>
        <w:t xml:space="preserve">Поради високата доза Волтарен супозитории от 50 </w:t>
      </w:r>
      <w:r w:rsidRPr="00E42D7B">
        <w:rPr>
          <w:rFonts w:eastAsia="Times New Roman" w:cs="Arial"/>
          <w:color w:val="000000"/>
          <w:lang w:val="en-US"/>
        </w:rPr>
        <w:t xml:space="preserve">mg </w:t>
      </w:r>
      <w:r w:rsidRPr="00E42D7B">
        <w:rPr>
          <w:rFonts w:eastAsia="Times New Roman" w:cs="Arial"/>
          <w:color w:val="000000"/>
          <w:lang w:eastAsia="bg-BG"/>
        </w:rPr>
        <w:t>не се препоръчват при деца и подрастващи под 14 години.</w:t>
      </w:r>
    </w:p>
    <w:p w14:paraId="22DD8857" w14:textId="77777777" w:rsidR="00E42D7B" w:rsidRPr="00E42D7B" w:rsidRDefault="00E42D7B" w:rsidP="00E42D7B">
      <w:pPr>
        <w:spacing w:line="240" w:lineRule="auto"/>
        <w:rPr>
          <w:rFonts w:eastAsia="Times New Roman" w:cs="Arial"/>
          <w:color w:val="000000"/>
          <w:lang w:eastAsia="bg-BG"/>
        </w:rPr>
      </w:pPr>
    </w:p>
    <w:p w14:paraId="3A16AE8F" w14:textId="1AE373C8" w:rsidR="00E42D7B" w:rsidRPr="00E42D7B" w:rsidRDefault="00E42D7B" w:rsidP="00E42D7B">
      <w:pPr>
        <w:spacing w:line="240" w:lineRule="auto"/>
        <w:rPr>
          <w:rFonts w:eastAsia="Times New Roman" w:cs="Arial"/>
          <w:sz w:val="36"/>
          <w:szCs w:val="36"/>
          <w:lang w:eastAsia="bg-BG"/>
        </w:rPr>
      </w:pPr>
      <w:r w:rsidRPr="00E42D7B">
        <w:rPr>
          <w:rFonts w:eastAsia="Times New Roman" w:cs="Arial"/>
          <w:color w:val="000000"/>
          <w:lang w:eastAsia="bg-BG"/>
        </w:rPr>
        <w:t xml:space="preserve">Волтарен супозитории от 100 </w:t>
      </w:r>
      <w:r w:rsidRPr="00E42D7B">
        <w:rPr>
          <w:rFonts w:eastAsia="Times New Roman" w:cs="Arial"/>
          <w:color w:val="000000"/>
          <w:lang w:val="en-US"/>
        </w:rPr>
        <w:t xml:space="preserve">mg </w:t>
      </w:r>
      <w:r w:rsidRPr="00E42D7B">
        <w:rPr>
          <w:rFonts w:eastAsia="Times New Roman" w:cs="Arial"/>
          <w:color w:val="000000"/>
          <w:lang w:eastAsia="bg-BG"/>
        </w:rPr>
        <w:t>не са подходящи за деца и подрастващи.</w:t>
      </w:r>
    </w:p>
    <w:p w14:paraId="2BE91BA1" w14:textId="77777777" w:rsidR="00E42D7B" w:rsidRPr="00E42D7B" w:rsidRDefault="00E42D7B" w:rsidP="00E42D7B">
      <w:pPr>
        <w:spacing w:line="240" w:lineRule="auto"/>
        <w:rPr>
          <w:rFonts w:eastAsia="Times New Roman" w:cs="Arial"/>
          <w:color w:val="000000"/>
          <w:lang w:eastAsia="bg-BG"/>
        </w:rPr>
      </w:pPr>
    </w:p>
    <w:p w14:paraId="13337792" w14:textId="27C42C6D" w:rsidR="00E42D7B" w:rsidRPr="00E42D7B" w:rsidRDefault="00E42D7B" w:rsidP="00E42D7B">
      <w:pPr>
        <w:spacing w:line="240" w:lineRule="auto"/>
        <w:rPr>
          <w:rFonts w:eastAsia="Times New Roman" w:cs="Arial"/>
          <w:sz w:val="36"/>
          <w:szCs w:val="36"/>
          <w:lang w:eastAsia="bg-BG"/>
        </w:rPr>
      </w:pPr>
      <w:r w:rsidRPr="00E42D7B">
        <w:rPr>
          <w:rFonts w:eastAsia="Times New Roman" w:cs="Arial"/>
          <w:color w:val="000000"/>
          <w:lang w:eastAsia="bg-BG"/>
        </w:rPr>
        <w:t>Пациенти в старческа възраст (на 65 и повече години)</w:t>
      </w:r>
    </w:p>
    <w:p w14:paraId="387EEACA" w14:textId="77777777" w:rsidR="00E42D7B" w:rsidRPr="00E42D7B" w:rsidRDefault="00E42D7B" w:rsidP="00E42D7B">
      <w:pPr>
        <w:spacing w:line="240" w:lineRule="auto"/>
        <w:rPr>
          <w:rFonts w:eastAsia="Times New Roman" w:cs="Arial"/>
          <w:sz w:val="36"/>
          <w:szCs w:val="36"/>
          <w:lang w:eastAsia="bg-BG"/>
        </w:rPr>
      </w:pPr>
      <w:r w:rsidRPr="00E42D7B">
        <w:rPr>
          <w:rFonts w:eastAsia="Times New Roman" w:cs="Arial"/>
          <w:color w:val="000000"/>
          <w:lang w:eastAsia="bg-BG"/>
        </w:rPr>
        <w:t>Обикновено не е необходимо коригиране на първоначалната доза при пациенти в напреднала възраст. Въпреки това е необходимо повишено внимание поради основни медицински съображения, особено при немощни пациенти в старческа възраст или при тези с ниско телесно тегло (вж. т.4.4 Специални предупреждения и предпазни мерки при употреба).</w:t>
      </w:r>
    </w:p>
    <w:p w14:paraId="79995246" w14:textId="77777777" w:rsidR="00E42D7B" w:rsidRPr="00E42D7B" w:rsidRDefault="00E42D7B" w:rsidP="00E42D7B">
      <w:pPr>
        <w:spacing w:line="240" w:lineRule="auto"/>
        <w:rPr>
          <w:rFonts w:eastAsia="Times New Roman" w:cs="Arial"/>
          <w:color w:val="000000"/>
          <w:lang w:eastAsia="bg-BG"/>
        </w:rPr>
      </w:pPr>
    </w:p>
    <w:p w14:paraId="78021D8C" w14:textId="31147A01" w:rsidR="00E42D7B" w:rsidRPr="00E42D7B" w:rsidRDefault="00E42D7B" w:rsidP="00E42D7B">
      <w:pPr>
        <w:spacing w:line="240" w:lineRule="auto"/>
        <w:rPr>
          <w:rFonts w:eastAsia="Times New Roman" w:cs="Arial"/>
          <w:sz w:val="36"/>
          <w:szCs w:val="36"/>
          <w:lang w:eastAsia="bg-BG"/>
        </w:rPr>
      </w:pPr>
      <w:r w:rsidRPr="00E42D7B">
        <w:rPr>
          <w:rFonts w:eastAsia="Times New Roman" w:cs="Arial"/>
          <w:color w:val="000000"/>
          <w:lang w:eastAsia="bg-BG"/>
        </w:rPr>
        <w:t>Пациенти с установено сърдечно-съдово заболяване или със значителни рискови фактори за сърдечно-съдово заболяване</w:t>
      </w:r>
    </w:p>
    <w:p w14:paraId="04347FB8" w14:textId="77777777" w:rsidR="00E42D7B" w:rsidRPr="00E42D7B" w:rsidRDefault="00E42D7B" w:rsidP="00E42D7B">
      <w:pPr>
        <w:spacing w:line="240" w:lineRule="auto"/>
        <w:rPr>
          <w:rFonts w:eastAsia="Times New Roman" w:cs="Arial"/>
          <w:sz w:val="36"/>
          <w:szCs w:val="36"/>
          <w:lang w:eastAsia="bg-BG"/>
        </w:rPr>
      </w:pPr>
      <w:r w:rsidRPr="00E42D7B">
        <w:rPr>
          <w:rFonts w:eastAsia="Times New Roman" w:cs="Arial"/>
          <w:color w:val="000000"/>
          <w:lang w:eastAsia="bg-BG"/>
        </w:rPr>
        <w:t xml:space="preserve">Обикновено лечението с Волтарен при пациенти с установено сърдечно-съдово заболяване или неконтролирана хипертония не се препоръчва. При необходимост, </w:t>
      </w:r>
      <w:r w:rsidRPr="00E42D7B">
        <w:rPr>
          <w:rFonts w:eastAsia="Times New Roman" w:cs="Arial"/>
          <w:color w:val="000000"/>
          <w:lang w:eastAsia="bg-BG"/>
        </w:rPr>
        <w:lastRenderedPageBreak/>
        <w:t xml:space="preserve">пациенти с установено сърдечно-съдово заболяване, неконтролирана хипертония или значителни рискови фактори за сърдечно-съдово заболяване трябва да бъдат лекувани с Волтарен само след внимателна преценка и само с дози ≤ 100 </w:t>
      </w:r>
      <w:r w:rsidRPr="00E42D7B">
        <w:rPr>
          <w:rFonts w:eastAsia="Times New Roman" w:cs="Arial"/>
          <w:color w:val="000000"/>
          <w:lang w:val="en-US"/>
        </w:rPr>
        <w:t xml:space="preserve">mg </w:t>
      </w:r>
      <w:r w:rsidRPr="00E42D7B">
        <w:rPr>
          <w:rFonts w:eastAsia="Times New Roman" w:cs="Arial"/>
          <w:color w:val="000000"/>
          <w:lang w:eastAsia="bg-BG"/>
        </w:rPr>
        <w:t>дневно, когато лечението продължава за повече от 4 седмици (вж. т. 4.4 Специални предупреждения и предпазни мерки при употреба).</w:t>
      </w:r>
    </w:p>
    <w:p w14:paraId="298010E2" w14:textId="77777777" w:rsidR="00E42D7B" w:rsidRPr="00E42D7B" w:rsidRDefault="00E42D7B" w:rsidP="00E42D7B">
      <w:pPr>
        <w:spacing w:line="240" w:lineRule="auto"/>
        <w:rPr>
          <w:rFonts w:eastAsia="Times New Roman" w:cs="Arial"/>
          <w:color w:val="000000"/>
          <w:lang w:eastAsia="bg-BG"/>
        </w:rPr>
      </w:pPr>
    </w:p>
    <w:p w14:paraId="6D14730F" w14:textId="28D5B4A6" w:rsidR="00E42D7B" w:rsidRPr="00E42D7B" w:rsidRDefault="00E42D7B" w:rsidP="00E42D7B">
      <w:pPr>
        <w:spacing w:line="240" w:lineRule="auto"/>
        <w:rPr>
          <w:rFonts w:eastAsia="Times New Roman" w:cs="Arial"/>
          <w:sz w:val="36"/>
          <w:szCs w:val="36"/>
          <w:lang w:eastAsia="bg-BG"/>
        </w:rPr>
      </w:pPr>
      <w:r w:rsidRPr="00E42D7B">
        <w:rPr>
          <w:rFonts w:eastAsia="Times New Roman" w:cs="Arial"/>
          <w:color w:val="000000"/>
          <w:lang w:eastAsia="bg-BG"/>
        </w:rPr>
        <w:t>Бъбречно увреждане</w:t>
      </w:r>
    </w:p>
    <w:p w14:paraId="448EEFA6" w14:textId="77777777" w:rsidR="00E42D7B" w:rsidRPr="00E42D7B" w:rsidRDefault="00E42D7B" w:rsidP="00E42D7B">
      <w:pPr>
        <w:spacing w:line="240" w:lineRule="auto"/>
        <w:rPr>
          <w:rFonts w:eastAsia="Times New Roman" w:cs="Arial"/>
          <w:sz w:val="36"/>
          <w:szCs w:val="36"/>
          <w:lang w:eastAsia="bg-BG"/>
        </w:rPr>
      </w:pPr>
      <w:r w:rsidRPr="00E42D7B">
        <w:rPr>
          <w:rFonts w:eastAsia="Times New Roman" w:cs="Arial"/>
          <w:color w:val="000000"/>
          <w:lang w:eastAsia="bg-BG"/>
        </w:rPr>
        <w:t xml:space="preserve">Волтарен е противопоказан при пациенти с бъбречна недостатъчност </w:t>
      </w:r>
      <w:r w:rsidRPr="00E42D7B">
        <w:rPr>
          <w:rFonts w:eastAsia="Times New Roman" w:cs="Arial"/>
          <w:color w:val="000000"/>
          <w:lang w:val="en-US"/>
        </w:rPr>
        <w:t xml:space="preserve">(GFR </w:t>
      </w:r>
      <w:r w:rsidRPr="00E42D7B">
        <w:rPr>
          <w:rFonts w:eastAsia="Times New Roman" w:cs="Arial"/>
          <w:color w:val="000000"/>
          <w:lang w:eastAsia="bg-BG"/>
        </w:rPr>
        <w:t xml:space="preserve">&lt;15 </w:t>
      </w:r>
      <w:r w:rsidRPr="00E42D7B">
        <w:rPr>
          <w:rFonts w:eastAsia="Times New Roman" w:cs="Arial"/>
          <w:color w:val="000000"/>
          <w:lang w:val="en-US"/>
        </w:rPr>
        <w:t xml:space="preserve">ml/min/1,73 </w:t>
      </w:r>
      <w:r w:rsidRPr="00E42D7B">
        <w:rPr>
          <w:rFonts w:eastAsia="Times New Roman" w:cs="Arial"/>
          <w:color w:val="000000"/>
          <w:lang w:eastAsia="bg-BG"/>
        </w:rPr>
        <w:t>ш</w:t>
      </w:r>
      <w:r w:rsidRPr="00E42D7B">
        <w:rPr>
          <w:rFonts w:eastAsia="Times New Roman" w:cs="Arial"/>
          <w:color w:val="000000"/>
          <w:vertAlign w:val="superscript"/>
          <w:lang w:eastAsia="bg-BG"/>
        </w:rPr>
        <w:t>2</w:t>
      </w:r>
      <w:r w:rsidRPr="00E42D7B">
        <w:rPr>
          <w:rFonts w:eastAsia="Times New Roman" w:cs="Arial"/>
          <w:color w:val="000000"/>
          <w:lang w:eastAsia="bg-BG"/>
        </w:rPr>
        <w:t>) (вж. т. 4.3 Противопоказания).</w:t>
      </w:r>
    </w:p>
    <w:p w14:paraId="47F8E5AB" w14:textId="77777777" w:rsidR="00E42D7B" w:rsidRPr="00E42D7B" w:rsidRDefault="00E42D7B" w:rsidP="00E42D7B">
      <w:pPr>
        <w:spacing w:line="240" w:lineRule="auto"/>
        <w:rPr>
          <w:rFonts w:eastAsia="Times New Roman" w:cs="Arial"/>
          <w:color w:val="000000"/>
          <w:lang w:eastAsia="bg-BG"/>
        </w:rPr>
      </w:pPr>
    </w:p>
    <w:p w14:paraId="3A8C8E0B" w14:textId="09F64670" w:rsidR="00E42D7B" w:rsidRPr="00E42D7B" w:rsidRDefault="00E42D7B" w:rsidP="00E42D7B">
      <w:pPr>
        <w:spacing w:line="240" w:lineRule="auto"/>
        <w:rPr>
          <w:rFonts w:eastAsia="Times New Roman" w:cs="Arial"/>
          <w:sz w:val="36"/>
          <w:szCs w:val="36"/>
          <w:lang w:eastAsia="bg-BG"/>
        </w:rPr>
      </w:pPr>
      <w:r w:rsidRPr="00E42D7B">
        <w:rPr>
          <w:rFonts w:eastAsia="Times New Roman" w:cs="Arial"/>
          <w:color w:val="000000"/>
          <w:lang w:eastAsia="bg-BG"/>
        </w:rPr>
        <w:t>Тъй като не са провеждани специфични проучвания при пациенти с бъбречно увреждане, не е необходимо извършването на специфични корекции на дозата. Необходимо е внимание при прилагането на Волтарен на пациенти с бъбречно увреждане (вж. т. 4.4 Специални предупреждения и предпазни мерки при употреба).</w:t>
      </w:r>
    </w:p>
    <w:p w14:paraId="454FE6D9" w14:textId="77777777" w:rsidR="00E42D7B" w:rsidRPr="00E42D7B" w:rsidRDefault="00E42D7B" w:rsidP="00E42D7B">
      <w:pPr>
        <w:spacing w:line="240" w:lineRule="auto"/>
        <w:rPr>
          <w:rFonts w:eastAsia="Times New Roman" w:cs="Arial"/>
          <w:color w:val="000000"/>
          <w:lang w:eastAsia="bg-BG"/>
        </w:rPr>
      </w:pPr>
    </w:p>
    <w:p w14:paraId="3D321490" w14:textId="67B5D241" w:rsidR="00E42D7B" w:rsidRPr="00E42D7B" w:rsidRDefault="00E42D7B" w:rsidP="00E42D7B">
      <w:pPr>
        <w:spacing w:line="240" w:lineRule="auto"/>
        <w:rPr>
          <w:rFonts w:eastAsia="Times New Roman" w:cs="Arial"/>
          <w:sz w:val="36"/>
          <w:szCs w:val="36"/>
          <w:lang w:eastAsia="bg-BG"/>
        </w:rPr>
      </w:pPr>
      <w:r w:rsidRPr="00E42D7B">
        <w:rPr>
          <w:rFonts w:eastAsia="Times New Roman" w:cs="Arial"/>
          <w:color w:val="000000"/>
          <w:lang w:eastAsia="bg-BG"/>
        </w:rPr>
        <w:t>Чернодробно увреждане</w:t>
      </w:r>
    </w:p>
    <w:p w14:paraId="454BA69D" w14:textId="77777777" w:rsidR="00E42D7B" w:rsidRPr="00E42D7B" w:rsidRDefault="00E42D7B" w:rsidP="00E42D7B">
      <w:pPr>
        <w:spacing w:line="240" w:lineRule="auto"/>
        <w:rPr>
          <w:rFonts w:eastAsia="Times New Roman" w:cs="Arial"/>
          <w:sz w:val="36"/>
          <w:szCs w:val="36"/>
          <w:lang w:eastAsia="bg-BG"/>
        </w:rPr>
      </w:pPr>
      <w:r w:rsidRPr="00E42D7B">
        <w:rPr>
          <w:rFonts w:eastAsia="Times New Roman" w:cs="Arial"/>
          <w:color w:val="000000"/>
          <w:lang w:eastAsia="bg-BG"/>
        </w:rPr>
        <w:t>Волтарен е противопоказан при пациенти с чернодробна недостатъчност (вж. т. 4.3 Противопоказания).</w:t>
      </w:r>
    </w:p>
    <w:p w14:paraId="4BFA9869" w14:textId="77777777" w:rsidR="00E42D7B" w:rsidRPr="00E42D7B" w:rsidRDefault="00E42D7B" w:rsidP="00E42D7B">
      <w:pPr>
        <w:spacing w:line="240" w:lineRule="auto"/>
        <w:rPr>
          <w:rFonts w:eastAsia="Times New Roman" w:cs="Arial"/>
          <w:color w:val="000000"/>
          <w:lang w:eastAsia="bg-BG"/>
        </w:rPr>
      </w:pPr>
    </w:p>
    <w:p w14:paraId="6C27EC69" w14:textId="77777777" w:rsidR="00E42D7B" w:rsidRPr="00E42D7B" w:rsidRDefault="00E42D7B" w:rsidP="00E42D7B">
      <w:pPr>
        <w:rPr>
          <w:rFonts w:eastAsia="Times New Roman" w:cs="Arial"/>
          <w:sz w:val="36"/>
          <w:szCs w:val="36"/>
          <w:lang w:eastAsia="bg-BG"/>
        </w:rPr>
      </w:pPr>
      <w:r w:rsidRPr="00E42D7B">
        <w:rPr>
          <w:rFonts w:eastAsia="Times New Roman" w:cs="Arial"/>
          <w:color w:val="000000"/>
          <w:lang w:eastAsia="bg-BG"/>
        </w:rPr>
        <w:t>Тъй като не са провеждани специфични проучвания при пациенти с чернодробно увреждане, не е необходимо извършването на специфични корекции на дозата. Необходимо е внимание при</w:t>
      </w:r>
      <w:r w:rsidRPr="00E42D7B">
        <w:rPr>
          <w:rFonts w:eastAsia="Times New Roman" w:cs="Arial"/>
          <w:color w:val="000000"/>
          <w:lang w:val="en-US" w:eastAsia="bg-BG"/>
        </w:rPr>
        <w:t xml:space="preserve"> </w:t>
      </w:r>
      <w:r w:rsidRPr="00E42D7B">
        <w:rPr>
          <w:rFonts w:eastAsia="Times New Roman" w:cs="Arial"/>
          <w:color w:val="000000"/>
          <w:lang w:eastAsia="bg-BG"/>
        </w:rPr>
        <w:t>прилагането на Волтарен на пациенти с леко до умерено чернодробно увреждане (вж. т. 4.4 Специални предупреждения и предпазни мерки при употреба).</w:t>
      </w:r>
    </w:p>
    <w:p w14:paraId="17C3AE66" w14:textId="77777777" w:rsidR="00E42D7B" w:rsidRPr="00E42D7B" w:rsidRDefault="00E42D7B" w:rsidP="00E42D7B">
      <w:pPr>
        <w:spacing w:line="240" w:lineRule="auto"/>
        <w:rPr>
          <w:rFonts w:eastAsia="Times New Roman" w:cs="Arial"/>
          <w:color w:val="000000"/>
          <w:u w:val="single"/>
          <w:lang w:eastAsia="bg-BG"/>
        </w:rPr>
      </w:pPr>
    </w:p>
    <w:p w14:paraId="52A56371" w14:textId="381BA632" w:rsidR="00E42D7B" w:rsidRPr="00E42D7B" w:rsidRDefault="00E42D7B" w:rsidP="00E42D7B">
      <w:pPr>
        <w:pStyle w:val="Heading3"/>
        <w:rPr>
          <w:rFonts w:eastAsia="Times New Roman"/>
          <w:sz w:val="36"/>
          <w:szCs w:val="36"/>
          <w:u w:val="single"/>
          <w:lang w:eastAsia="bg-BG"/>
        </w:rPr>
      </w:pPr>
      <w:r w:rsidRPr="00E42D7B">
        <w:rPr>
          <w:rFonts w:eastAsia="Times New Roman"/>
          <w:u w:val="single"/>
          <w:lang w:eastAsia="bg-BG"/>
        </w:rPr>
        <w:t>Начин на приложение</w:t>
      </w:r>
    </w:p>
    <w:p w14:paraId="2DE4C416" w14:textId="77777777" w:rsidR="00E42D7B" w:rsidRPr="00E42D7B" w:rsidRDefault="00E42D7B" w:rsidP="00E42D7B">
      <w:pPr>
        <w:spacing w:line="240" w:lineRule="auto"/>
        <w:rPr>
          <w:rFonts w:eastAsia="Times New Roman" w:cs="Arial"/>
          <w:sz w:val="36"/>
          <w:szCs w:val="36"/>
          <w:lang w:eastAsia="bg-BG"/>
        </w:rPr>
      </w:pPr>
      <w:r w:rsidRPr="00E42D7B">
        <w:rPr>
          <w:rFonts w:eastAsia="Times New Roman" w:cs="Arial"/>
          <w:color w:val="000000"/>
          <w:lang w:eastAsia="bg-BG"/>
        </w:rPr>
        <w:t>Супозиториите трябва да бъдат добре поставени в ректума. Препоръчва се супозиториите да се прилагат след дефекация.</w:t>
      </w:r>
    </w:p>
    <w:p w14:paraId="0E8DF46B" w14:textId="77777777" w:rsidR="00E42D7B" w:rsidRPr="00E42D7B" w:rsidRDefault="00E42D7B" w:rsidP="00E42D7B">
      <w:pPr>
        <w:spacing w:line="240" w:lineRule="auto"/>
        <w:rPr>
          <w:rFonts w:eastAsia="Times New Roman" w:cs="Arial"/>
          <w:color w:val="000000"/>
          <w:lang w:eastAsia="bg-BG"/>
        </w:rPr>
      </w:pPr>
    </w:p>
    <w:p w14:paraId="74FD0BB5" w14:textId="4906378D" w:rsidR="00E42D7B" w:rsidRPr="00E42D7B" w:rsidRDefault="00E42D7B" w:rsidP="00E42D7B">
      <w:pPr>
        <w:spacing w:line="240" w:lineRule="auto"/>
        <w:rPr>
          <w:rFonts w:eastAsia="Times New Roman" w:cs="Arial"/>
          <w:sz w:val="36"/>
          <w:szCs w:val="36"/>
          <w:lang w:val="en-US" w:eastAsia="bg-BG"/>
        </w:rPr>
      </w:pPr>
      <w:r w:rsidRPr="00E42D7B">
        <w:rPr>
          <w:rFonts w:eastAsia="Times New Roman" w:cs="Arial"/>
          <w:color w:val="000000"/>
          <w:lang w:eastAsia="bg-BG"/>
        </w:rPr>
        <w:t>Да не се приемат перорално, а само ректално.</w:t>
      </w:r>
    </w:p>
    <w:p w14:paraId="04BE4A98" w14:textId="77777777" w:rsidR="00E42D7B" w:rsidRPr="00E42D7B" w:rsidRDefault="00E42D7B" w:rsidP="00E42D7B"/>
    <w:p w14:paraId="5D9E65DA" w14:textId="37CC7594" w:rsidR="009F77A4" w:rsidRDefault="002C50EE" w:rsidP="00387A66">
      <w:pPr>
        <w:pStyle w:val="Heading2"/>
      </w:pPr>
      <w:r>
        <w:t>4.3. Противопоказания</w:t>
      </w:r>
    </w:p>
    <w:p w14:paraId="1CD4FE37" w14:textId="77777777" w:rsidR="00E42D7B" w:rsidRDefault="00E42D7B" w:rsidP="00E42D7B"/>
    <w:p w14:paraId="6547B03A" w14:textId="77777777" w:rsidR="00E42D7B" w:rsidRPr="00E42D7B" w:rsidRDefault="00E42D7B" w:rsidP="00E42D7B">
      <w:pPr>
        <w:pStyle w:val="ListParagraph"/>
        <w:numPr>
          <w:ilvl w:val="0"/>
          <w:numId w:val="41"/>
        </w:numPr>
        <w:spacing w:line="240" w:lineRule="auto"/>
        <w:rPr>
          <w:rFonts w:eastAsia="Times New Roman" w:cs="Arial"/>
          <w:color w:val="000000"/>
          <w:lang w:eastAsia="bg-BG"/>
        </w:rPr>
      </w:pPr>
      <w:r w:rsidRPr="00E42D7B">
        <w:rPr>
          <w:rFonts w:eastAsia="Times New Roman" w:cs="Arial"/>
          <w:color w:val="000000"/>
          <w:lang w:eastAsia="bg-BG"/>
        </w:rPr>
        <w:t>Известна свръхчувствителност към активното вещество или към някое от помощните вещества.</w:t>
      </w:r>
    </w:p>
    <w:p w14:paraId="7ACC6382" w14:textId="77777777" w:rsidR="00E42D7B" w:rsidRPr="00E42D7B" w:rsidRDefault="00E42D7B" w:rsidP="00E42D7B">
      <w:pPr>
        <w:pStyle w:val="ListParagraph"/>
        <w:numPr>
          <w:ilvl w:val="0"/>
          <w:numId w:val="41"/>
        </w:numPr>
        <w:spacing w:line="240" w:lineRule="auto"/>
        <w:rPr>
          <w:rFonts w:eastAsia="Times New Roman" w:cs="Arial"/>
          <w:color w:val="000000"/>
          <w:lang w:eastAsia="bg-BG"/>
        </w:rPr>
      </w:pPr>
      <w:r w:rsidRPr="00E42D7B">
        <w:rPr>
          <w:rFonts w:eastAsia="Times New Roman" w:cs="Arial"/>
          <w:color w:val="000000"/>
          <w:lang w:eastAsia="bg-BG"/>
        </w:rPr>
        <w:t>Активна стомашна или чревна язва, кървене или перфорация (вж. т.4.4 Специални предупреждения и предпазни мерки при употреба и т. 4.8 Нежелани лекарствени реакции).</w:t>
      </w:r>
    </w:p>
    <w:p w14:paraId="434C833B" w14:textId="77777777" w:rsidR="00E42D7B" w:rsidRPr="00E42D7B" w:rsidRDefault="00E42D7B" w:rsidP="00E42D7B">
      <w:pPr>
        <w:pStyle w:val="ListParagraph"/>
        <w:numPr>
          <w:ilvl w:val="0"/>
          <w:numId w:val="41"/>
        </w:numPr>
        <w:spacing w:line="240" w:lineRule="auto"/>
        <w:rPr>
          <w:rFonts w:eastAsia="Times New Roman" w:cs="Arial"/>
          <w:color w:val="000000"/>
          <w:lang w:eastAsia="bg-BG"/>
        </w:rPr>
      </w:pPr>
      <w:r w:rsidRPr="00E42D7B">
        <w:rPr>
          <w:rFonts w:eastAsia="Times New Roman" w:cs="Arial"/>
          <w:color w:val="000000"/>
          <w:lang w:eastAsia="bg-BG"/>
        </w:rPr>
        <w:t>Анамнеза за кървене от стомашно-чревния тракт или перфорация, свързани с предходно лечение с НСПВС. Активна или повторна поява на пептична язва/кървене (два или повече отделни доказани епизода на язва или кървене).</w:t>
      </w:r>
    </w:p>
    <w:p w14:paraId="6A6692B0" w14:textId="77777777" w:rsidR="00E42D7B" w:rsidRPr="00E42D7B" w:rsidRDefault="00E42D7B" w:rsidP="00E42D7B">
      <w:pPr>
        <w:pStyle w:val="ListParagraph"/>
        <w:numPr>
          <w:ilvl w:val="0"/>
          <w:numId w:val="41"/>
        </w:numPr>
        <w:spacing w:line="240" w:lineRule="auto"/>
        <w:rPr>
          <w:rFonts w:eastAsia="Times New Roman" w:cs="Arial"/>
          <w:color w:val="000000"/>
          <w:lang w:eastAsia="bg-BG"/>
        </w:rPr>
      </w:pPr>
      <w:r w:rsidRPr="00E42D7B">
        <w:rPr>
          <w:rFonts w:eastAsia="Times New Roman" w:cs="Arial"/>
          <w:color w:val="000000"/>
          <w:lang w:eastAsia="bg-BG"/>
        </w:rPr>
        <w:t>Последния триместър от бременността (вж. т. 4.6. Фертилитет, бременност и кърмене).</w:t>
      </w:r>
    </w:p>
    <w:p w14:paraId="372C709A" w14:textId="77777777" w:rsidR="00E42D7B" w:rsidRPr="00E42D7B" w:rsidRDefault="00E42D7B" w:rsidP="00E42D7B">
      <w:pPr>
        <w:pStyle w:val="ListParagraph"/>
        <w:numPr>
          <w:ilvl w:val="0"/>
          <w:numId w:val="41"/>
        </w:numPr>
        <w:spacing w:line="240" w:lineRule="auto"/>
        <w:rPr>
          <w:rFonts w:eastAsia="Times New Roman" w:cs="Arial"/>
          <w:color w:val="000000"/>
          <w:lang w:eastAsia="bg-BG"/>
        </w:rPr>
      </w:pPr>
      <w:r w:rsidRPr="00E42D7B">
        <w:rPr>
          <w:rFonts w:eastAsia="Times New Roman" w:cs="Arial"/>
          <w:color w:val="000000"/>
          <w:lang w:eastAsia="bg-BG"/>
        </w:rPr>
        <w:t>Чернодробна недостатъчност.</w:t>
      </w:r>
    </w:p>
    <w:p w14:paraId="2BEB5D42" w14:textId="77777777" w:rsidR="00E42D7B" w:rsidRPr="00E42D7B" w:rsidRDefault="00E42D7B" w:rsidP="00E42D7B">
      <w:pPr>
        <w:pStyle w:val="ListParagraph"/>
        <w:numPr>
          <w:ilvl w:val="0"/>
          <w:numId w:val="41"/>
        </w:numPr>
        <w:spacing w:line="240" w:lineRule="auto"/>
        <w:rPr>
          <w:rFonts w:eastAsia="Times New Roman" w:cs="Arial"/>
          <w:color w:val="000000"/>
          <w:lang w:eastAsia="bg-BG"/>
        </w:rPr>
      </w:pPr>
      <w:r w:rsidRPr="00E42D7B">
        <w:rPr>
          <w:rFonts w:eastAsia="Times New Roman" w:cs="Arial"/>
          <w:color w:val="000000"/>
          <w:lang w:eastAsia="bg-BG"/>
        </w:rPr>
        <w:t xml:space="preserve">Бъбречна недостатъчност </w:t>
      </w:r>
      <w:r w:rsidRPr="00E42D7B">
        <w:rPr>
          <w:rFonts w:eastAsia="Times New Roman" w:cs="Arial"/>
          <w:color w:val="000000"/>
          <w:lang w:val="en-US"/>
        </w:rPr>
        <w:t xml:space="preserve">(GFR </w:t>
      </w:r>
      <w:r w:rsidRPr="00E42D7B">
        <w:rPr>
          <w:rFonts w:eastAsia="Times New Roman" w:cs="Arial"/>
          <w:color w:val="000000"/>
          <w:lang w:eastAsia="bg-BG"/>
        </w:rPr>
        <w:t xml:space="preserve">&lt;15 </w:t>
      </w:r>
      <w:r w:rsidRPr="00E42D7B">
        <w:rPr>
          <w:rFonts w:eastAsia="Times New Roman" w:cs="Arial"/>
          <w:color w:val="000000"/>
          <w:lang w:val="en-US"/>
        </w:rPr>
        <w:t>ml/min/1</w:t>
      </w:r>
      <w:r w:rsidRPr="00E42D7B">
        <w:rPr>
          <w:rFonts w:eastAsia="Times New Roman" w:cs="Arial"/>
          <w:color w:val="000000"/>
          <w:lang w:eastAsia="bg-BG"/>
        </w:rPr>
        <w:t xml:space="preserve">,73 </w:t>
      </w:r>
      <w:r w:rsidRPr="00E42D7B">
        <w:rPr>
          <w:rFonts w:eastAsia="Times New Roman" w:cs="Arial"/>
          <w:color w:val="000000"/>
          <w:lang w:val="en-US"/>
        </w:rPr>
        <w:t>m</w:t>
      </w:r>
      <w:r w:rsidRPr="00E42D7B">
        <w:rPr>
          <w:rFonts w:eastAsia="Times New Roman" w:cs="Arial"/>
          <w:color w:val="000000"/>
          <w:vertAlign w:val="superscript"/>
          <w:lang w:val="en-US"/>
        </w:rPr>
        <w:t>2</w:t>
      </w:r>
      <w:r w:rsidRPr="00E42D7B">
        <w:rPr>
          <w:rFonts w:eastAsia="Times New Roman" w:cs="Arial"/>
          <w:color w:val="000000"/>
          <w:lang w:val="en-US"/>
        </w:rPr>
        <w:t>)</w:t>
      </w:r>
    </w:p>
    <w:p w14:paraId="2362783A" w14:textId="77777777" w:rsidR="00E42D7B" w:rsidRPr="00E42D7B" w:rsidRDefault="00E42D7B" w:rsidP="00E42D7B">
      <w:pPr>
        <w:pStyle w:val="ListParagraph"/>
        <w:numPr>
          <w:ilvl w:val="0"/>
          <w:numId w:val="41"/>
        </w:numPr>
        <w:spacing w:line="240" w:lineRule="auto"/>
        <w:rPr>
          <w:rFonts w:eastAsia="Times New Roman" w:cs="Arial"/>
          <w:color w:val="000000"/>
          <w:lang w:eastAsia="bg-BG"/>
        </w:rPr>
      </w:pPr>
      <w:r w:rsidRPr="00E42D7B">
        <w:rPr>
          <w:rFonts w:eastAsia="Times New Roman" w:cs="Arial"/>
          <w:color w:val="000000"/>
          <w:lang w:eastAsia="bg-BG"/>
        </w:rPr>
        <w:t>Тежка сърдечна недостатъчност (вж. т. 4.4. Специални предупреждения и предпазни мерки при употреба),</w:t>
      </w:r>
    </w:p>
    <w:p w14:paraId="7AAF8053" w14:textId="77777777" w:rsidR="00E42D7B" w:rsidRPr="00E42D7B" w:rsidRDefault="00E42D7B" w:rsidP="00E42D7B">
      <w:pPr>
        <w:pStyle w:val="ListParagraph"/>
        <w:numPr>
          <w:ilvl w:val="0"/>
          <w:numId w:val="41"/>
        </w:numPr>
        <w:spacing w:line="240" w:lineRule="auto"/>
        <w:rPr>
          <w:rFonts w:eastAsia="Times New Roman" w:cs="Arial"/>
          <w:color w:val="000000"/>
          <w:lang w:eastAsia="bg-BG"/>
        </w:rPr>
      </w:pPr>
      <w:r w:rsidRPr="00E42D7B">
        <w:rPr>
          <w:rFonts w:eastAsia="Times New Roman" w:cs="Arial"/>
          <w:color w:val="000000"/>
          <w:lang w:eastAsia="bg-BG"/>
        </w:rPr>
        <w:t xml:space="preserve">Установена застойна сърдечна недостатъчност </w:t>
      </w:r>
      <w:r w:rsidRPr="00E42D7B">
        <w:rPr>
          <w:rFonts w:eastAsia="Times New Roman" w:cs="Arial"/>
          <w:color w:val="000000"/>
          <w:lang w:val="en-US"/>
        </w:rPr>
        <w:t xml:space="preserve">(NYHA </w:t>
      </w:r>
      <w:r w:rsidRPr="00E42D7B">
        <w:rPr>
          <w:rFonts w:eastAsia="Times New Roman" w:cs="Arial"/>
          <w:color w:val="000000"/>
          <w:lang w:eastAsia="bg-BG"/>
        </w:rPr>
        <w:t>П</w:t>
      </w:r>
      <w:r w:rsidRPr="00E42D7B">
        <w:rPr>
          <w:rFonts w:eastAsia="Times New Roman" w:cs="Arial"/>
          <w:color w:val="000000"/>
          <w:lang w:val="en-US"/>
        </w:rPr>
        <w:t xml:space="preserve">-IV), </w:t>
      </w:r>
      <w:r w:rsidRPr="00E42D7B">
        <w:rPr>
          <w:rFonts w:eastAsia="Times New Roman" w:cs="Arial"/>
          <w:color w:val="000000"/>
          <w:lang w:eastAsia="bg-BG"/>
        </w:rPr>
        <w:t>исхемична болест на сърцето, периферно артериално заболяване и/или мозъчно-съдова болест.</w:t>
      </w:r>
    </w:p>
    <w:p w14:paraId="6CA65518" w14:textId="77777777" w:rsidR="00E42D7B" w:rsidRPr="00E42D7B" w:rsidRDefault="00E42D7B" w:rsidP="00E42D7B">
      <w:pPr>
        <w:pStyle w:val="ListParagraph"/>
        <w:numPr>
          <w:ilvl w:val="0"/>
          <w:numId w:val="41"/>
        </w:numPr>
        <w:spacing w:line="240" w:lineRule="auto"/>
        <w:rPr>
          <w:rFonts w:eastAsia="Times New Roman" w:cs="Arial"/>
          <w:color w:val="000000"/>
          <w:lang w:eastAsia="bg-BG"/>
        </w:rPr>
      </w:pPr>
      <w:r w:rsidRPr="00E42D7B">
        <w:rPr>
          <w:rFonts w:eastAsia="Times New Roman" w:cs="Arial"/>
          <w:color w:val="000000"/>
          <w:lang w:eastAsia="bg-BG"/>
        </w:rPr>
        <w:lastRenderedPageBreak/>
        <w:t>Подобно на другите нестероидни противовъзпалителни средства (НСПВС), Волтарен е противопоказан и при пациенти, при които употребата на ацетилсалицилова киселина или други НСПВС може да провокира астма, ангиоедем, уртикария или остър ринит (напр. НСПВС-индуцирани реакции на кръстосана реактивност) (вж. т. 4.4 Специални предупреждения и предпазни мерки при употреба и т. 4.8 Нежелани лекарствени реакции).</w:t>
      </w:r>
    </w:p>
    <w:p w14:paraId="17B406CF" w14:textId="254895C4" w:rsidR="00E42D7B" w:rsidRPr="00E42D7B" w:rsidRDefault="00E42D7B" w:rsidP="00E42D7B">
      <w:pPr>
        <w:pStyle w:val="ListParagraph"/>
        <w:numPr>
          <w:ilvl w:val="0"/>
          <w:numId w:val="41"/>
        </w:numPr>
        <w:spacing w:line="240" w:lineRule="auto"/>
        <w:rPr>
          <w:rFonts w:eastAsia="Times New Roman" w:cs="Arial"/>
          <w:color w:val="000000"/>
          <w:lang w:eastAsia="bg-BG"/>
        </w:rPr>
      </w:pPr>
      <w:r w:rsidRPr="00E42D7B">
        <w:rPr>
          <w:rFonts w:eastAsia="Times New Roman" w:cs="Arial"/>
          <w:color w:val="000000"/>
          <w:lang w:eastAsia="bg-BG"/>
        </w:rPr>
        <w:t>Проктит.</w:t>
      </w:r>
    </w:p>
    <w:p w14:paraId="75D92BCA" w14:textId="77777777" w:rsidR="00E42D7B" w:rsidRPr="00E42D7B" w:rsidRDefault="00E42D7B" w:rsidP="00E42D7B"/>
    <w:p w14:paraId="1C27CE53" w14:textId="39C79156" w:rsidR="009F77A4" w:rsidRDefault="002C50EE" w:rsidP="00387A66">
      <w:pPr>
        <w:pStyle w:val="Heading2"/>
      </w:pPr>
      <w:r>
        <w:t>4.4. Специални предупреждения и предпазни мерки при употреба</w:t>
      </w:r>
    </w:p>
    <w:p w14:paraId="48FD5DAC" w14:textId="77777777" w:rsidR="00E42D7B" w:rsidRDefault="00E42D7B" w:rsidP="00E42D7B"/>
    <w:p w14:paraId="17E62B18" w14:textId="77777777" w:rsidR="00E42D7B" w:rsidRPr="00E42D7B" w:rsidRDefault="00E42D7B" w:rsidP="00E42D7B">
      <w:pPr>
        <w:spacing w:line="240" w:lineRule="auto"/>
        <w:rPr>
          <w:rFonts w:eastAsia="Times New Roman" w:cs="Arial"/>
          <w:lang w:eastAsia="bg-BG"/>
        </w:rPr>
      </w:pPr>
      <w:r w:rsidRPr="00E42D7B">
        <w:rPr>
          <w:rFonts w:eastAsia="Times New Roman" w:cs="Arial"/>
          <w:color w:val="000000"/>
          <w:lang w:eastAsia="bg-BG"/>
        </w:rPr>
        <w:t>Общи</w:t>
      </w:r>
    </w:p>
    <w:p w14:paraId="740FF2D6" w14:textId="77777777" w:rsidR="00E42D7B" w:rsidRPr="00E42D7B" w:rsidRDefault="00E42D7B" w:rsidP="00E42D7B">
      <w:pPr>
        <w:spacing w:line="240" w:lineRule="auto"/>
        <w:rPr>
          <w:rFonts w:eastAsia="Times New Roman" w:cs="Arial"/>
          <w:lang w:eastAsia="bg-BG"/>
        </w:rPr>
      </w:pPr>
      <w:r w:rsidRPr="00E42D7B">
        <w:rPr>
          <w:rFonts w:eastAsia="Times New Roman" w:cs="Arial"/>
          <w:color w:val="000000"/>
          <w:lang w:eastAsia="bg-BG"/>
        </w:rPr>
        <w:t>Нежеланите лекарствени реакции могат да бъдат намалени като за контролиране на симптомите се употребява възможно най-ниската ефективна доза за възможно най-кратък срок от време (вж. т. 4.2 и по-долу посочените гастро-интестинални и сърдечно-съдови рискове).</w:t>
      </w:r>
    </w:p>
    <w:p w14:paraId="295D78B5" w14:textId="77777777" w:rsidR="00E42D7B" w:rsidRPr="00E42D7B" w:rsidRDefault="00E42D7B" w:rsidP="00E42D7B">
      <w:pPr>
        <w:spacing w:line="240" w:lineRule="auto"/>
        <w:rPr>
          <w:rFonts w:eastAsia="Times New Roman" w:cs="Arial"/>
          <w:color w:val="000000"/>
          <w:lang w:eastAsia="bg-BG"/>
        </w:rPr>
      </w:pPr>
    </w:p>
    <w:p w14:paraId="22E3E1A6" w14:textId="36104616" w:rsidR="00E42D7B" w:rsidRPr="00E42D7B" w:rsidRDefault="00E42D7B" w:rsidP="00E42D7B">
      <w:pPr>
        <w:spacing w:line="240" w:lineRule="auto"/>
        <w:rPr>
          <w:rFonts w:eastAsia="Times New Roman" w:cs="Arial"/>
          <w:lang w:eastAsia="bg-BG"/>
        </w:rPr>
      </w:pPr>
      <w:r w:rsidRPr="00E42D7B">
        <w:rPr>
          <w:rFonts w:eastAsia="Times New Roman" w:cs="Arial"/>
          <w:color w:val="000000"/>
          <w:lang w:eastAsia="bg-BG"/>
        </w:rPr>
        <w:t>Стомашно-чревни ефекти</w:t>
      </w:r>
    </w:p>
    <w:p w14:paraId="6BCB23B1" w14:textId="77777777" w:rsidR="00E42D7B" w:rsidRPr="00E42D7B" w:rsidRDefault="00E42D7B" w:rsidP="00E42D7B">
      <w:pPr>
        <w:spacing w:line="240" w:lineRule="auto"/>
        <w:rPr>
          <w:rFonts w:eastAsia="Times New Roman" w:cs="Arial"/>
          <w:color w:val="000000"/>
          <w:lang w:eastAsia="bg-BG"/>
        </w:rPr>
      </w:pPr>
      <w:r w:rsidRPr="00E42D7B">
        <w:rPr>
          <w:rFonts w:eastAsia="Times New Roman" w:cs="Arial"/>
          <w:color w:val="000000"/>
          <w:lang w:eastAsia="bg-BG"/>
        </w:rPr>
        <w:t xml:space="preserve">При всички НСПВС, включително и при диклофенак, са съобщавани случаи на кървене от стомашно-чревния тракт, язви или перфорация, които могат да бъдат фатални и могат да настъпят на всеки етап от лечението, със или без предупредителни симптоми или данни за анамнеза за сериозни стомашно-чревни инциденти. Последствията са по-тежки при пациенти в напреднала възраст. Ако при пациенти, лекувани с Волтарен настъпи кървене от стомашно- </w:t>
      </w:r>
    </w:p>
    <w:p w14:paraId="1B5451FB" w14:textId="01EC92DF" w:rsidR="00E42D7B" w:rsidRPr="00E42D7B" w:rsidRDefault="00E42D7B" w:rsidP="00E42D7B">
      <w:pPr>
        <w:spacing w:line="240" w:lineRule="auto"/>
        <w:rPr>
          <w:rFonts w:eastAsia="Times New Roman" w:cs="Arial"/>
          <w:lang w:eastAsia="bg-BG"/>
        </w:rPr>
      </w:pPr>
      <w:r w:rsidRPr="00E42D7B">
        <w:rPr>
          <w:rFonts w:eastAsia="Times New Roman" w:cs="Arial"/>
          <w:color w:val="000000"/>
          <w:lang w:eastAsia="bg-BG"/>
        </w:rPr>
        <w:t>чревния тракт или се образува язва, приема на лекарството трябва да се преустанови.</w:t>
      </w:r>
    </w:p>
    <w:p w14:paraId="09E43E19" w14:textId="77777777" w:rsidR="00E42D7B" w:rsidRPr="00E42D7B" w:rsidRDefault="00E42D7B" w:rsidP="00E42D7B">
      <w:pPr>
        <w:rPr>
          <w:rFonts w:eastAsia="Times New Roman" w:cs="Arial"/>
          <w:color w:val="000000"/>
          <w:lang w:eastAsia="bg-BG"/>
        </w:rPr>
      </w:pPr>
    </w:p>
    <w:p w14:paraId="1D6FC7C5" w14:textId="77777777" w:rsidR="00E42D7B" w:rsidRPr="00E42D7B" w:rsidRDefault="00E42D7B" w:rsidP="00E42D7B">
      <w:pPr>
        <w:rPr>
          <w:rFonts w:eastAsia="Times New Roman" w:cs="Arial"/>
          <w:lang w:eastAsia="bg-BG"/>
        </w:rPr>
      </w:pPr>
      <w:r w:rsidRPr="00E42D7B">
        <w:rPr>
          <w:rFonts w:eastAsia="Times New Roman" w:cs="Arial"/>
          <w:color w:val="000000"/>
          <w:lang w:eastAsia="bg-BG"/>
        </w:rPr>
        <w:t>Както при всички НСПВС, включително диклофенак, се налага строг медицински контрол, и е необходимо специално внимание, когато Волтарен се предписва на пациенти със симптоми указващи стомашно-чревни нарушения или с анамнестични данни, предполагащи язва на стомаха или червата, кървене или перфорация (вж. т. 4.8 Нежелани лекарствени реакции. Риска за кървене от стомашно-чревния тракт е по-висок при покачване на дозата на НСПВС и  при пациенти с анамнеза за язва, особено ако е усложнена с кървене или перфорация. При пациенти в напреднала възраст има по-голям риск от по-честа поява на нежелани реакции при</w:t>
      </w:r>
      <w:r w:rsidRPr="00E42D7B">
        <w:rPr>
          <w:rFonts w:eastAsia="Times New Roman" w:cs="Arial"/>
          <w:color w:val="000000"/>
          <w:lang w:val="en-US" w:eastAsia="bg-BG"/>
        </w:rPr>
        <w:t xml:space="preserve"> </w:t>
      </w:r>
      <w:r w:rsidRPr="00E42D7B">
        <w:rPr>
          <w:rFonts w:eastAsia="Times New Roman" w:cs="Arial"/>
          <w:color w:val="000000"/>
          <w:lang w:eastAsia="bg-BG"/>
        </w:rPr>
        <w:t>лечение с НСПВС, особено на кървене от стомашно-чревния тракт или перфорация, които могат да бъдат фатални.</w:t>
      </w:r>
    </w:p>
    <w:p w14:paraId="0EFE61C0" w14:textId="77777777" w:rsidR="00E42D7B" w:rsidRPr="00E42D7B" w:rsidRDefault="00E42D7B" w:rsidP="00E42D7B">
      <w:pPr>
        <w:spacing w:line="240" w:lineRule="auto"/>
        <w:rPr>
          <w:rFonts w:eastAsia="Times New Roman" w:cs="Arial"/>
          <w:color w:val="000000"/>
          <w:lang w:eastAsia="bg-BG"/>
        </w:rPr>
      </w:pPr>
    </w:p>
    <w:p w14:paraId="644F9C2B" w14:textId="5754E20C" w:rsidR="00E42D7B" w:rsidRPr="00E42D7B" w:rsidRDefault="00E42D7B" w:rsidP="00E42D7B">
      <w:pPr>
        <w:spacing w:line="240" w:lineRule="auto"/>
        <w:rPr>
          <w:rFonts w:eastAsia="Times New Roman" w:cs="Arial"/>
          <w:color w:val="000000"/>
          <w:lang w:eastAsia="bg-BG"/>
        </w:rPr>
      </w:pPr>
      <w:r w:rsidRPr="00E42D7B">
        <w:rPr>
          <w:rFonts w:eastAsia="Times New Roman" w:cs="Arial"/>
          <w:color w:val="000000"/>
          <w:lang w:eastAsia="bg-BG"/>
        </w:rPr>
        <w:t>НСПВС, включително диклофенак, може да са свързани с увеличен риск от изтичане от стомашно-чревна анастомоза. Препоръчва се внимателно медицинско наблюдение и повишено внимание при употребата на диклофенак след стомашно-чревна хирургична интервенция.</w:t>
      </w:r>
    </w:p>
    <w:p w14:paraId="79EB6F45" w14:textId="77777777" w:rsidR="00E42D7B" w:rsidRPr="00E42D7B" w:rsidRDefault="00E42D7B" w:rsidP="00E42D7B">
      <w:pPr>
        <w:spacing w:line="240" w:lineRule="auto"/>
        <w:rPr>
          <w:rFonts w:eastAsia="Times New Roman" w:cs="Arial"/>
          <w:color w:val="000000"/>
          <w:lang w:eastAsia="bg-BG"/>
        </w:rPr>
      </w:pPr>
    </w:p>
    <w:p w14:paraId="5D270206" w14:textId="6E70D6C0" w:rsidR="00E42D7B" w:rsidRPr="00E42D7B" w:rsidRDefault="00E42D7B" w:rsidP="00E42D7B">
      <w:pPr>
        <w:spacing w:line="240" w:lineRule="auto"/>
        <w:rPr>
          <w:rFonts w:eastAsia="Times New Roman" w:cs="Arial"/>
          <w:lang w:eastAsia="bg-BG"/>
        </w:rPr>
      </w:pPr>
      <w:r w:rsidRPr="00E42D7B">
        <w:rPr>
          <w:rFonts w:eastAsia="Times New Roman" w:cs="Arial"/>
          <w:color w:val="000000"/>
          <w:lang w:eastAsia="bg-BG"/>
        </w:rPr>
        <w:t>За намаляване на риска от токсичност за стомашно-чревния тракт при пациенти с анамнеза за язва, особено ако е усложнена с кървене или перфорация и при пациенти в напреднала възраст, лечението трябва да се започва и поддържа с най-малката ефективна доза.</w:t>
      </w:r>
    </w:p>
    <w:p w14:paraId="434F0193" w14:textId="77777777" w:rsidR="00E42D7B" w:rsidRPr="00E42D7B" w:rsidRDefault="00E42D7B" w:rsidP="00E42D7B">
      <w:pPr>
        <w:spacing w:line="240" w:lineRule="auto"/>
        <w:rPr>
          <w:rFonts w:eastAsia="Times New Roman" w:cs="Arial"/>
          <w:color w:val="000000"/>
          <w:lang w:eastAsia="bg-BG"/>
        </w:rPr>
      </w:pPr>
    </w:p>
    <w:p w14:paraId="3C85894E" w14:textId="58189D15" w:rsidR="00E42D7B" w:rsidRPr="00E42D7B" w:rsidRDefault="00E42D7B" w:rsidP="00E42D7B">
      <w:pPr>
        <w:spacing w:line="240" w:lineRule="auto"/>
        <w:rPr>
          <w:rFonts w:eastAsia="Times New Roman" w:cs="Arial"/>
          <w:lang w:eastAsia="bg-BG"/>
        </w:rPr>
      </w:pPr>
      <w:r w:rsidRPr="00E42D7B">
        <w:rPr>
          <w:rFonts w:eastAsia="Times New Roman" w:cs="Arial"/>
          <w:color w:val="000000"/>
          <w:lang w:eastAsia="bg-BG"/>
        </w:rPr>
        <w:t>При тези пациенти, а също и при пациенти имащи едновременна нужда от лекарства</w:t>
      </w:r>
      <w:r w:rsidRPr="00E42D7B">
        <w:rPr>
          <w:rFonts w:eastAsia="Times New Roman" w:cs="Arial"/>
          <w:i/>
          <w:iCs/>
          <w:color w:val="000000"/>
          <w:lang w:eastAsia="bg-BG"/>
        </w:rPr>
        <w:t xml:space="preserve"> </w:t>
      </w:r>
      <w:r w:rsidRPr="00E42D7B">
        <w:rPr>
          <w:rFonts w:eastAsia="Times New Roman" w:cs="Arial"/>
          <w:color w:val="000000"/>
          <w:lang w:eastAsia="bg-BG"/>
        </w:rPr>
        <w:t xml:space="preserve">съдържащи ниски дози ацетилсалицилова киселина </w:t>
      </w:r>
      <w:r w:rsidRPr="00E42D7B">
        <w:rPr>
          <w:rFonts w:eastAsia="Times New Roman" w:cs="Arial"/>
          <w:color w:val="000000"/>
          <w:lang w:val="en-US"/>
        </w:rPr>
        <w:t xml:space="preserve">(ASA) </w:t>
      </w:r>
      <w:r w:rsidRPr="00E42D7B">
        <w:rPr>
          <w:rFonts w:eastAsia="Times New Roman" w:cs="Arial"/>
          <w:color w:val="000000"/>
          <w:lang w:eastAsia="bg-BG"/>
        </w:rPr>
        <w:t xml:space="preserve">или други продукти, за които е възможно да увеличат риска за стомашно-чревния тракт, трябва да се има в предвид </w:t>
      </w:r>
      <w:r w:rsidRPr="00E42D7B">
        <w:rPr>
          <w:rFonts w:eastAsia="Times New Roman" w:cs="Arial"/>
          <w:color w:val="000000"/>
          <w:lang w:eastAsia="bg-BG"/>
        </w:rPr>
        <w:lastRenderedPageBreak/>
        <w:t>комбинирана терапия с протективни продукти (напр. мизопростол или инхибитори на протонната помпа).</w:t>
      </w:r>
    </w:p>
    <w:p w14:paraId="105CBD28" w14:textId="77777777" w:rsidR="00E42D7B" w:rsidRPr="00E42D7B" w:rsidRDefault="00E42D7B" w:rsidP="00E42D7B">
      <w:pPr>
        <w:spacing w:line="240" w:lineRule="auto"/>
        <w:rPr>
          <w:rFonts w:eastAsia="Times New Roman" w:cs="Arial"/>
          <w:color w:val="000000"/>
          <w:lang w:eastAsia="bg-BG"/>
        </w:rPr>
      </w:pPr>
    </w:p>
    <w:p w14:paraId="69F1491B" w14:textId="48FC412A" w:rsidR="00E42D7B" w:rsidRPr="00E42D7B" w:rsidRDefault="00E42D7B" w:rsidP="00E42D7B">
      <w:pPr>
        <w:spacing w:line="240" w:lineRule="auto"/>
        <w:rPr>
          <w:rFonts w:eastAsia="Times New Roman" w:cs="Arial"/>
          <w:lang w:eastAsia="bg-BG"/>
        </w:rPr>
      </w:pPr>
      <w:r w:rsidRPr="00E42D7B">
        <w:rPr>
          <w:rFonts w:eastAsia="Times New Roman" w:cs="Arial"/>
          <w:color w:val="000000"/>
          <w:lang w:eastAsia="bg-BG"/>
        </w:rPr>
        <w:t>Пациенти с анамнеза за токсични прояви от страна на стомашно-чревния тракт, особено пациенти в напреднала възраст, трябва да съобщават за всички необичайни, симптоми от страна на корема (особено кървене). Препоръчва се внимателно приложение при пациенти получаващи едновременно продукти, които могат да увеличат риска от улцерация или кървене, като системни кортикостероиди, антикоагуланти, анти-тромботични продукти или селективни инхибитори на обратното захващане на серотонина (вж. т. 4.5. Взаимодействие с други лекарствени продукти и други форми на взаимодействие).</w:t>
      </w:r>
    </w:p>
    <w:p w14:paraId="09751AB9" w14:textId="77777777" w:rsidR="00E42D7B" w:rsidRPr="00E42D7B" w:rsidRDefault="00E42D7B" w:rsidP="00E42D7B">
      <w:pPr>
        <w:spacing w:line="240" w:lineRule="auto"/>
        <w:rPr>
          <w:rFonts w:eastAsia="Times New Roman" w:cs="Arial"/>
          <w:color w:val="000000"/>
          <w:lang w:eastAsia="bg-BG"/>
        </w:rPr>
      </w:pPr>
    </w:p>
    <w:p w14:paraId="688E6D7E" w14:textId="50D1534A" w:rsidR="00E42D7B" w:rsidRPr="00E42D7B" w:rsidRDefault="00E42D7B" w:rsidP="00E42D7B">
      <w:pPr>
        <w:spacing w:line="240" w:lineRule="auto"/>
        <w:rPr>
          <w:rFonts w:eastAsia="Times New Roman" w:cs="Arial"/>
          <w:lang w:eastAsia="bg-BG"/>
        </w:rPr>
      </w:pPr>
      <w:r w:rsidRPr="00E42D7B">
        <w:rPr>
          <w:rFonts w:eastAsia="Times New Roman" w:cs="Arial"/>
          <w:color w:val="000000"/>
          <w:lang w:eastAsia="bg-BG"/>
        </w:rPr>
        <w:t xml:space="preserve">Необходим е строг медицински контрол и внимание при пациенти с улцерозен колит или болест на </w:t>
      </w:r>
      <w:r w:rsidRPr="00E42D7B">
        <w:rPr>
          <w:rFonts w:eastAsia="Times New Roman" w:cs="Arial"/>
          <w:color w:val="000000"/>
          <w:lang w:val="en-US"/>
        </w:rPr>
        <w:t xml:space="preserve">Crohn, </w:t>
      </w:r>
      <w:r w:rsidRPr="00E42D7B">
        <w:rPr>
          <w:rFonts w:eastAsia="Times New Roman" w:cs="Arial"/>
          <w:color w:val="000000"/>
          <w:lang w:eastAsia="bg-BG"/>
        </w:rPr>
        <w:t>тъй като състоянието им може да се влоши (вж. т. 4.8 Нежелани лекарствени реакции).</w:t>
      </w:r>
    </w:p>
    <w:p w14:paraId="404F4DC1" w14:textId="77777777" w:rsidR="00E42D7B" w:rsidRPr="00E42D7B" w:rsidRDefault="00E42D7B" w:rsidP="00E42D7B">
      <w:pPr>
        <w:spacing w:line="240" w:lineRule="auto"/>
        <w:rPr>
          <w:rFonts w:eastAsia="Times New Roman" w:cs="Arial"/>
          <w:color w:val="000000"/>
          <w:lang w:eastAsia="bg-BG"/>
        </w:rPr>
      </w:pPr>
    </w:p>
    <w:p w14:paraId="3B0B6F10" w14:textId="6C8EE0B4" w:rsidR="00E42D7B" w:rsidRPr="00E42D7B" w:rsidRDefault="00E42D7B" w:rsidP="00E42D7B">
      <w:pPr>
        <w:spacing w:line="240" w:lineRule="auto"/>
        <w:rPr>
          <w:rFonts w:eastAsia="Times New Roman" w:cs="Arial"/>
          <w:lang w:eastAsia="bg-BG"/>
        </w:rPr>
      </w:pPr>
      <w:r w:rsidRPr="00E42D7B">
        <w:rPr>
          <w:rFonts w:eastAsia="Times New Roman" w:cs="Arial"/>
          <w:color w:val="000000"/>
          <w:lang w:eastAsia="bg-BG"/>
        </w:rPr>
        <w:t>Хепатобилиарни ефекти</w:t>
      </w:r>
    </w:p>
    <w:p w14:paraId="40B08F0E" w14:textId="77777777" w:rsidR="00E42D7B" w:rsidRPr="00E42D7B" w:rsidRDefault="00E42D7B" w:rsidP="00E42D7B">
      <w:pPr>
        <w:spacing w:line="240" w:lineRule="auto"/>
        <w:rPr>
          <w:rFonts w:eastAsia="Times New Roman" w:cs="Arial"/>
          <w:lang w:eastAsia="bg-BG"/>
        </w:rPr>
      </w:pPr>
      <w:r w:rsidRPr="00E42D7B">
        <w:rPr>
          <w:rFonts w:eastAsia="Times New Roman" w:cs="Arial"/>
          <w:color w:val="000000"/>
          <w:lang w:eastAsia="bg-BG"/>
        </w:rPr>
        <w:t>Необходим е строг медицински контрол, когато се предписва Волтарен на пациенти с увредена чернодробна функция, тъй като състоянието им може да се влоши.</w:t>
      </w:r>
    </w:p>
    <w:p w14:paraId="2A3CA25D" w14:textId="77777777" w:rsidR="00E42D7B" w:rsidRPr="00E42D7B" w:rsidRDefault="00E42D7B" w:rsidP="00E42D7B">
      <w:pPr>
        <w:spacing w:line="240" w:lineRule="auto"/>
        <w:rPr>
          <w:rFonts w:eastAsia="Times New Roman" w:cs="Arial"/>
          <w:color w:val="000000"/>
          <w:lang w:eastAsia="bg-BG"/>
        </w:rPr>
      </w:pPr>
    </w:p>
    <w:p w14:paraId="506CE88C" w14:textId="3D66C266" w:rsidR="00E42D7B" w:rsidRPr="00E42D7B" w:rsidRDefault="00E42D7B" w:rsidP="00E42D7B">
      <w:pPr>
        <w:spacing w:line="240" w:lineRule="auto"/>
        <w:rPr>
          <w:rFonts w:eastAsia="Times New Roman" w:cs="Arial"/>
          <w:lang w:eastAsia="bg-BG"/>
        </w:rPr>
      </w:pPr>
      <w:r w:rsidRPr="00E42D7B">
        <w:rPr>
          <w:rFonts w:eastAsia="Times New Roman" w:cs="Arial"/>
          <w:color w:val="000000"/>
          <w:lang w:eastAsia="bg-BG"/>
        </w:rPr>
        <w:t>Както и при другите НСПВС, включително диклофенак, могат да се повишат стойностите на един или повече чернодробни ензими. Като предпазна мярка при продължително лечение с Волтарен (напр. под формата на таблетки или супозитории) е необходимо периодично да се следи чернодробната функция. Ако стойностите на чернодробните показатели продължават да бъдат извън нормата или се покачват в по-голяма степен, ако се появят признаци или симптоми на чернодробно заболяване или ако настъпят други прояви (напр. еозинофилия, обрив), приложението на Волтарен трябва да се преустанови. Хепатит може да настъпи при употребата на диклофенак и без продромални симптоми.</w:t>
      </w:r>
    </w:p>
    <w:p w14:paraId="392FFFB2" w14:textId="77777777" w:rsidR="00E42D7B" w:rsidRPr="00E42D7B" w:rsidRDefault="00E42D7B" w:rsidP="00E42D7B">
      <w:pPr>
        <w:spacing w:line="240" w:lineRule="auto"/>
        <w:rPr>
          <w:rFonts w:eastAsia="Times New Roman" w:cs="Arial"/>
          <w:color w:val="000000"/>
          <w:lang w:eastAsia="bg-BG"/>
        </w:rPr>
      </w:pPr>
    </w:p>
    <w:p w14:paraId="7D22223D" w14:textId="732DA56B" w:rsidR="00E42D7B" w:rsidRPr="00E42D7B" w:rsidRDefault="00E42D7B" w:rsidP="00E42D7B">
      <w:pPr>
        <w:spacing w:line="240" w:lineRule="auto"/>
        <w:rPr>
          <w:rFonts w:eastAsia="Times New Roman" w:cs="Arial"/>
          <w:lang w:eastAsia="bg-BG"/>
        </w:rPr>
      </w:pPr>
      <w:r w:rsidRPr="00E42D7B">
        <w:rPr>
          <w:rFonts w:eastAsia="Times New Roman" w:cs="Arial"/>
          <w:color w:val="000000"/>
          <w:lang w:eastAsia="bg-BG"/>
        </w:rPr>
        <w:t>Повишено внимание е необходимо при употреба на Волтарен от пациенти с чернодробна порфирия, поради възможността той да отключи пристъп на заболяването.</w:t>
      </w:r>
    </w:p>
    <w:p w14:paraId="69F3B255" w14:textId="77777777" w:rsidR="00E42D7B" w:rsidRPr="00E42D7B" w:rsidRDefault="00E42D7B" w:rsidP="00E42D7B">
      <w:pPr>
        <w:spacing w:line="240" w:lineRule="auto"/>
        <w:rPr>
          <w:rFonts w:eastAsia="Times New Roman" w:cs="Arial"/>
          <w:color w:val="000000"/>
          <w:lang w:eastAsia="bg-BG"/>
        </w:rPr>
      </w:pPr>
    </w:p>
    <w:p w14:paraId="21888722" w14:textId="01711307" w:rsidR="00E42D7B" w:rsidRPr="00E42D7B" w:rsidRDefault="00E42D7B" w:rsidP="00E42D7B">
      <w:pPr>
        <w:spacing w:line="240" w:lineRule="auto"/>
        <w:rPr>
          <w:rFonts w:eastAsia="Times New Roman" w:cs="Arial"/>
          <w:lang w:eastAsia="bg-BG"/>
        </w:rPr>
      </w:pPr>
      <w:r w:rsidRPr="00E42D7B">
        <w:rPr>
          <w:rFonts w:eastAsia="Times New Roman" w:cs="Arial"/>
          <w:color w:val="000000"/>
          <w:lang w:eastAsia="bg-BG"/>
        </w:rPr>
        <w:t>Бъбречни ефекти</w:t>
      </w:r>
    </w:p>
    <w:p w14:paraId="74ABF8FC" w14:textId="4D497683" w:rsidR="00E42D7B" w:rsidRPr="00E42D7B" w:rsidRDefault="00E42D7B" w:rsidP="00E42D7B">
      <w:pPr>
        <w:spacing w:line="240" w:lineRule="auto"/>
        <w:rPr>
          <w:rFonts w:eastAsia="Times New Roman" w:cs="Arial"/>
          <w:color w:val="000000"/>
          <w:lang w:eastAsia="bg-BG"/>
        </w:rPr>
      </w:pPr>
      <w:r w:rsidRPr="00E42D7B">
        <w:rPr>
          <w:rFonts w:eastAsia="Times New Roman" w:cs="Arial"/>
          <w:color w:val="000000"/>
          <w:lang w:eastAsia="bg-BG"/>
        </w:rPr>
        <w:t>Тъй като са докладвани случаи на задържане на течности и отоци по време на лечение с НСПВС, включително диклофенак, е необходимо особено внимание при пациенти с увредена сърдечна или бъбречна функция, с анамнеза за хипертония, пациенти в напреднала възраст, пациенти едновременно приемащи диуретици или продукти, които могат сериозно да повлияят бъбречната функция, както и при пациентите със съществено намаляване на екстрацелуларния обем, независимо от причината, напр. преди и след големи хирургични интервенции (вж. т. 4.3. Противопоказания). В тези случаи, като предпазна мярка при употреба на Волтарен се</w:t>
      </w:r>
      <w:r w:rsidRPr="00E42D7B">
        <w:rPr>
          <w:rFonts w:eastAsia="Times New Roman" w:cs="Arial"/>
          <w:lang w:val="en-US" w:eastAsia="bg-BG"/>
        </w:rPr>
        <w:t xml:space="preserve"> </w:t>
      </w:r>
      <w:r w:rsidRPr="00E42D7B">
        <w:rPr>
          <w:rFonts w:eastAsia="Times New Roman" w:cs="Arial"/>
          <w:color w:val="000000"/>
          <w:lang w:eastAsia="bg-BG"/>
        </w:rPr>
        <w:t>препоръчва проследяване на бъбречната функция. Спирането на терапията обикновено се последва от възстановяване на изходното състояние.</w:t>
      </w:r>
    </w:p>
    <w:p w14:paraId="3F2269AC" w14:textId="77777777" w:rsidR="00E42D7B" w:rsidRPr="00E42D7B" w:rsidRDefault="00E42D7B" w:rsidP="00E42D7B">
      <w:pPr>
        <w:spacing w:line="240" w:lineRule="auto"/>
        <w:rPr>
          <w:rFonts w:eastAsia="Times New Roman" w:cs="Arial"/>
          <w:color w:val="000000"/>
          <w:lang w:eastAsia="bg-BG"/>
        </w:rPr>
      </w:pPr>
    </w:p>
    <w:p w14:paraId="0DCCD449" w14:textId="77777777" w:rsidR="00E42D7B" w:rsidRPr="00E42D7B" w:rsidRDefault="00E42D7B" w:rsidP="00E42D7B">
      <w:pPr>
        <w:spacing w:line="240" w:lineRule="auto"/>
        <w:rPr>
          <w:rFonts w:eastAsia="Times New Roman" w:cs="Arial"/>
          <w:lang w:eastAsia="bg-BG"/>
        </w:rPr>
      </w:pPr>
      <w:r w:rsidRPr="00E42D7B">
        <w:rPr>
          <w:rFonts w:eastAsia="Times New Roman" w:cs="Arial"/>
          <w:color w:val="000000"/>
          <w:lang w:eastAsia="bg-BG"/>
        </w:rPr>
        <w:t>Кожни ефекти</w:t>
      </w:r>
    </w:p>
    <w:p w14:paraId="05F8A06E" w14:textId="77777777" w:rsidR="00E42D7B" w:rsidRPr="00E42D7B" w:rsidRDefault="00E42D7B" w:rsidP="00E42D7B">
      <w:pPr>
        <w:spacing w:line="240" w:lineRule="auto"/>
        <w:rPr>
          <w:rFonts w:eastAsia="Times New Roman" w:cs="Arial"/>
          <w:lang w:eastAsia="bg-BG"/>
        </w:rPr>
      </w:pPr>
      <w:r w:rsidRPr="00E42D7B">
        <w:rPr>
          <w:rFonts w:eastAsia="Times New Roman" w:cs="Arial"/>
          <w:color w:val="000000"/>
          <w:lang w:eastAsia="bg-BG"/>
        </w:rPr>
        <w:t>Тежки кожни реакции, някои от които фатални, включващи ексфолиативен дерматит, синдром на Стивънс-Джонсън, токсична епидермална некролиза са съобщавани много рядко във връзка с прима на НСПВС, в това число и Волтарен, (вж. 4.8. Нежелани лекарствени реакции).</w:t>
      </w:r>
    </w:p>
    <w:p w14:paraId="2E2F605F" w14:textId="77777777" w:rsidR="00E42D7B" w:rsidRPr="00E42D7B" w:rsidRDefault="00E42D7B" w:rsidP="00E42D7B">
      <w:pPr>
        <w:spacing w:line="240" w:lineRule="auto"/>
        <w:rPr>
          <w:rFonts w:eastAsia="Times New Roman" w:cs="Arial"/>
          <w:lang w:eastAsia="bg-BG"/>
        </w:rPr>
      </w:pPr>
      <w:r w:rsidRPr="00E42D7B">
        <w:rPr>
          <w:rFonts w:eastAsia="Times New Roman" w:cs="Arial"/>
          <w:color w:val="000000"/>
          <w:lang w:eastAsia="bg-BG"/>
        </w:rPr>
        <w:lastRenderedPageBreak/>
        <w:t>Изглежда, че най-високият риск за пациентите да имат тези реакции е рано в хода на лечението, в повечето случаи началото на реакцията настъпва в първия месец. Приемът на Волтарен трябва да се преустанови при първите прояви на кожен обрив, лигавични лезии или каквито и да било други прояви на свръхчувствителност.</w:t>
      </w:r>
    </w:p>
    <w:p w14:paraId="4991593A" w14:textId="77777777" w:rsidR="00E42D7B" w:rsidRPr="00E42D7B" w:rsidRDefault="00E42D7B" w:rsidP="00E42D7B">
      <w:pPr>
        <w:spacing w:line="240" w:lineRule="auto"/>
        <w:rPr>
          <w:rFonts w:eastAsia="Times New Roman" w:cs="Arial"/>
          <w:color w:val="000000"/>
          <w:lang w:eastAsia="bg-BG"/>
        </w:rPr>
      </w:pPr>
    </w:p>
    <w:p w14:paraId="6A90F021" w14:textId="4CA74F13" w:rsidR="00E42D7B" w:rsidRPr="00E42D7B" w:rsidRDefault="00E42D7B" w:rsidP="00E42D7B">
      <w:pPr>
        <w:spacing w:line="240" w:lineRule="auto"/>
        <w:rPr>
          <w:rFonts w:eastAsia="Times New Roman" w:cs="Arial"/>
          <w:lang w:eastAsia="bg-BG"/>
        </w:rPr>
      </w:pPr>
      <w:r w:rsidRPr="00E42D7B">
        <w:rPr>
          <w:rFonts w:eastAsia="Times New Roman" w:cs="Arial"/>
          <w:color w:val="000000"/>
          <w:lang w:eastAsia="bg-BG"/>
        </w:rPr>
        <w:t xml:space="preserve">Както при другите НСПВС, в редки случаи при лечение с диклофенак могат да настъпят алергични реакции, включително анафилактични/анафилактоидни реакции, без предходна експозиция на лекарството. Реакциите на свръхчувствителност може също така да прогресират до синдром на </w:t>
      </w:r>
      <w:proofErr w:type="spellStart"/>
      <w:r w:rsidRPr="00E42D7B">
        <w:rPr>
          <w:rFonts w:eastAsia="Times New Roman" w:cs="Arial"/>
          <w:color w:val="000000"/>
          <w:lang w:val="en-US"/>
        </w:rPr>
        <w:t>Kounis</w:t>
      </w:r>
      <w:proofErr w:type="spellEnd"/>
      <w:r w:rsidRPr="00E42D7B">
        <w:rPr>
          <w:rFonts w:eastAsia="Times New Roman" w:cs="Arial"/>
          <w:color w:val="000000"/>
          <w:lang w:val="en-US"/>
        </w:rPr>
        <w:t xml:space="preserve"> </w:t>
      </w:r>
      <w:r w:rsidRPr="00E42D7B">
        <w:rPr>
          <w:rFonts w:eastAsia="Times New Roman" w:cs="Arial"/>
          <w:color w:val="000000"/>
          <w:lang w:eastAsia="bg-BG"/>
        </w:rPr>
        <w:t>— сериозна алергична реакция, която може да доведе до инфаркт на миокарда. Симптомите на такива реакции може да включват болка в гърдите, която възниква във връзка с алергична реакция към диклофенак.</w:t>
      </w:r>
    </w:p>
    <w:p w14:paraId="1FEDA151" w14:textId="77777777" w:rsidR="00E42D7B" w:rsidRPr="00E42D7B" w:rsidRDefault="00E42D7B" w:rsidP="00E42D7B">
      <w:pPr>
        <w:spacing w:line="240" w:lineRule="auto"/>
        <w:rPr>
          <w:rFonts w:eastAsia="Times New Roman" w:cs="Arial"/>
          <w:color w:val="000000"/>
          <w:lang w:eastAsia="bg-BG"/>
        </w:rPr>
      </w:pPr>
    </w:p>
    <w:p w14:paraId="5559171A" w14:textId="6818F14A" w:rsidR="00E42D7B" w:rsidRPr="00E42D7B" w:rsidRDefault="00E42D7B" w:rsidP="00E42D7B">
      <w:pPr>
        <w:spacing w:line="240" w:lineRule="auto"/>
        <w:rPr>
          <w:rFonts w:eastAsia="Times New Roman" w:cs="Arial"/>
          <w:lang w:eastAsia="bg-BG"/>
        </w:rPr>
      </w:pPr>
      <w:r w:rsidRPr="00E42D7B">
        <w:rPr>
          <w:rFonts w:eastAsia="Times New Roman" w:cs="Arial"/>
          <w:color w:val="000000"/>
          <w:lang w:eastAsia="bg-BG"/>
        </w:rPr>
        <w:t>Сърдечно-съдови ефекти</w:t>
      </w:r>
    </w:p>
    <w:p w14:paraId="55D8169D" w14:textId="77777777" w:rsidR="00E42D7B" w:rsidRPr="00E42D7B" w:rsidRDefault="00E42D7B" w:rsidP="00E42D7B">
      <w:pPr>
        <w:spacing w:line="240" w:lineRule="auto"/>
        <w:rPr>
          <w:rFonts w:eastAsia="Times New Roman" w:cs="Arial"/>
          <w:lang w:eastAsia="bg-BG"/>
        </w:rPr>
      </w:pPr>
      <w:r w:rsidRPr="00E42D7B">
        <w:rPr>
          <w:rFonts w:eastAsia="Times New Roman" w:cs="Arial"/>
          <w:color w:val="000000"/>
          <w:lang w:eastAsia="bg-BG"/>
        </w:rPr>
        <w:t>Лечението с НСПВС, включително диклофенак, особено във високи дози и при продължително лечение, може да бъде свързано с леко повишен риск от сериозни сърдечно-съдови тромботични събития (включително инфаркт на миокарда и инсулт).</w:t>
      </w:r>
    </w:p>
    <w:p w14:paraId="43CB5231" w14:textId="77777777" w:rsidR="00E42D7B" w:rsidRPr="00E42D7B" w:rsidRDefault="00E42D7B" w:rsidP="00E42D7B">
      <w:pPr>
        <w:spacing w:line="240" w:lineRule="auto"/>
        <w:rPr>
          <w:rFonts w:eastAsia="Times New Roman" w:cs="Arial"/>
          <w:color w:val="000000"/>
          <w:lang w:eastAsia="bg-BG"/>
        </w:rPr>
      </w:pPr>
    </w:p>
    <w:p w14:paraId="5DE85A87" w14:textId="7A525672" w:rsidR="00E42D7B" w:rsidRPr="00E42D7B" w:rsidRDefault="00E42D7B" w:rsidP="00E42D7B">
      <w:pPr>
        <w:spacing w:line="240" w:lineRule="auto"/>
        <w:rPr>
          <w:rFonts w:eastAsia="Times New Roman" w:cs="Arial"/>
          <w:lang w:eastAsia="bg-BG"/>
        </w:rPr>
      </w:pPr>
      <w:r w:rsidRPr="00E42D7B">
        <w:rPr>
          <w:rFonts w:eastAsia="Times New Roman" w:cs="Arial"/>
          <w:color w:val="000000"/>
          <w:lang w:eastAsia="bg-BG"/>
        </w:rPr>
        <w:t xml:space="preserve">Обикновено лечението с Волтарен при пациенти с установено сърдечно-съдово заболяване (конгестивна сърдечна недостатъчност, установена исхемична болест на сърцето, заболяване на периферните артерии) или неконтролирана хипертония не се препоръчва. При необходимост, пациенти с установено сърдечносъдово заболяване, неконтролирана хипертония или значителни рискови фактори за сърдечно-съдово заболяване трябва да бъдат лекувани с Волтарен само след внимателна преценка и само с дози ≤ 100 </w:t>
      </w:r>
      <w:r w:rsidRPr="00E42D7B">
        <w:rPr>
          <w:rFonts w:eastAsia="Times New Roman" w:cs="Arial"/>
          <w:color w:val="000000"/>
          <w:lang w:val="en-US"/>
        </w:rPr>
        <w:t xml:space="preserve">mg </w:t>
      </w:r>
      <w:r w:rsidRPr="00E42D7B">
        <w:rPr>
          <w:rFonts w:eastAsia="Times New Roman" w:cs="Arial"/>
          <w:color w:val="000000"/>
          <w:lang w:eastAsia="bg-BG"/>
        </w:rPr>
        <w:t>дневно, когато лечението продължи за повече от 4 седмици (вж. т. 4.4 Специални предупреждения и предпазни мерки при употреба).</w:t>
      </w:r>
    </w:p>
    <w:p w14:paraId="76DCFE01" w14:textId="77777777" w:rsidR="00E42D7B" w:rsidRPr="00E42D7B" w:rsidRDefault="00E42D7B" w:rsidP="00E42D7B">
      <w:pPr>
        <w:spacing w:line="240" w:lineRule="auto"/>
        <w:rPr>
          <w:rFonts w:eastAsia="Times New Roman" w:cs="Arial"/>
          <w:color w:val="000000"/>
          <w:lang w:eastAsia="bg-BG"/>
        </w:rPr>
      </w:pPr>
    </w:p>
    <w:p w14:paraId="35E5D08C" w14:textId="6A1D0886" w:rsidR="00E42D7B" w:rsidRPr="00E42D7B" w:rsidRDefault="00E42D7B" w:rsidP="00E42D7B">
      <w:pPr>
        <w:spacing w:line="240" w:lineRule="auto"/>
        <w:rPr>
          <w:rFonts w:eastAsia="Times New Roman" w:cs="Arial"/>
          <w:lang w:eastAsia="bg-BG"/>
        </w:rPr>
      </w:pPr>
      <w:r w:rsidRPr="00E42D7B">
        <w:rPr>
          <w:rFonts w:eastAsia="Times New Roman" w:cs="Arial"/>
          <w:color w:val="000000"/>
          <w:lang w:eastAsia="bg-BG"/>
        </w:rPr>
        <w:t>Необходимостта на пациента от симптоматично облекчение и отговора към терапията, трябва периодично да се преоценяват, особено когато лечението продължава за повече от 4 седмици. Пациентите трябва да бъдат бдителни за признаци и симптоми на сериозни атеротромботични събития (напр. гръдна болка, недостиг на въздух, слабост, неясен говор), които могат да възникнат внезапно. В случай на подобно събитие, пациентите трябва да бъдат инструктирани да потърсят лекар незабавно.</w:t>
      </w:r>
    </w:p>
    <w:p w14:paraId="5CC828C1" w14:textId="77777777" w:rsidR="00E42D7B" w:rsidRPr="00E42D7B" w:rsidRDefault="00E42D7B" w:rsidP="00E42D7B">
      <w:pPr>
        <w:spacing w:line="240" w:lineRule="auto"/>
        <w:rPr>
          <w:rFonts w:eastAsia="Times New Roman" w:cs="Arial"/>
          <w:color w:val="000000"/>
          <w:lang w:eastAsia="bg-BG"/>
        </w:rPr>
      </w:pPr>
    </w:p>
    <w:p w14:paraId="4C7E6D17" w14:textId="170959D6" w:rsidR="00E42D7B" w:rsidRPr="00E42D7B" w:rsidRDefault="00E42D7B" w:rsidP="00E42D7B">
      <w:pPr>
        <w:spacing w:line="240" w:lineRule="auto"/>
        <w:rPr>
          <w:rFonts w:eastAsia="Times New Roman" w:cs="Arial"/>
          <w:lang w:eastAsia="bg-BG"/>
        </w:rPr>
      </w:pPr>
      <w:r w:rsidRPr="00E42D7B">
        <w:rPr>
          <w:rFonts w:eastAsia="Times New Roman" w:cs="Arial"/>
          <w:color w:val="000000"/>
          <w:lang w:eastAsia="bg-BG"/>
        </w:rPr>
        <w:t>Необходимо е да се осигурят подходящо наблюдение и съвет за пациенти с анамнеза за хипертония и/или лека до умерена конгестивна сърдечна недостатъчност, тъй като има съобщения за отоци и задръжка на течности, свързани с лечението с НСПВС.</w:t>
      </w:r>
    </w:p>
    <w:p w14:paraId="6A6854BD" w14:textId="77777777" w:rsidR="00E42D7B" w:rsidRPr="00E42D7B" w:rsidRDefault="00E42D7B" w:rsidP="00E42D7B">
      <w:pPr>
        <w:spacing w:line="240" w:lineRule="auto"/>
        <w:rPr>
          <w:rFonts w:eastAsia="Times New Roman" w:cs="Arial"/>
          <w:color w:val="000000"/>
          <w:lang w:eastAsia="bg-BG"/>
        </w:rPr>
      </w:pPr>
    </w:p>
    <w:p w14:paraId="29C2A700" w14:textId="2B8D64FF" w:rsidR="00E42D7B" w:rsidRPr="00E42D7B" w:rsidRDefault="00E42D7B" w:rsidP="00E42D7B">
      <w:pPr>
        <w:spacing w:line="240" w:lineRule="auto"/>
        <w:rPr>
          <w:rFonts w:eastAsia="Times New Roman" w:cs="Arial"/>
          <w:color w:val="000000"/>
          <w:lang w:eastAsia="bg-BG"/>
        </w:rPr>
      </w:pPr>
      <w:r w:rsidRPr="00E42D7B">
        <w:rPr>
          <w:rFonts w:eastAsia="Times New Roman" w:cs="Arial"/>
          <w:color w:val="000000"/>
          <w:lang w:eastAsia="bg-BG"/>
        </w:rPr>
        <w:t xml:space="preserve">Клинични проучвания и епидемиологични данни показват, че употребата на диклофенак, особено във висока доза (150 </w:t>
      </w:r>
    </w:p>
    <w:p w14:paraId="292BEA37" w14:textId="3A5D5640" w:rsidR="00E42D7B" w:rsidRPr="00E42D7B" w:rsidRDefault="00E42D7B" w:rsidP="00E42D7B">
      <w:pPr>
        <w:spacing w:line="240" w:lineRule="auto"/>
        <w:rPr>
          <w:rFonts w:eastAsia="Times New Roman" w:cs="Arial"/>
          <w:lang w:eastAsia="bg-BG"/>
        </w:rPr>
      </w:pPr>
      <w:r w:rsidRPr="00E42D7B">
        <w:rPr>
          <w:rFonts w:eastAsia="Times New Roman" w:cs="Arial"/>
          <w:color w:val="000000"/>
          <w:lang w:val="en-US"/>
        </w:rPr>
        <w:t xml:space="preserve">mg </w:t>
      </w:r>
      <w:r w:rsidRPr="00E42D7B">
        <w:rPr>
          <w:rFonts w:eastAsia="Times New Roman" w:cs="Arial"/>
          <w:color w:val="000000"/>
          <w:lang w:eastAsia="bg-BG"/>
        </w:rPr>
        <w:t>дневно) и при продължително приложение може да бъде свързана с леко повишен риск от артериални тромботични събития (например миокарден инфаркт или инсулт) (вижте т. 4.4 Специални предупреждения и предпазни мерки при употреба).</w:t>
      </w:r>
    </w:p>
    <w:p w14:paraId="0B217401" w14:textId="77777777" w:rsidR="00E42D7B" w:rsidRPr="00E42D7B" w:rsidRDefault="00E42D7B" w:rsidP="00E42D7B">
      <w:pPr>
        <w:spacing w:line="240" w:lineRule="auto"/>
        <w:rPr>
          <w:rFonts w:eastAsia="Times New Roman" w:cs="Arial"/>
          <w:color w:val="000000"/>
          <w:lang w:eastAsia="bg-BG"/>
        </w:rPr>
      </w:pPr>
    </w:p>
    <w:p w14:paraId="557CB5AE" w14:textId="77777777" w:rsidR="00E42D7B" w:rsidRPr="00E42D7B" w:rsidRDefault="00E42D7B" w:rsidP="00E42D7B">
      <w:pPr>
        <w:spacing w:line="240" w:lineRule="auto"/>
        <w:rPr>
          <w:rFonts w:eastAsia="Times New Roman" w:cs="Arial"/>
          <w:color w:val="000000"/>
          <w:lang w:eastAsia="bg-BG"/>
        </w:rPr>
      </w:pPr>
      <w:r w:rsidRPr="00E42D7B">
        <w:rPr>
          <w:rFonts w:eastAsia="Times New Roman" w:cs="Arial"/>
          <w:color w:val="000000"/>
          <w:lang w:eastAsia="bg-BG"/>
        </w:rPr>
        <w:t xml:space="preserve">Необходимо е внимателно обмисляне при лечението с диклофенак на пациенти с неконтролирана хипертония, конгестивна сърдечна недостатъчност, установена исхемична болест на сърцето, заболяване на периферните артериии </w:t>
      </w:r>
    </w:p>
    <w:p w14:paraId="14C5182D" w14:textId="1D6C0EB3" w:rsidR="00E42D7B" w:rsidRPr="00E42D7B" w:rsidRDefault="00E42D7B" w:rsidP="00E42D7B">
      <w:pPr>
        <w:spacing w:line="240" w:lineRule="auto"/>
        <w:rPr>
          <w:rFonts w:eastAsia="Times New Roman" w:cs="Arial"/>
          <w:lang w:eastAsia="bg-BG"/>
        </w:rPr>
      </w:pPr>
      <w:r w:rsidRPr="00E42D7B">
        <w:rPr>
          <w:rFonts w:eastAsia="Times New Roman" w:cs="Arial"/>
          <w:color w:val="000000"/>
          <w:lang w:eastAsia="bg-BG"/>
        </w:rPr>
        <w:t>и/или мозъчно-съдова болест.</w:t>
      </w:r>
    </w:p>
    <w:p w14:paraId="79E0A66B" w14:textId="77777777" w:rsidR="00E42D7B" w:rsidRPr="00E42D7B" w:rsidRDefault="00E42D7B" w:rsidP="00E42D7B">
      <w:pPr>
        <w:spacing w:line="240" w:lineRule="auto"/>
        <w:rPr>
          <w:rFonts w:eastAsia="Times New Roman" w:cs="Arial"/>
          <w:color w:val="000000"/>
          <w:lang w:eastAsia="bg-BG"/>
        </w:rPr>
      </w:pPr>
    </w:p>
    <w:p w14:paraId="4F2ED462" w14:textId="77777777" w:rsidR="00E42D7B" w:rsidRPr="00E42D7B" w:rsidRDefault="00E42D7B" w:rsidP="00E42D7B">
      <w:pPr>
        <w:rPr>
          <w:rFonts w:eastAsia="Times New Roman" w:cs="Arial"/>
          <w:lang w:eastAsia="bg-BG"/>
        </w:rPr>
      </w:pPr>
      <w:r w:rsidRPr="00E42D7B">
        <w:rPr>
          <w:rFonts w:eastAsia="Times New Roman" w:cs="Arial"/>
          <w:color w:val="000000"/>
          <w:lang w:eastAsia="bg-BG"/>
        </w:rPr>
        <w:t>Пациентите със значителни рискови фактори за сърдечно-съдови събития (напр. хипертония, хиперлипидемия, захарен диабет, тютюнопушене) трябва да се лекуват с диклофенак само след</w:t>
      </w:r>
      <w:r w:rsidRPr="00E42D7B">
        <w:rPr>
          <w:rFonts w:eastAsia="Times New Roman" w:cs="Arial"/>
          <w:smallCaps/>
          <w:color w:val="000000"/>
          <w:lang w:eastAsia="bg-BG"/>
        </w:rPr>
        <w:t xml:space="preserve"> </w:t>
      </w:r>
      <w:r w:rsidRPr="00E42D7B">
        <w:rPr>
          <w:rFonts w:eastAsia="Times New Roman" w:cs="Arial"/>
          <w:color w:val="000000"/>
          <w:lang w:eastAsia="bg-BG"/>
        </w:rPr>
        <w:t xml:space="preserve">внимателна преценка. Тъй като сърдечно-съдовият риск при </w:t>
      </w:r>
      <w:r w:rsidRPr="00E42D7B">
        <w:rPr>
          <w:rFonts w:eastAsia="Times New Roman" w:cs="Arial"/>
          <w:color w:val="000000"/>
          <w:lang w:eastAsia="bg-BG"/>
        </w:rPr>
        <w:lastRenderedPageBreak/>
        <w:t>диклофенак може да нарастне с дозата и продължителността на експозицията, трябва да се прилага най-ниската ефективна дневна доза за възможно най-краткия период от време. Периодично трябва да се извъ</w:t>
      </w:r>
      <w:r w:rsidRPr="00E42D7B">
        <w:rPr>
          <w:rFonts w:eastAsia="Times New Roman" w:cs="Arial"/>
          <w:color w:val="000000"/>
          <w:lang w:eastAsia="bg-BG"/>
        </w:rPr>
        <w:t xml:space="preserve">ршва </w:t>
      </w:r>
      <w:r w:rsidRPr="00E42D7B">
        <w:rPr>
          <w:rFonts w:eastAsia="Times New Roman" w:cs="Arial"/>
          <w:color w:val="000000"/>
          <w:lang w:eastAsia="bg-BG"/>
        </w:rPr>
        <w:t>преоценка на необходимостта на пациента от облекчаване на симптомите и на отговора към терапията.</w:t>
      </w:r>
    </w:p>
    <w:p w14:paraId="5676E261" w14:textId="77777777" w:rsidR="00E42D7B" w:rsidRPr="00E42D7B" w:rsidRDefault="00E42D7B" w:rsidP="00E42D7B">
      <w:pPr>
        <w:spacing w:line="240" w:lineRule="auto"/>
        <w:rPr>
          <w:rFonts w:eastAsia="Times New Roman" w:cs="Arial"/>
          <w:color w:val="000000"/>
          <w:lang w:eastAsia="bg-BG"/>
        </w:rPr>
      </w:pPr>
    </w:p>
    <w:p w14:paraId="5296A498" w14:textId="5BBC00C8" w:rsidR="00E42D7B" w:rsidRPr="00E42D7B" w:rsidRDefault="00E42D7B" w:rsidP="00E42D7B">
      <w:pPr>
        <w:spacing w:line="240" w:lineRule="auto"/>
        <w:rPr>
          <w:rFonts w:eastAsia="Times New Roman" w:cs="Arial"/>
          <w:lang w:eastAsia="bg-BG"/>
        </w:rPr>
      </w:pPr>
      <w:r w:rsidRPr="00E42D7B">
        <w:rPr>
          <w:rFonts w:eastAsia="Times New Roman" w:cs="Arial"/>
          <w:color w:val="000000"/>
          <w:lang w:eastAsia="bg-BG"/>
        </w:rPr>
        <w:t>Хематологнчнн ефекти</w:t>
      </w:r>
    </w:p>
    <w:p w14:paraId="783531C2" w14:textId="77777777" w:rsidR="00E42D7B" w:rsidRPr="00E42D7B" w:rsidRDefault="00E42D7B" w:rsidP="00E42D7B">
      <w:pPr>
        <w:spacing w:line="240" w:lineRule="auto"/>
        <w:rPr>
          <w:rFonts w:eastAsia="Times New Roman" w:cs="Arial"/>
          <w:lang w:eastAsia="bg-BG"/>
        </w:rPr>
      </w:pPr>
      <w:r w:rsidRPr="00E42D7B">
        <w:rPr>
          <w:rFonts w:eastAsia="Times New Roman" w:cs="Arial"/>
          <w:color w:val="000000"/>
          <w:lang w:eastAsia="bg-BG"/>
        </w:rPr>
        <w:t>При продължителна употреба на Волтарен както при останалите НСПВС е препоръчително, редовно да се проследява кръвната картина.</w:t>
      </w:r>
    </w:p>
    <w:p w14:paraId="4C984669" w14:textId="77777777" w:rsidR="00E42D7B" w:rsidRPr="00E42D7B" w:rsidRDefault="00E42D7B" w:rsidP="00E42D7B">
      <w:pPr>
        <w:spacing w:line="240" w:lineRule="auto"/>
        <w:rPr>
          <w:rFonts w:eastAsia="Times New Roman" w:cs="Arial"/>
          <w:color w:val="000000"/>
          <w:lang w:eastAsia="bg-BG"/>
        </w:rPr>
      </w:pPr>
    </w:p>
    <w:p w14:paraId="2BC2D7D0" w14:textId="29D78865" w:rsidR="00E42D7B" w:rsidRPr="00E42D7B" w:rsidRDefault="00E42D7B" w:rsidP="00E42D7B">
      <w:pPr>
        <w:spacing w:line="240" w:lineRule="auto"/>
        <w:rPr>
          <w:rFonts w:eastAsia="Times New Roman" w:cs="Arial"/>
          <w:lang w:eastAsia="bg-BG"/>
        </w:rPr>
      </w:pPr>
      <w:r w:rsidRPr="00E42D7B">
        <w:rPr>
          <w:rFonts w:eastAsia="Times New Roman" w:cs="Arial"/>
          <w:color w:val="000000"/>
          <w:lang w:eastAsia="bg-BG"/>
        </w:rPr>
        <w:t>Както останалите НСПВС, Волтарен може временно да подтисне агрегацията на тромбоцигате. Пациентите с нарушения в кръвосъсирването трябва да бъдат наблюдавани внимателно.</w:t>
      </w:r>
    </w:p>
    <w:p w14:paraId="68A9E22B" w14:textId="77777777" w:rsidR="00E42D7B" w:rsidRPr="00E42D7B" w:rsidRDefault="00E42D7B" w:rsidP="00E42D7B">
      <w:pPr>
        <w:spacing w:line="240" w:lineRule="auto"/>
        <w:rPr>
          <w:rFonts w:eastAsia="Times New Roman" w:cs="Arial"/>
          <w:color w:val="000000"/>
          <w:lang w:eastAsia="bg-BG"/>
        </w:rPr>
      </w:pPr>
    </w:p>
    <w:p w14:paraId="6CDE159C" w14:textId="4BB7E3C5" w:rsidR="00E42D7B" w:rsidRPr="00E42D7B" w:rsidRDefault="00E42D7B" w:rsidP="00E42D7B">
      <w:pPr>
        <w:spacing w:line="240" w:lineRule="auto"/>
        <w:rPr>
          <w:rFonts w:eastAsia="Times New Roman" w:cs="Arial"/>
          <w:lang w:eastAsia="bg-BG"/>
        </w:rPr>
      </w:pPr>
      <w:r w:rsidRPr="00E42D7B">
        <w:rPr>
          <w:rFonts w:eastAsia="Times New Roman" w:cs="Arial"/>
          <w:color w:val="000000"/>
          <w:lang w:eastAsia="bg-BG"/>
        </w:rPr>
        <w:t>Съпътстваща астма</w:t>
      </w:r>
    </w:p>
    <w:p w14:paraId="1EEFF3B7" w14:textId="77777777" w:rsidR="00E42D7B" w:rsidRPr="00E42D7B" w:rsidRDefault="00E42D7B" w:rsidP="00E42D7B">
      <w:pPr>
        <w:spacing w:line="240" w:lineRule="auto"/>
        <w:rPr>
          <w:rFonts w:eastAsia="Times New Roman" w:cs="Arial"/>
          <w:lang w:eastAsia="bg-BG"/>
        </w:rPr>
      </w:pPr>
      <w:r w:rsidRPr="00E42D7B">
        <w:rPr>
          <w:rFonts w:eastAsia="Times New Roman" w:cs="Arial"/>
          <w:color w:val="000000"/>
          <w:lang w:eastAsia="bg-BG"/>
        </w:rPr>
        <w:t>При пациентите с астма, в сравнение с другите пациенти, са по-чести сезонните алергични ринити, отокът на носната лигавица (т.нар. носни полипи), хронични обструктивни белодробни заболявания или хронични инфекции на дихателните пътища (особено, ако са свързани със симптоми подобни на алергичен ринит), реакции спрямо НСПВС като екзацербация на астмата (т. нар. непоносимост към аналгетици/ аналгетична астма), едем на Квинке или уртикария. Поради това при тези пациенти са необходими специални предпазни мерки (готовност за спешна помощ). Това се отнася също така и за пациенти алергични към други субстанции, напр. кожни реакции, сърбеж или уртикария.</w:t>
      </w:r>
    </w:p>
    <w:p w14:paraId="29054F17" w14:textId="77777777" w:rsidR="00E42D7B" w:rsidRPr="00E42D7B" w:rsidRDefault="00E42D7B" w:rsidP="00E42D7B">
      <w:pPr>
        <w:spacing w:line="240" w:lineRule="auto"/>
        <w:rPr>
          <w:rFonts w:eastAsia="Times New Roman" w:cs="Arial"/>
          <w:color w:val="000000"/>
          <w:lang w:eastAsia="bg-BG"/>
        </w:rPr>
      </w:pPr>
    </w:p>
    <w:p w14:paraId="766578A3" w14:textId="5C259656" w:rsidR="00E42D7B" w:rsidRPr="00E42D7B" w:rsidRDefault="00E42D7B" w:rsidP="00E42D7B">
      <w:pPr>
        <w:spacing w:line="240" w:lineRule="auto"/>
        <w:rPr>
          <w:rFonts w:eastAsia="Times New Roman" w:cs="Arial"/>
          <w:lang w:eastAsia="bg-BG"/>
        </w:rPr>
      </w:pPr>
      <w:r w:rsidRPr="00E42D7B">
        <w:rPr>
          <w:rFonts w:eastAsia="Times New Roman" w:cs="Arial"/>
          <w:color w:val="000000"/>
          <w:lang w:eastAsia="bg-BG"/>
        </w:rPr>
        <w:t>Пациенти в старческа възраст (на 65 и повече години)</w:t>
      </w:r>
    </w:p>
    <w:p w14:paraId="2DD1F828" w14:textId="77777777" w:rsidR="00E42D7B" w:rsidRPr="00E42D7B" w:rsidRDefault="00E42D7B" w:rsidP="00E42D7B">
      <w:pPr>
        <w:spacing w:line="240" w:lineRule="auto"/>
        <w:rPr>
          <w:rFonts w:eastAsia="Times New Roman" w:cs="Arial"/>
          <w:lang w:eastAsia="bg-BG"/>
        </w:rPr>
      </w:pPr>
      <w:r w:rsidRPr="00E42D7B">
        <w:rPr>
          <w:rFonts w:eastAsia="Times New Roman" w:cs="Arial"/>
          <w:color w:val="000000"/>
          <w:lang w:eastAsia="bg-BG"/>
        </w:rPr>
        <w:t>Особено внимание е необходимо при пациенти в старческа възраст поради основни медицински съображения, особено при немощни пациенти или при такива с ниско телесно тегло.</w:t>
      </w:r>
    </w:p>
    <w:p w14:paraId="259EE78B" w14:textId="77777777" w:rsidR="00E42D7B" w:rsidRPr="00E42D7B" w:rsidRDefault="00E42D7B" w:rsidP="00E42D7B">
      <w:pPr>
        <w:spacing w:line="240" w:lineRule="auto"/>
        <w:rPr>
          <w:rFonts w:eastAsia="Times New Roman" w:cs="Arial"/>
          <w:color w:val="000000"/>
          <w:lang w:eastAsia="bg-BG"/>
        </w:rPr>
      </w:pPr>
    </w:p>
    <w:p w14:paraId="6B29E295" w14:textId="71F380BE" w:rsidR="00E42D7B" w:rsidRPr="00E42D7B" w:rsidRDefault="00E42D7B" w:rsidP="00E42D7B">
      <w:pPr>
        <w:spacing w:line="240" w:lineRule="auto"/>
        <w:rPr>
          <w:rFonts w:eastAsia="Times New Roman" w:cs="Arial"/>
          <w:lang w:eastAsia="bg-BG"/>
        </w:rPr>
      </w:pPr>
      <w:r w:rsidRPr="00E42D7B">
        <w:rPr>
          <w:rFonts w:eastAsia="Times New Roman" w:cs="Arial"/>
          <w:color w:val="000000"/>
          <w:lang w:eastAsia="bg-BG"/>
        </w:rPr>
        <w:t>Взаимодействие с НСПВС</w:t>
      </w:r>
    </w:p>
    <w:p w14:paraId="40E655FB" w14:textId="77777777" w:rsidR="00E42D7B" w:rsidRPr="00E42D7B" w:rsidRDefault="00E42D7B" w:rsidP="00E42D7B">
      <w:pPr>
        <w:spacing w:line="240" w:lineRule="auto"/>
        <w:rPr>
          <w:rFonts w:eastAsia="Times New Roman" w:cs="Arial"/>
          <w:lang w:eastAsia="bg-BG"/>
        </w:rPr>
      </w:pPr>
      <w:r w:rsidRPr="00E42D7B">
        <w:rPr>
          <w:rFonts w:eastAsia="Times New Roman" w:cs="Arial"/>
          <w:color w:val="000000"/>
          <w:lang w:eastAsia="bg-BG"/>
        </w:rPr>
        <w:t>Трябва да се избягва едновременното приложение на Волтарен със системни НСПВС, включително селективни инхибитори на циклооксигеназа-2 поради възможността от нежелани ефекти (вж. т. 4.5 Взаимодействие с други лекарствени продукти и друга форми на взаимодействие).</w:t>
      </w:r>
    </w:p>
    <w:p w14:paraId="7A999B9B" w14:textId="77777777" w:rsidR="00E42D7B" w:rsidRPr="00E42D7B" w:rsidRDefault="00E42D7B" w:rsidP="00E42D7B">
      <w:pPr>
        <w:spacing w:line="240" w:lineRule="auto"/>
        <w:rPr>
          <w:rFonts w:eastAsia="Times New Roman" w:cs="Arial"/>
          <w:color w:val="000000"/>
          <w:lang w:eastAsia="bg-BG"/>
        </w:rPr>
      </w:pPr>
    </w:p>
    <w:p w14:paraId="5F7D4EBB" w14:textId="08D1FB12" w:rsidR="00E42D7B" w:rsidRPr="00E42D7B" w:rsidRDefault="00E42D7B" w:rsidP="00E42D7B">
      <w:pPr>
        <w:spacing w:line="240" w:lineRule="auto"/>
        <w:rPr>
          <w:rFonts w:eastAsia="Times New Roman" w:cs="Arial"/>
          <w:lang w:eastAsia="bg-BG"/>
        </w:rPr>
      </w:pPr>
      <w:r w:rsidRPr="00E42D7B">
        <w:rPr>
          <w:rFonts w:eastAsia="Times New Roman" w:cs="Arial"/>
          <w:color w:val="000000"/>
          <w:lang w:eastAsia="bg-BG"/>
        </w:rPr>
        <w:t>Маскиране признаците на инфекции</w:t>
      </w:r>
    </w:p>
    <w:p w14:paraId="65423FE3" w14:textId="77777777" w:rsidR="00E42D7B" w:rsidRPr="00E42D7B" w:rsidRDefault="00E42D7B" w:rsidP="00E42D7B">
      <w:pPr>
        <w:spacing w:line="240" w:lineRule="auto"/>
        <w:rPr>
          <w:rFonts w:eastAsia="Times New Roman" w:cs="Arial"/>
          <w:lang w:eastAsia="bg-BG"/>
        </w:rPr>
      </w:pPr>
      <w:r w:rsidRPr="00E42D7B">
        <w:rPr>
          <w:rFonts w:eastAsia="Times New Roman" w:cs="Arial"/>
          <w:color w:val="000000"/>
          <w:lang w:eastAsia="bg-BG"/>
        </w:rPr>
        <w:t>Подобно на останалите НСПВС, поради фармакодинамичните си свойства Волтарен може да маскира признаците и симптомите на инфекции</w:t>
      </w:r>
    </w:p>
    <w:p w14:paraId="5486FEC5" w14:textId="77777777" w:rsidR="00E42D7B" w:rsidRPr="00E42D7B" w:rsidRDefault="00E42D7B" w:rsidP="00E42D7B">
      <w:pPr>
        <w:rPr>
          <w:lang w:val="en-US"/>
        </w:rPr>
      </w:pPr>
    </w:p>
    <w:p w14:paraId="1DA47448" w14:textId="381F54E1" w:rsidR="009F77A4" w:rsidRDefault="002C50EE" w:rsidP="00387A66">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04B7596F" w14:textId="77777777" w:rsidR="00E42D7B" w:rsidRDefault="00E42D7B" w:rsidP="00E42D7B"/>
    <w:p w14:paraId="2ED5272F" w14:textId="77777777" w:rsidR="00E42D7B" w:rsidRPr="00E42D7B" w:rsidRDefault="00E42D7B" w:rsidP="00E42D7B">
      <w:pPr>
        <w:spacing w:line="240" w:lineRule="auto"/>
        <w:rPr>
          <w:rFonts w:eastAsia="Times New Roman" w:cs="Arial"/>
          <w:sz w:val="36"/>
          <w:szCs w:val="36"/>
          <w:lang w:eastAsia="bg-BG"/>
        </w:rPr>
      </w:pPr>
      <w:r w:rsidRPr="00E42D7B">
        <w:rPr>
          <w:rFonts w:eastAsia="Times New Roman" w:cs="Arial"/>
          <w:color w:val="000000"/>
          <w:lang w:eastAsia="bg-BG"/>
        </w:rPr>
        <w:t>Изброените по-долу взаимодействия включват наблюдаваните при Волтарен супозитории и/или други лекарствени форми на диклофенак.</w:t>
      </w:r>
    </w:p>
    <w:p w14:paraId="38C1C918" w14:textId="77777777" w:rsidR="00E42D7B" w:rsidRPr="00365AAD" w:rsidRDefault="00E42D7B" w:rsidP="00E42D7B">
      <w:pPr>
        <w:spacing w:line="240" w:lineRule="auto"/>
        <w:rPr>
          <w:rFonts w:eastAsia="Times New Roman" w:cs="Arial"/>
          <w:color w:val="000000"/>
          <w:lang w:eastAsia="bg-BG"/>
        </w:rPr>
      </w:pPr>
    </w:p>
    <w:p w14:paraId="424D0041" w14:textId="2FCF24C1" w:rsidR="00E42D7B" w:rsidRPr="00E42D7B" w:rsidRDefault="00E42D7B" w:rsidP="00E42D7B">
      <w:pPr>
        <w:spacing w:line="240" w:lineRule="auto"/>
        <w:rPr>
          <w:rFonts w:eastAsia="Times New Roman" w:cs="Arial"/>
          <w:sz w:val="36"/>
          <w:szCs w:val="36"/>
          <w:lang w:eastAsia="bg-BG"/>
        </w:rPr>
      </w:pPr>
      <w:r w:rsidRPr="00E42D7B">
        <w:rPr>
          <w:rFonts w:eastAsia="Times New Roman" w:cs="Arial"/>
          <w:color w:val="000000"/>
          <w:lang w:eastAsia="bg-BG"/>
        </w:rPr>
        <w:t>Наблюдавани взаимодействия, конто трябва да се вземат под внимание</w:t>
      </w:r>
    </w:p>
    <w:p w14:paraId="791AC00D" w14:textId="77777777" w:rsidR="00E42D7B" w:rsidRPr="00365AAD" w:rsidRDefault="00E42D7B" w:rsidP="00E42D7B">
      <w:pPr>
        <w:spacing w:line="240" w:lineRule="auto"/>
        <w:rPr>
          <w:rFonts w:eastAsia="Times New Roman" w:cs="Arial"/>
          <w:i/>
          <w:iCs/>
          <w:color w:val="000000"/>
          <w:lang w:val="en-US"/>
        </w:rPr>
      </w:pPr>
    </w:p>
    <w:p w14:paraId="1F0F90B6" w14:textId="7D4C7468" w:rsidR="00E42D7B" w:rsidRPr="00E42D7B" w:rsidRDefault="00E42D7B" w:rsidP="00E42D7B">
      <w:pPr>
        <w:spacing w:line="240" w:lineRule="auto"/>
        <w:rPr>
          <w:rFonts w:eastAsia="Times New Roman" w:cs="Arial"/>
          <w:sz w:val="36"/>
          <w:szCs w:val="36"/>
          <w:lang w:eastAsia="bg-BG"/>
        </w:rPr>
      </w:pPr>
      <w:r w:rsidRPr="00E42D7B">
        <w:rPr>
          <w:rFonts w:eastAsia="Times New Roman" w:cs="Arial"/>
          <w:i/>
          <w:iCs/>
          <w:color w:val="000000"/>
          <w:lang w:val="en-US"/>
        </w:rPr>
        <w:t xml:space="preserve">CYP2C9 </w:t>
      </w:r>
      <w:r w:rsidRPr="00E42D7B">
        <w:rPr>
          <w:rFonts w:eastAsia="Times New Roman" w:cs="Arial"/>
          <w:i/>
          <w:iCs/>
          <w:color w:val="000000"/>
          <w:lang w:eastAsia="bg-BG"/>
        </w:rPr>
        <w:t>инхибитори:</w:t>
      </w:r>
      <w:r w:rsidRPr="00E42D7B">
        <w:rPr>
          <w:rFonts w:eastAsia="Times New Roman" w:cs="Arial"/>
          <w:color w:val="000000"/>
          <w:lang w:eastAsia="bg-BG"/>
        </w:rPr>
        <w:t xml:space="preserve"> Препоръчва се повишено внимание при едновременната употреба на диклофенак и </w:t>
      </w:r>
      <w:r w:rsidRPr="00E42D7B">
        <w:rPr>
          <w:rFonts w:eastAsia="Times New Roman" w:cs="Arial"/>
          <w:color w:val="000000"/>
          <w:lang w:val="en-US"/>
        </w:rPr>
        <w:t xml:space="preserve">CYP2C9 </w:t>
      </w:r>
      <w:r w:rsidRPr="00E42D7B">
        <w:rPr>
          <w:rFonts w:eastAsia="Times New Roman" w:cs="Arial"/>
          <w:color w:val="000000"/>
          <w:lang w:eastAsia="bg-BG"/>
        </w:rPr>
        <w:t xml:space="preserve">инхибитори (като сулфинпиразон и вориконазол), което може да доведе до значително увеличение на пиковите плазмени концентрации и експозицията на диклофенак. </w:t>
      </w:r>
      <w:r w:rsidRPr="00E42D7B">
        <w:rPr>
          <w:rFonts w:eastAsia="Times New Roman" w:cs="Arial"/>
          <w:i/>
          <w:iCs/>
          <w:color w:val="000000"/>
          <w:lang w:eastAsia="bg-BG"/>
        </w:rPr>
        <w:t>Литий:</w:t>
      </w:r>
      <w:r w:rsidRPr="00E42D7B">
        <w:rPr>
          <w:rFonts w:eastAsia="Times New Roman" w:cs="Arial"/>
          <w:color w:val="000000"/>
          <w:lang w:eastAsia="bg-BG"/>
        </w:rPr>
        <w:t xml:space="preserve"> при едновременно приложение с литий, диклофенак може да </w:t>
      </w:r>
      <w:r w:rsidRPr="00E42D7B">
        <w:rPr>
          <w:rFonts w:eastAsia="Times New Roman" w:cs="Arial"/>
          <w:color w:val="000000"/>
          <w:lang w:eastAsia="bg-BG"/>
        </w:rPr>
        <w:lastRenderedPageBreak/>
        <w:t>повиши плазмените концентрации на лития. Препоръчва се проследяване на серумните нива на лития.</w:t>
      </w:r>
    </w:p>
    <w:p w14:paraId="3A6B20F4" w14:textId="77777777" w:rsidR="00E42D7B" w:rsidRPr="00365AAD" w:rsidRDefault="00E42D7B" w:rsidP="00E42D7B">
      <w:pPr>
        <w:rPr>
          <w:rFonts w:eastAsia="Times New Roman" w:cs="Arial"/>
          <w:i/>
          <w:iCs/>
          <w:color w:val="000000"/>
          <w:lang w:eastAsia="bg-BG"/>
        </w:rPr>
      </w:pPr>
    </w:p>
    <w:p w14:paraId="44582BF5" w14:textId="12469FBF" w:rsidR="00E42D7B" w:rsidRPr="00365AAD" w:rsidRDefault="00E42D7B" w:rsidP="00E42D7B">
      <w:pPr>
        <w:rPr>
          <w:rFonts w:eastAsia="Times New Roman" w:cs="Arial"/>
          <w:color w:val="000000"/>
          <w:lang w:eastAsia="bg-BG"/>
        </w:rPr>
      </w:pPr>
      <w:r w:rsidRPr="00365AAD">
        <w:rPr>
          <w:rFonts w:eastAsia="Times New Roman" w:cs="Arial"/>
          <w:i/>
          <w:iCs/>
          <w:color w:val="000000"/>
          <w:lang w:eastAsia="bg-BG"/>
        </w:rPr>
        <w:t>Дигоксин:</w:t>
      </w:r>
      <w:r w:rsidRPr="00365AAD">
        <w:rPr>
          <w:rFonts w:eastAsia="Times New Roman" w:cs="Arial"/>
          <w:color w:val="000000"/>
          <w:lang w:eastAsia="bg-BG"/>
        </w:rPr>
        <w:t xml:space="preserve"> при едновременно приложение диклофенак може да повиши плазмените концентрации на дигоксина. Препоръчва се проследяване на серумните нива на дигоксина.</w:t>
      </w:r>
    </w:p>
    <w:p w14:paraId="24A51837" w14:textId="77777777" w:rsidR="00E42D7B" w:rsidRPr="00365AAD" w:rsidRDefault="00E42D7B" w:rsidP="00E42D7B">
      <w:pPr>
        <w:rPr>
          <w:rFonts w:eastAsia="Times New Roman" w:cs="Arial"/>
          <w:color w:val="000000"/>
          <w:lang w:eastAsia="bg-BG"/>
        </w:rPr>
      </w:pPr>
    </w:p>
    <w:p w14:paraId="232F396D" w14:textId="77777777" w:rsidR="00365AAD" w:rsidRPr="00365AAD" w:rsidRDefault="00E42D7B" w:rsidP="00365AAD">
      <w:pPr>
        <w:rPr>
          <w:rFonts w:eastAsia="Times New Roman" w:cs="Arial"/>
          <w:sz w:val="36"/>
          <w:szCs w:val="36"/>
          <w:lang w:eastAsia="bg-BG"/>
        </w:rPr>
      </w:pPr>
      <w:r w:rsidRPr="00E42D7B">
        <w:rPr>
          <w:rFonts w:eastAsia="Times New Roman" w:cs="Arial"/>
          <w:i/>
          <w:iCs/>
          <w:color w:val="000000"/>
          <w:lang w:eastAsia="bg-BG"/>
        </w:rPr>
        <w:t>Диуретици и антихипертензивни лекарства:</w:t>
      </w:r>
      <w:r w:rsidRPr="00E42D7B">
        <w:rPr>
          <w:rFonts w:eastAsia="Times New Roman" w:cs="Arial"/>
          <w:color w:val="000000"/>
          <w:lang w:eastAsia="bg-BG"/>
        </w:rPr>
        <w:t xml:space="preserve"> Както при останалите НСПВС, едновременното приложение на диклофенак с диуретици или антихипертензивни лекарства (напр. бега блокери, инхибитори на ангиотензин-конвертиращия ензим (АСЕ-инхибитори) може да намали антихипертензивният им ефект. Поради това, тази комбинация трябва да се прилага с особено внимание и пациентите, най-вече тези в напреднала възраст, периодично трябва да проследяват стойностите на артериалното си налягане. Поради повишения риск от</w:t>
      </w:r>
      <w:r w:rsidRPr="00365AAD">
        <w:rPr>
          <w:rFonts w:eastAsia="Times New Roman" w:cs="Arial"/>
          <w:color w:val="000000"/>
          <w:lang w:eastAsia="bg-BG"/>
        </w:rPr>
        <w:t xml:space="preserve"> </w:t>
      </w:r>
      <w:r w:rsidR="00365AAD" w:rsidRPr="00365AAD">
        <w:rPr>
          <w:rFonts w:eastAsia="Times New Roman" w:cs="Arial"/>
          <w:color w:val="000000"/>
          <w:lang w:eastAsia="bg-BG"/>
        </w:rPr>
        <w:t>нефротоксичност (вж. т. 4.4, Специални предупреждения и предпазни мерки при употреба) пациентите трябва да бъдат добре хидратирани, и да им бъде проследявана бъбречната функция при започване на комбинирано лечение с диуретици и АСЕ инхибитори, както и периодично след това.</w:t>
      </w:r>
    </w:p>
    <w:p w14:paraId="7D4BCBD2" w14:textId="77777777" w:rsidR="00365AAD" w:rsidRPr="00365AAD" w:rsidRDefault="00365AAD" w:rsidP="00365AAD">
      <w:pPr>
        <w:spacing w:line="240" w:lineRule="auto"/>
        <w:rPr>
          <w:rFonts w:eastAsia="Times New Roman" w:cs="Arial"/>
          <w:i/>
          <w:iCs/>
          <w:color w:val="000000"/>
          <w:lang w:eastAsia="bg-BG"/>
        </w:rPr>
      </w:pPr>
    </w:p>
    <w:p w14:paraId="65BAE2F0" w14:textId="2A4A3E7B" w:rsidR="00365AAD" w:rsidRPr="00365AAD" w:rsidRDefault="00365AAD" w:rsidP="00365AAD">
      <w:pPr>
        <w:spacing w:line="240" w:lineRule="auto"/>
        <w:rPr>
          <w:rFonts w:eastAsia="Times New Roman" w:cs="Arial"/>
          <w:sz w:val="36"/>
          <w:szCs w:val="36"/>
          <w:lang w:eastAsia="bg-BG"/>
        </w:rPr>
      </w:pPr>
      <w:r w:rsidRPr="00365AAD">
        <w:rPr>
          <w:rFonts w:eastAsia="Times New Roman" w:cs="Arial"/>
          <w:i/>
          <w:iCs/>
          <w:color w:val="000000"/>
          <w:lang w:eastAsia="bg-BG"/>
        </w:rPr>
        <w:t>Циклоспорин и такролимус:</w:t>
      </w:r>
      <w:r w:rsidRPr="00365AAD">
        <w:rPr>
          <w:rFonts w:eastAsia="Times New Roman" w:cs="Arial"/>
          <w:color w:val="000000"/>
          <w:lang w:eastAsia="bg-BG"/>
        </w:rPr>
        <w:t xml:space="preserve"> Както останалите НСПВС, диклофенак може да повиши нефротоксичностга на циклоспорин и такролимус поради повлияване на бъбречните простагландини. Поради това той трябва да се прилага в по-ниски дози отколкото при пациенти, които не приемат циклоспорин или такролимус.</w:t>
      </w:r>
    </w:p>
    <w:p w14:paraId="5FE5BE2B" w14:textId="77777777" w:rsidR="00365AAD" w:rsidRPr="00365AAD" w:rsidRDefault="00365AAD" w:rsidP="00365AAD">
      <w:pPr>
        <w:spacing w:line="240" w:lineRule="auto"/>
        <w:rPr>
          <w:rFonts w:eastAsia="Times New Roman" w:cs="Arial"/>
          <w:i/>
          <w:iCs/>
          <w:color w:val="000000"/>
          <w:lang w:eastAsia="bg-BG"/>
        </w:rPr>
      </w:pPr>
    </w:p>
    <w:p w14:paraId="4DA0F0F2" w14:textId="5FD74101" w:rsidR="00365AAD" w:rsidRPr="00365AAD" w:rsidRDefault="00365AAD" w:rsidP="00365AAD">
      <w:pPr>
        <w:spacing w:line="240" w:lineRule="auto"/>
        <w:rPr>
          <w:rFonts w:eastAsia="Times New Roman" w:cs="Arial"/>
          <w:sz w:val="36"/>
          <w:szCs w:val="36"/>
          <w:lang w:eastAsia="bg-BG"/>
        </w:rPr>
      </w:pPr>
      <w:r w:rsidRPr="00365AAD">
        <w:rPr>
          <w:rFonts w:eastAsia="Times New Roman" w:cs="Arial"/>
          <w:i/>
          <w:iCs/>
          <w:color w:val="000000"/>
          <w:lang w:eastAsia="bg-BG"/>
        </w:rPr>
        <w:t>Лекарства, причиняващи хиперкалиемия:</w:t>
      </w:r>
      <w:r w:rsidRPr="00365AAD">
        <w:rPr>
          <w:rFonts w:eastAsia="Times New Roman" w:cs="Arial"/>
          <w:color w:val="000000"/>
          <w:lang w:eastAsia="bg-BG"/>
        </w:rPr>
        <w:t xml:space="preserve"> Едновременното приложение с калий-съхраняващи диуретици, циклоспорин, такролимус или триметоприм може да бъде свързано с повишени серумни нива на калий, които следва да се проследяват често (виж т. 4.4 Специални предупреждения и предпазни мерки при употреба).</w:t>
      </w:r>
    </w:p>
    <w:p w14:paraId="7CFE5E97" w14:textId="77777777" w:rsidR="00365AAD" w:rsidRPr="00365AAD" w:rsidRDefault="00365AAD" w:rsidP="00365AAD">
      <w:pPr>
        <w:spacing w:line="240" w:lineRule="auto"/>
        <w:rPr>
          <w:rFonts w:eastAsia="Times New Roman" w:cs="Arial"/>
          <w:i/>
          <w:iCs/>
          <w:color w:val="000000"/>
          <w:lang w:eastAsia="bg-BG"/>
        </w:rPr>
      </w:pPr>
    </w:p>
    <w:p w14:paraId="32485300" w14:textId="0BBD6CAA" w:rsidR="00365AAD" w:rsidRPr="00365AAD" w:rsidRDefault="00365AAD" w:rsidP="00365AAD">
      <w:pPr>
        <w:spacing w:line="240" w:lineRule="auto"/>
        <w:rPr>
          <w:rFonts w:eastAsia="Times New Roman" w:cs="Arial"/>
          <w:sz w:val="36"/>
          <w:szCs w:val="36"/>
          <w:lang w:eastAsia="bg-BG"/>
        </w:rPr>
      </w:pPr>
      <w:r w:rsidRPr="00365AAD">
        <w:rPr>
          <w:rFonts w:eastAsia="Times New Roman" w:cs="Arial"/>
          <w:i/>
          <w:iCs/>
          <w:color w:val="000000"/>
          <w:lang w:eastAsia="bg-BG"/>
        </w:rPr>
        <w:t>Хинолонови антибактериални лекарства:</w:t>
      </w:r>
      <w:r w:rsidRPr="00365AAD">
        <w:rPr>
          <w:rFonts w:eastAsia="Times New Roman" w:cs="Arial"/>
          <w:color w:val="000000"/>
          <w:lang w:eastAsia="bg-BG"/>
        </w:rPr>
        <w:t xml:space="preserve"> Съобщени са изолирани случаи на гърчове, които може да са били предизвикани от едновременното приложение на хинолони и НСПВС.</w:t>
      </w:r>
    </w:p>
    <w:p w14:paraId="51FBBC82" w14:textId="77777777" w:rsidR="00365AAD" w:rsidRPr="00365AAD" w:rsidRDefault="00365AAD" w:rsidP="00365AAD">
      <w:pPr>
        <w:spacing w:line="240" w:lineRule="auto"/>
        <w:rPr>
          <w:rFonts w:eastAsia="Times New Roman" w:cs="Arial"/>
          <w:color w:val="000000"/>
          <w:lang w:eastAsia="bg-BG"/>
        </w:rPr>
      </w:pPr>
    </w:p>
    <w:p w14:paraId="1BA4EDBC" w14:textId="457FC6D5" w:rsidR="00365AAD" w:rsidRPr="00365AAD" w:rsidRDefault="00365AAD" w:rsidP="00365AAD">
      <w:pPr>
        <w:spacing w:line="240" w:lineRule="auto"/>
        <w:rPr>
          <w:rFonts w:eastAsia="Times New Roman" w:cs="Arial"/>
          <w:sz w:val="36"/>
          <w:szCs w:val="36"/>
          <w:lang w:eastAsia="bg-BG"/>
        </w:rPr>
      </w:pPr>
      <w:r w:rsidRPr="00365AAD">
        <w:rPr>
          <w:rFonts w:eastAsia="Times New Roman" w:cs="Arial"/>
          <w:color w:val="000000"/>
          <w:lang w:eastAsia="bg-BG"/>
        </w:rPr>
        <w:t>Очаквани взаимодействия, които трябва да се вземат под внимание</w:t>
      </w:r>
    </w:p>
    <w:p w14:paraId="40A7E649" w14:textId="77777777" w:rsidR="00365AAD" w:rsidRPr="00365AAD" w:rsidRDefault="00365AAD" w:rsidP="00365AAD">
      <w:pPr>
        <w:spacing w:line="240" w:lineRule="auto"/>
        <w:rPr>
          <w:rFonts w:eastAsia="Times New Roman" w:cs="Arial"/>
          <w:i/>
          <w:iCs/>
          <w:color w:val="000000"/>
          <w:lang w:eastAsia="bg-BG"/>
        </w:rPr>
      </w:pPr>
    </w:p>
    <w:p w14:paraId="21410AC2" w14:textId="417BACFB" w:rsidR="00365AAD" w:rsidRPr="00365AAD" w:rsidRDefault="00365AAD" w:rsidP="00365AAD">
      <w:pPr>
        <w:spacing w:line="240" w:lineRule="auto"/>
        <w:rPr>
          <w:rFonts w:eastAsia="Times New Roman" w:cs="Arial"/>
          <w:sz w:val="36"/>
          <w:szCs w:val="36"/>
          <w:lang w:eastAsia="bg-BG"/>
        </w:rPr>
      </w:pPr>
      <w:r w:rsidRPr="00365AAD">
        <w:rPr>
          <w:rFonts w:eastAsia="Times New Roman" w:cs="Arial"/>
          <w:i/>
          <w:iCs/>
          <w:color w:val="000000"/>
          <w:lang w:eastAsia="bg-BG"/>
        </w:rPr>
        <w:t>Други НСПВС и кортикостероиди:</w:t>
      </w:r>
      <w:r w:rsidRPr="00365AAD">
        <w:rPr>
          <w:rFonts w:eastAsia="Times New Roman" w:cs="Arial"/>
          <w:color w:val="000000"/>
          <w:lang w:eastAsia="bg-BG"/>
        </w:rPr>
        <w:t xml:space="preserve"> Едновременното приложение на диклофенак с други системни НСПВС или кортикостероиди може да повиши честотата на нежеланите стомашно- чревни лекарствени реакции (вж. т. 4.4. Специални предупреждения и предпазни мерки при употреба).</w:t>
      </w:r>
    </w:p>
    <w:p w14:paraId="4CD5792C" w14:textId="77777777" w:rsidR="00365AAD" w:rsidRPr="00365AAD" w:rsidRDefault="00365AAD" w:rsidP="00365AAD">
      <w:pPr>
        <w:spacing w:line="240" w:lineRule="auto"/>
        <w:rPr>
          <w:rFonts w:eastAsia="Times New Roman" w:cs="Arial"/>
          <w:i/>
          <w:iCs/>
          <w:color w:val="000000"/>
          <w:lang w:eastAsia="bg-BG"/>
        </w:rPr>
      </w:pPr>
    </w:p>
    <w:p w14:paraId="57467690" w14:textId="043A54D7" w:rsidR="00365AAD" w:rsidRPr="00365AAD" w:rsidRDefault="00365AAD" w:rsidP="00365AAD">
      <w:pPr>
        <w:spacing w:line="240" w:lineRule="auto"/>
        <w:rPr>
          <w:rFonts w:eastAsia="Times New Roman" w:cs="Arial"/>
          <w:sz w:val="36"/>
          <w:szCs w:val="36"/>
          <w:lang w:eastAsia="bg-BG"/>
        </w:rPr>
      </w:pPr>
      <w:r w:rsidRPr="00365AAD">
        <w:rPr>
          <w:rFonts w:eastAsia="Times New Roman" w:cs="Arial"/>
          <w:i/>
          <w:iCs/>
          <w:color w:val="000000"/>
          <w:lang w:eastAsia="bg-BG"/>
        </w:rPr>
        <w:t>Антикоагуланти и антитромбоцитни лекарствени продукти:</w:t>
      </w:r>
      <w:r w:rsidRPr="00365AAD">
        <w:rPr>
          <w:rFonts w:eastAsia="Times New Roman" w:cs="Arial"/>
          <w:color w:val="000000"/>
          <w:lang w:eastAsia="bg-BG"/>
        </w:rPr>
        <w:t xml:space="preserve"> Препоръчва се повишено внимание, тъй като едновременното приложение може да повиши риска от кървене (вж. т. 4.4. Специални предупреждения и предпазни мерки при употреба). Въпреки че клиничните изследвания не показват, че диклофенак повлиява действието на антикоагулантите, има съобщения за повишен риск от кръвоизлив при пациенти, които получават едновременно диклофенак и антикоагуланти. По тази причина се препоръчва внимателно наблюдение на такива пациенти.</w:t>
      </w:r>
    </w:p>
    <w:p w14:paraId="40050993" w14:textId="77777777" w:rsidR="00365AAD" w:rsidRPr="00365AAD" w:rsidRDefault="00365AAD" w:rsidP="00365AAD">
      <w:pPr>
        <w:spacing w:line="240" w:lineRule="auto"/>
        <w:rPr>
          <w:rFonts w:eastAsia="Times New Roman" w:cs="Arial"/>
          <w:i/>
          <w:iCs/>
          <w:color w:val="000000"/>
          <w:lang w:eastAsia="bg-BG"/>
        </w:rPr>
      </w:pPr>
    </w:p>
    <w:p w14:paraId="092A1BDF" w14:textId="2F7BEB77" w:rsidR="00365AAD" w:rsidRPr="00365AAD" w:rsidRDefault="00365AAD" w:rsidP="00365AAD">
      <w:pPr>
        <w:spacing w:line="240" w:lineRule="auto"/>
        <w:rPr>
          <w:rFonts w:eastAsia="Times New Roman" w:cs="Arial"/>
          <w:color w:val="000000"/>
          <w:lang w:eastAsia="bg-BG"/>
        </w:rPr>
      </w:pPr>
      <w:r w:rsidRPr="00365AAD">
        <w:rPr>
          <w:rFonts w:eastAsia="Times New Roman" w:cs="Arial"/>
          <w:i/>
          <w:iCs/>
          <w:color w:val="000000"/>
          <w:lang w:eastAsia="bg-BG"/>
        </w:rPr>
        <w:t xml:space="preserve">Селективни инхибитори на обратното захващане на серотонина </w:t>
      </w:r>
      <w:r w:rsidRPr="00365AAD">
        <w:rPr>
          <w:rFonts w:eastAsia="Times New Roman" w:cs="Arial"/>
          <w:i/>
          <w:iCs/>
          <w:color w:val="000000"/>
          <w:lang w:val="en-US"/>
        </w:rPr>
        <w:t>(SSRIs):</w:t>
      </w:r>
      <w:r w:rsidRPr="00365AAD">
        <w:rPr>
          <w:rFonts w:eastAsia="Times New Roman" w:cs="Arial"/>
          <w:color w:val="000000"/>
          <w:lang w:val="en-US"/>
        </w:rPr>
        <w:t xml:space="preserve"> </w:t>
      </w:r>
      <w:r w:rsidRPr="00365AAD">
        <w:rPr>
          <w:rFonts w:eastAsia="Times New Roman" w:cs="Arial"/>
          <w:color w:val="000000"/>
          <w:lang w:eastAsia="bg-BG"/>
        </w:rPr>
        <w:t xml:space="preserve">Едновременното приложение на системни </w:t>
      </w:r>
    </w:p>
    <w:p w14:paraId="453F5418" w14:textId="34966840" w:rsidR="00365AAD" w:rsidRPr="00365AAD" w:rsidRDefault="00365AAD" w:rsidP="00365AAD">
      <w:pPr>
        <w:spacing w:line="240" w:lineRule="auto"/>
        <w:rPr>
          <w:rFonts w:eastAsia="Times New Roman" w:cs="Arial"/>
          <w:sz w:val="36"/>
          <w:szCs w:val="36"/>
          <w:lang w:eastAsia="bg-BG"/>
        </w:rPr>
      </w:pPr>
      <w:r w:rsidRPr="00365AAD">
        <w:rPr>
          <w:rFonts w:eastAsia="Times New Roman" w:cs="Arial"/>
          <w:color w:val="000000"/>
          <w:lang w:eastAsia="bg-BG"/>
        </w:rPr>
        <w:lastRenderedPageBreak/>
        <w:t xml:space="preserve">НСПВС, включително диклофенак, и </w:t>
      </w:r>
      <w:r w:rsidRPr="00365AAD">
        <w:rPr>
          <w:rFonts w:eastAsia="Times New Roman" w:cs="Arial"/>
          <w:color w:val="000000"/>
          <w:lang w:val="en-US"/>
        </w:rPr>
        <w:t xml:space="preserve">SSRIs </w:t>
      </w:r>
      <w:r w:rsidRPr="00365AAD">
        <w:rPr>
          <w:rFonts w:eastAsia="Times New Roman" w:cs="Arial"/>
          <w:color w:val="000000"/>
          <w:lang w:eastAsia="bg-BG"/>
        </w:rPr>
        <w:t>може да увеличи риска от кървене от стомашно-чревния тракт (вж. т. 4.4. Специални предупреждения и предпазни мерки при употреба).</w:t>
      </w:r>
    </w:p>
    <w:p w14:paraId="561D1191" w14:textId="77777777" w:rsidR="00365AAD" w:rsidRPr="00365AAD" w:rsidRDefault="00365AAD" w:rsidP="00365AAD">
      <w:pPr>
        <w:spacing w:line="240" w:lineRule="auto"/>
        <w:rPr>
          <w:rFonts w:eastAsia="Times New Roman" w:cs="Arial"/>
          <w:i/>
          <w:iCs/>
          <w:color w:val="000000"/>
          <w:lang w:eastAsia="bg-BG"/>
        </w:rPr>
      </w:pPr>
    </w:p>
    <w:p w14:paraId="2989F822" w14:textId="1C4D21F9" w:rsidR="00365AAD" w:rsidRPr="00365AAD" w:rsidRDefault="00365AAD" w:rsidP="00365AAD">
      <w:pPr>
        <w:spacing w:line="240" w:lineRule="auto"/>
        <w:rPr>
          <w:rFonts w:eastAsia="Times New Roman" w:cs="Arial"/>
          <w:sz w:val="36"/>
          <w:szCs w:val="36"/>
          <w:lang w:eastAsia="bg-BG"/>
        </w:rPr>
      </w:pPr>
      <w:r w:rsidRPr="00365AAD">
        <w:rPr>
          <w:rFonts w:eastAsia="Times New Roman" w:cs="Arial"/>
          <w:i/>
          <w:iCs/>
          <w:color w:val="000000"/>
          <w:lang w:eastAsia="bg-BG"/>
        </w:rPr>
        <w:t>Антидиабетни лекарствени продукти:</w:t>
      </w:r>
      <w:r w:rsidRPr="00365AAD">
        <w:rPr>
          <w:rFonts w:eastAsia="Times New Roman" w:cs="Arial"/>
          <w:color w:val="000000"/>
          <w:lang w:eastAsia="bg-BG"/>
        </w:rPr>
        <w:t xml:space="preserve"> Клиничните проучвания показват, че диклофенак може да се прилага едновременно с перорални антидиабетни лекарства, без да повлиява техният клиничен ефект. В хода на лечение с диклофенак, обаче, се съобщава за изолирани случаи на хипогликемия и хипергликемия, налагащи промени в дозата на антидиабетните продукти. Във връзка с това, като предпазна мярка, се препоръчва наблюдение на нивата на кръвната захар по време на едновременно приложение на двата препарата.</w:t>
      </w:r>
    </w:p>
    <w:p w14:paraId="2D00FAE8" w14:textId="77777777" w:rsidR="00365AAD" w:rsidRPr="00365AAD" w:rsidRDefault="00365AAD" w:rsidP="00365AAD">
      <w:pPr>
        <w:spacing w:line="240" w:lineRule="auto"/>
        <w:rPr>
          <w:rFonts w:eastAsia="Times New Roman" w:cs="Arial"/>
          <w:sz w:val="36"/>
          <w:szCs w:val="36"/>
          <w:lang w:eastAsia="bg-BG"/>
        </w:rPr>
      </w:pPr>
      <w:r w:rsidRPr="00365AAD">
        <w:rPr>
          <w:rFonts w:eastAsia="Times New Roman" w:cs="Arial"/>
          <w:color w:val="000000"/>
          <w:lang w:eastAsia="bg-BG"/>
        </w:rPr>
        <w:t>Има изолирани съобщения за метаболитна ацидоза, когато диклофенак се прилага едновременно с метформин, особено при пациенти с предшестващо бъбречно увреждане.</w:t>
      </w:r>
    </w:p>
    <w:p w14:paraId="5AAB8F41" w14:textId="77777777" w:rsidR="00365AAD" w:rsidRPr="00365AAD" w:rsidRDefault="00365AAD" w:rsidP="00365AAD">
      <w:pPr>
        <w:spacing w:line="240" w:lineRule="auto"/>
        <w:rPr>
          <w:rFonts w:eastAsia="Times New Roman" w:cs="Arial"/>
          <w:i/>
          <w:iCs/>
          <w:color w:val="000000"/>
          <w:lang w:eastAsia="bg-BG"/>
        </w:rPr>
      </w:pPr>
    </w:p>
    <w:p w14:paraId="19A665DC" w14:textId="3437C5C9" w:rsidR="00365AAD" w:rsidRPr="00365AAD" w:rsidRDefault="00365AAD" w:rsidP="00365AAD">
      <w:pPr>
        <w:spacing w:line="240" w:lineRule="auto"/>
        <w:rPr>
          <w:rFonts w:eastAsia="Times New Roman" w:cs="Arial"/>
          <w:sz w:val="36"/>
          <w:szCs w:val="36"/>
          <w:lang w:eastAsia="bg-BG"/>
        </w:rPr>
      </w:pPr>
      <w:r w:rsidRPr="00365AAD">
        <w:rPr>
          <w:rFonts w:eastAsia="Times New Roman" w:cs="Arial"/>
          <w:i/>
          <w:iCs/>
          <w:color w:val="000000"/>
          <w:lang w:eastAsia="bg-BG"/>
        </w:rPr>
        <w:t>Метотрексат:</w:t>
      </w:r>
      <w:r w:rsidRPr="00365AAD">
        <w:rPr>
          <w:rFonts w:eastAsia="Times New Roman" w:cs="Arial"/>
          <w:color w:val="000000"/>
          <w:lang w:eastAsia="bg-BG"/>
        </w:rPr>
        <w:t xml:space="preserve"> диклофенак може да инхибира тубуларния бъбречен клирънс на метотрексат, като така повишава нивата на метотрексат. Повишено внимание е необходимо при приложение на НСПВС, включително диклофенак, в срок по-малък от 24 часа преди или след лечение с метотрексат, поради възможността за повишаване на плазмената концентрация на метотрексат и увеличаване на токсичността му.</w:t>
      </w:r>
    </w:p>
    <w:p w14:paraId="1A9872BC" w14:textId="1F9E58A7" w:rsidR="00E42D7B" w:rsidRPr="00E42D7B" w:rsidRDefault="00E42D7B" w:rsidP="00E42D7B">
      <w:pPr>
        <w:spacing w:line="240" w:lineRule="auto"/>
        <w:rPr>
          <w:rFonts w:eastAsia="Times New Roman" w:cs="Arial"/>
          <w:sz w:val="36"/>
          <w:szCs w:val="36"/>
          <w:lang w:eastAsia="bg-BG"/>
        </w:rPr>
      </w:pPr>
    </w:p>
    <w:p w14:paraId="748804EF" w14:textId="77777777" w:rsidR="00365AAD" w:rsidRPr="00365AAD" w:rsidRDefault="00365AAD" w:rsidP="00365AAD">
      <w:pPr>
        <w:spacing w:line="240" w:lineRule="auto"/>
        <w:rPr>
          <w:rFonts w:eastAsia="Times New Roman" w:cs="Arial"/>
          <w:sz w:val="36"/>
          <w:szCs w:val="36"/>
          <w:lang w:eastAsia="bg-BG"/>
        </w:rPr>
      </w:pPr>
      <w:r w:rsidRPr="00365AAD">
        <w:rPr>
          <w:rFonts w:eastAsia="Times New Roman" w:cs="Arial"/>
          <w:i/>
          <w:iCs/>
          <w:color w:val="000000"/>
          <w:lang w:eastAsia="bg-BG"/>
        </w:rPr>
        <w:t>Фенитоин:</w:t>
      </w:r>
      <w:r w:rsidRPr="00365AAD">
        <w:rPr>
          <w:rFonts w:eastAsia="Times New Roman" w:cs="Arial"/>
          <w:color w:val="000000"/>
          <w:lang w:eastAsia="bg-BG"/>
        </w:rPr>
        <w:t xml:space="preserve"> Препоръчва се мониториране плазмената концентрация на фенитоин при едновременната му употреба с диклофенак, поради очаквано увеличение на екпозицията на фенитоин.</w:t>
      </w:r>
    </w:p>
    <w:p w14:paraId="1EA995BD" w14:textId="77777777" w:rsidR="00E42D7B" w:rsidRPr="00365AAD" w:rsidRDefault="00E42D7B" w:rsidP="00E42D7B">
      <w:pPr>
        <w:rPr>
          <w:rFonts w:cs="Arial"/>
          <w:sz w:val="32"/>
          <w:szCs w:val="32"/>
        </w:rPr>
      </w:pPr>
    </w:p>
    <w:p w14:paraId="0A21410A" w14:textId="77777777" w:rsidR="00365AAD" w:rsidRPr="00365AAD" w:rsidRDefault="00365AAD" w:rsidP="00365AAD">
      <w:pPr>
        <w:spacing w:line="240" w:lineRule="auto"/>
        <w:rPr>
          <w:rFonts w:eastAsia="Times New Roman" w:cs="Arial"/>
          <w:sz w:val="36"/>
          <w:szCs w:val="36"/>
          <w:lang w:eastAsia="bg-BG"/>
        </w:rPr>
      </w:pPr>
      <w:r w:rsidRPr="00365AAD">
        <w:rPr>
          <w:rFonts w:eastAsia="Times New Roman" w:cs="Arial"/>
          <w:i/>
          <w:iCs/>
          <w:color w:val="000000"/>
          <w:lang w:eastAsia="bg-BG"/>
        </w:rPr>
        <w:t>Колестипол и холестирамин:</w:t>
      </w:r>
      <w:r w:rsidRPr="00365AAD">
        <w:rPr>
          <w:rFonts w:eastAsia="Times New Roman" w:cs="Arial"/>
          <w:color w:val="000000"/>
          <w:lang w:eastAsia="bg-BG"/>
        </w:rPr>
        <w:t xml:space="preserve"> Тези вещества може да предизвикат забавяне или намаляване на усвояването на диклофенак. Поради това се препоръчва приложение на диклофенак най- малко един час преди или 4-6 часа след прилагане на колестипол/холестирамин.</w:t>
      </w:r>
    </w:p>
    <w:p w14:paraId="1ED0C199" w14:textId="77777777" w:rsidR="00365AAD" w:rsidRPr="00365AAD" w:rsidRDefault="00365AAD" w:rsidP="00365AAD">
      <w:pPr>
        <w:rPr>
          <w:rFonts w:eastAsia="Times New Roman" w:cs="Arial"/>
          <w:i/>
          <w:iCs/>
          <w:color w:val="000000"/>
          <w:lang w:val="en-US"/>
        </w:rPr>
      </w:pPr>
    </w:p>
    <w:p w14:paraId="38099393" w14:textId="52C9B27A" w:rsidR="00365AAD" w:rsidRDefault="00365AAD" w:rsidP="00365AAD">
      <w:pPr>
        <w:rPr>
          <w:rFonts w:eastAsia="Times New Roman" w:cs="Arial"/>
          <w:color w:val="000000"/>
          <w:lang w:eastAsia="bg-BG"/>
        </w:rPr>
      </w:pPr>
      <w:r w:rsidRPr="00365AAD">
        <w:rPr>
          <w:rFonts w:eastAsia="Times New Roman" w:cs="Arial"/>
          <w:i/>
          <w:iCs/>
          <w:color w:val="000000"/>
          <w:lang w:val="en-US"/>
        </w:rPr>
        <w:t xml:space="preserve">CYP2C9 </w:t>
      </w:r>
      <w:r w:rsidRPr="00365AAD">
        <w:rPr>
          <w:rFonts w:eastAsia="Times New Roman" w:cs="Arial"/>
          <w:i/>
          <w:iCs/>
          <w:color w:val="000000"/>
          <w:lang w:eastAsia="bg-BG"/>
        </w:rPr>
        <w:t>индуктори:</w:t>
      </w:r>
      <w:r w:rsidRPr="00365AAD">
        <w:rPr>
          <w:rFonts w:eastAsia="Times New Roman" w:cs="Arial"/>
          <w:color w:val="000000"/>
          <w:lang w:eastAsia="bg-BG"/>
        </w:rPr>
        <w:t xml:space="preserve"> Препоръчва се повишено внимание при едновременната употреба на диклофенак и </w:t>
      </w:r>
      <w:r w:rsidRPr="00365AAD">
        <w:rPr>
          <w:rFonts w:eastAsia="Times New Roman" w:cs="Arial"/>
          <w:color w:val="000000"/>
          <w:lang w:val="en-US"/>
        </w:rPr>
        <w:t xml:space="preserve">CYP2C9 </w:t>
      </w:r>
      <w:r w:rsidRPr="00365AAD">
        <w:rPr>
          <w:rFonts w:eastAsia="Times New Roman" w:cs="Arial"/>
          <w:color w:val="000000"/>
          <w:lang w:eastAsia="bg-BG"/>
        </w:rPr>
        <w:t>индуктори (като рифампицин), което може да доведе до значително намаляване на плазмените концентрации и експозицията на диклофенак.</w:t>
      </w:r>
    </w:p>
    <w:p w14:paraId="7F00EC1E" w14:textId="77777777" w:rsidR="00365AAD" w:rsidRPr="00365AAD" w:rsidRDefault="00365AAD" w:rsidP="00365AAD">
      <w:pPr>
        <w:rPr>
          <w:rFonts w:cs="Arial"/>
          <w:sz w:val="32"/>
          <w:szCs w:val="32"/>
        </w:rPr>
      </w:pPr>
    </w:p>
    <w:p w14:paraId="48846BBA" w14:textId="2507FDE7" w:rsidR="009F77A4" w:rsidRDefault="002C50EE" w:rsidP="00387A66">
      <w:pPr>
        <w:pStyle w:val="Heading2"/>
      </w:pPr>
      <w:r>
        <w:t>4.6. Фертилитет, бременност и кърмене</w:t>
      </w:r>
    </w:p>
    <w:p w14:paraId="623F6044" w14:textId="77777777" w:rsidR="00365AAD" w:rsidRDefault="00365AAD" w:rsidP="00365AAD"/>
    <w:p w14:paraId="1661BC36" w14:textId="77777777" w:rsidR="00365AAD" w:rsidRPr="00365AAD" w:rsidRDefault="00365AAD" w:rsidP="00365AAD">
      <w:pPr>
        <w:spacing w:line="240" w:lineRule="auto"/>
        <w:rPr>
          <w:rFonts w:eastAsia="Times New Roman" w:cs="Arial"/>
          <w:lang w:eastAsia="bg-BG"/>
        </w:rPr>
      </w:pPr>
      <w:r w:rsidRPr="00365AAD">
        <w:rPr>
          <w:rFonts w:eastAsia="Times New Roman" w:cs="Arial"/>
          <w:color w:val="000000"/>
          <w:lang w:eastAsia="bg-BG"/>
        </w:rPr>
        <w:t>Бременност</w:t>
      </w:r>
    </w:p>
    <w:p w14:paraId="09AA0E5E" w14:textId="77777777" w:rsidR="00365AAD" w:rsidRPr="00365AAD" w:rsidRDefault="00365AAD" w:rsidP="00365AAD">
      <w:pPr>
        <w:spacing w:line="240" w:lineRule="auto"/>
        <w:rPr>
          <w:rFonts w:eastAsia="Times New Roman" w:cs="Arial"/>
          <w:color w:val="000000"/>
          <w:lang w:eastAsia="bg-BG"/>
        </w:rPr>
      </w:pPr>
    </w:p>
    <w:p w14:paraId="3E7E1273" w14:textId="7BF1E34D" w:rsidR="00365AAD" w:rsidRPr="00365AAD" w:rsidRDefault="00365AAD" w:rsidP="00365AAD">
      <w:pPr>
        <w:spacing w:line="240" w:lineRule="auto"/>
        <w:rPr>
          <w:rFonts w:eastAsia="Times New Roman" w:cs="Arial"/>
          <w:lang w:eastAsia="bg-BG"/>
        </w:rPr>
      </w:pPr>
      <w:r w:rsidRPr="00365AAD">
        <w:rPr>
          <w:rFonts w:eastAsia="Times New Roman" w:cs="Arial"/>
          <w:color w:val="000000"/>
          <w:lang w:eastAsia="bg-BG"/>
        </w:rPr>
        <w:t>Обобщение на риска</w:t>
      </w:r>
    </w:p>
    <w:p w14:paraId="05968D6A" w14:textId="77777777" w:rsidR="00365AAD" w:rsidRPr="00365AAD" w:rsidRDefault="00365AAD" w:rsidP="00365AAD">
      <w:pPr>
        <w:spacing w:line="240" w:lineRule="auto"/>
        <w:rPr>
          <w:rFonts w:eastAsia="Times New Roman" w:cs="Arial"/>
          <w:lang w:eastAsia="bg-BG"/>
        </w:rPr>
      </w:pPr>
      <w:r w:rsidRPr="00365AAD">
        <w:rPr>
          <w:rFonts w:eastAsia="Times New Roman" w:cs="Arial"/>
          <w:color w:val="000000"/>
          <w:lang w:eastAsia="bg-BG"/>
        </w:rPr>
        <w:t>Инхибирането на простагландиновия синтез може да окаже неблагоприятно влияние върху бременността и/или развитието на ембриона или плода. Данни от епидемиологични проучвания показват повишен риск от спонтанен аборт, сърдечни малформации и гастросхизис след употребата на инхибитори на простагландиновия синтез в началото на бременността.</w:t>
      </w:r>
    </w:p>
    <w:p w14:paraId="7BBBC17E" w14:textId="616F29DE" w:rsidR="00365AAD" w:rsidRPr="00365AAD" w:rsidRDefault="00365AAD" w:rsidP="00365AAD">
      <w:pPr>
        <w:spacing w:line="240" w:lineRule="auto"/>
        <w:rPr>
          <w:rFonts w:eastAsia="Times New Roman" w:cs="Arial"/>
          <w:lang w:eastAsia="bg-BG"/>
        </w:rPr>
      </w:pPr>
      <w:r w:rsidRPr="00365AAD">
        <w:rPr>
          <w:rFonts w:eastAsia="Times New Roman" w:cs="Arial"/>
          <w:color w:val="000000"/>
          <w:lang w:eastAsia="bg-BG"/>
        </w:rPr>
        <w:t xml:space="preserve">Абсолютният риск от сърдечно-съдови малформации се повишава от &gt;1%, до приблизително 1,5%. Доказано е, че диклофенак преминава плацентарната бариера при хора. Употребата на НСПВС, включително диклофенак, може да причини инхибиране на </w:t>
      </w:r>
      <w:r w:rsidRPr="00365AAD">
        <w:rPr>
          <w:rFonts w:eastAsia="Times New Roman" w:cs="Arial"/>
          <w:color w:val="000000"/>
          <w:lang w:eastAsia="bg-BG"/>
        </w:rPr>
        <w:lastRenderedPageBreak/>
        <w:t>маточните контракции, преждевременно затваряне на дуктус артериозус на фетуса и нарушение на бъбречната функция на фетуса, водещо до олигохидрамнион.</w:t>
      </w:r>
    </w:p>
    <w:p w14:paraId="02E70AEC" w14:textId="77777777" w:rsidR="00365AAD" w:rsidRPr="00365AAD" w:rsidRDefault="00365AAD" w:rsidP="00365AAD">
      <w:pPr>
        <w:spacing w:line="240" w:lineRule="auto"/>
        <w:rPr>
          <w:rFonts w:eastAsia="Times New Roman" w:cs="Arial"/>
          <w:color w:val="000000"/>
          <w:lang w:eastAsia="bg-BG"/>
        </w:rPr>
      </w:pPr>
    </w:p>
    <w:p w14:paraId="6CFB027F" w14:textId="5BF5E1DF" w:rsidR="00365AAD" w:rsidRPr="00365AAD" w:rsidRDefault="00365AAD" w:rsidP="00365AAD">
      <w:pPr>
        <w:spacing w:line="240" w:lineRule="auto"/>
        <w:rPr>
          <w:rFonts w:eastAsia="Times New Roman" w:cs="Arial"/>
          <w:lang w:eastAsia="bg-BG"/>
        </w:rPr>
      </w:pPr>
      <w:r w:rsidRPr="00365AAD">
        <w:rPr>
          <w:rFonts w:eastAsia="Times New Roman" w:cs="Arial"/>
          <w:color w:val="000000"/>
          <w:lang w:eastAsia="bg-BG"/>
        </w:rPr>
        <w:t xml:space="preserve">При проучвания върху репродуктивностга при животни не са наблюдавани доказателства за тератогенност при мишки, плъхове или зайци, на които е даван диклофенак ежедневно по време на периода на органогенеза в дози съответно до приблизително 0,41, 0,41 и 0,81 пъти максималната препоръчителна доза Волтарен при хора </w:t>
      </w:r>
      <w:r w:rsidRPr="00365AAD">
        <w:rPr>
          <w:rFonts w:eastAsia="Times New Roman" w:cs="Arial"/>
          <w:color w:val="000000"/>
          <w:lang w:val="en-US"/>
        </w:rPr>
        <w:t xml:space="preserve">(maximum recommended human dose (MRHD)), </w:t>
      </w:r>
      <w:r w:rsidRPr="00365AAD">
        <w:rPr>
          <w:rFonts w:eastAsia="Times New Roman" w:cs="Arial"/>
          <w:color w:val="000000"/>
          <w:lang w:eastAsia="bg-BG"/>
        </w:rPr>
        <w:t>въпреки наличието на токсичност за майката и плода.</w:t>
      </w:r>
    </w:p>
    <w:p w14:paraId="6C80FFCF" w14:textId="77777777" w:rsidR="00365AAD" w:rsidRPr="00365AAD" w:rsidRDefault="00365AAD" w:rsidP="00365AAD">
      <w:pPr>
        <w:spacing w:line="240" w:lineRule="auto"/>
        <w:rPr>
          <w:rFonts w:eastAsia="Times New Roman" w:cs="Arial"/>
          <w:color w:val="000000"/>
          <w:lang w:eastAsia="bg-BG"/>
        </w:rPr>
      </w:pPr>
    </w:p>
    <w:p w14:paraId="749BA890" w14:textId="749AAA37" w:rsidR="00365AAD" w:rsidRPr="00365AAD" w:rsidRDefault="00365AAD" w:rsidP="00365AAD">
      <w:pPr>
        <w:spacing w:line="240" w:lineRule="auto"/>
        <w:rPr>
          <w:rFonts w:eastAsia="Times New Roman" w:cs="Arial"/>
          <w:lang w:eastAsia="bg-BG"/>
        </w:rPr>
      </w:pPr>
      <w:r w:rsidRPr="00365AAD">
        <w:rPr>
          <w:rFonts w:eastAsia="Times New Roman" w:cs="Arial"/>
          <w:color w:val="000000"/>
          <w:lang w:eastAsia="bg-BG"/>
        </w:rPr>
        <w:t>Смята се, че рискът се увеличава с увеличаване на дозата и продължителността на лечението. При животни, приложението на инхибитори на простагландиновия синтез може да доведе до увеличена пред-и пост имплантационна загуба и ембрио-фетална смъртност.</w:t>
      </w:r>
    </w:p>
    <w:p w14:paraId="2E66AB91" w14:textId="77777777" w:rsidR="00365AAD" w:rsidRPr="00365AAD" w:rsidRDefault="00365AAD" w:rsidP="00365AAD">
      <w:pPr>
        <w:spacing w:line="240" w:lineRule="auto"/>
        <w:rPr>
          <w:rFonts w:eastAsia="Times New Roman" w:cs="Arial"/>
          <w:color w:val="000000"/>
          <w:lang w:eastAsia="bg-BG"/>
        </w:rPr>
      </w:pPr>
    </w:p>
    <w:p w14:paraId="129E81D8" w14:textId="2BE29479" w:rsidR="00365AAD" w:rsidRPr="00365AAD" w:rsidRDefault="00365AAD" w:rsidP="00365AAD">
      <w:pPr>
        <w:spacing w:line="240" w:lineRule="auto"/>
        <w:rPr>
          <w:rFonts w:eastAsia="Times New Roman" w:cs="Arial"/>
          <w:lang w:eastAsia="bg-BG"/>
        </w:rPr>
      </w:pPr>
      <w:r w:rsidRPr="00365AAD">
        <w:rPr>
          <w:rFonts w:eastAsia="Times New Roman" w:cs="Arial"/>
          <w:color w:val="000000"/>
          <w:lang w:eastAsia="bg-BG"/>
        </w:rPr>
        <w:t>В допълнение се съобщава за увеличен брой различни малформации, включително сърдечно</w:t>
      </w:r>
      <w:r w:rsidRPr="00365AAD">
        <w:rPr>
          <w:rFonts w:eastAsia="Times New Roman" w:cs="Arial"/>
          <w:color w:val="000000"/>
          <w:lang w:eastAsia="bg-BG"/>
        </w:rPr>
        <w:softHyphen/>
        <w:t>съдови, при животни, третирани с инхибитор на простагландиновия синтез по време на бременността.</w:t>
      </w:r>
    </w:p>
    <w:p w14:paraId="670B1191" w14:textId="77777777" w:rsidR="00365AAD" w:rsidRPr="00FF75A9" w:rsidRDefault="00365AAD" w:rsidP="00365AAD">
      <w:pPr>
        <w:spacing w:line="240" w:lineRule="auto"/>
        <w:rPr>
          <w:rFonts w:eastAsia="Times New Roman" w:cs="Arial"/>
          <w:color w:val="000000"/>
          <w:lang w:val="en-US" w:eastAsia="bg-BG"/>
        </w:rPr>
      </w:pPr>
    </w:p>
    <w:p w14:paraId="65E7F3BD" w14:textId="33D0A9B3" w:rsidR="00365AAD" w:rsidRPr="00365AAD" w:rsidRDefault="00365AAD" w:rsidP="00365AAD">
      <w:pPr>
        <w:spacing w:line="240" w:lineRule="auto"/>
        <w:rPr>
          <w:rFonts w:eastAsia="Times New Roman" w:cs="Arial"/>
          <w:lang w:eastAsia="bg-BG"/>
        </w:rPr>
      </w:pPr>
      <w:r w:rsidRPr="00365AAD">
        <w:rPr>
          <w:rFonts w:eastAsia="Times New Roman" w:cs="Arial"/>
          <w:color w:val="000000"/>
          <w:lang w:eastAsia="bg-BG"/>
        </w:rPr>
        <w:t>Клинични съображения</w:t>
      </w:r>
    </w:p>
    <w:p w14:paraId="0E7E8350" w14:textId="77777777" w:rsidR="00365AAD" w:rsidRPr="00365AAD" w:rsidRDefault="00365AAD" w:rsidP="00365AAD">
      <w:pPr>
        <w:spacing w:line="240" w:lineRule="auto"/>
        <w:rPr>
          <w:rFonts w:eastAsia="Times New Roman" w:cs="Arial"/>
          <w:lang w:eastAsia="bg-BG"/>
        </w:rPr>
      </w:pPr>
      <w:r w:rsidRPr="00365AAD">
        <w:rPr>
          <w:rFonts w:eastAsia="Times New Roman" w:cs="Arial"/>
          <w:color w:val="000000"/>
          <w:lang w:eastAsia="bg-BG"/>
        </w:rPr>
        <w:t>Нежелани лекарствени реакции при фетуса</w:t>
      </w:r>
    </w:p>
    <w:p w14:paraId="5B3ED29D" w14:textId="77777777" w:rsidR="00365AAD" w:rsidRPr="00365AAD" w:rsidRDefault="00365AAD" w:rsidP="00365AAD">
      <w:pPr>
        <w:spacing w:line="240" w:lineRule="auto"/>
        <w:rPr>
          <w:rFonts w:eastAsia="Times New Roman" w:cs="Arial"/>
          <w:i/>
          <w:iCs/>
          <w:color w:val="000000"/>
          <w:lang w:eastAsia="bg-BG"/>
        </w:rPr>
      </w:pPr>
    </w:p>
    <w:p w14:paraId="26804BE3" w14:textId="2EADC3D7" w:rsidR="00365AAD" w:rsidRPr="00365AAD" w:rsidRDefault="00365AAD" w:rsidP="00365AAD">
      <w:pPr>
        <w:spacing w:line="240" w:lineRule="auto"/>
        <w:rPr>
          <w:rFonts w:eastAsia="Times New Roman" w:cs="Arial"/>
          <w:lang w:eastAsia="bg-BG"/>
        </w:rPr>
      </w:pPr>
      <w:r w:rsidRPr="00365AAD">
        <w:rPr>
          <w:rFonts w:eastAsia="Times New Roman" w:cs="Arial"/>
          <w:i/>
          <w:iCs/>
          <w:color w:val="000000"/>
          <w:lang w:eastAsia="bg-BG"/>
        </w:rPr>
        <w:t>Преждевременно затваряне дуктус артериозус на фетуса</w:t>
      </w:r>
    </w:p>
    <w:p w14:paraId="22EC034E" w14:textId="77777777" w:rsidR="00365AAD" w:rsidRPr="00365AAD" w:rsidRDefault="00365AAD" w:rsidP="00365AAD">
      <w:pPr>
        <w:spacing w:line="240" w:lineRule="auto"/>
        <w:rPr>
          <w:rFonts w:eastAsia="Times New Roman" w:cs="Arial"/>
          <w:lang w:eastAsia="bg-BG"/>
        </w:rPr>
      </w:pPr>
      <w:r w:rsidRPr="00365AAD">
        <w:rPr>
          <w:rFonts w:eastAsia="Times New Roman" w:cs="Arial"/>
          <w:color w:val="000000"/>
          <w:lang w:eastAsia="bg-BG"/>
        </w:rPr>
        <w:t>Както при другите НСПВС, употребата на диклофенак по време на третия триместър от бременността е противопоказана поради възможността от преждевременно затваряне на дуктус артериозус на фетуса (вж. т. 4.3 Противопоказания).</w:t>
      </w:r>
    </w:p>
    <w:p w14:paraId="14CAD978" w14:textId="77777777" w:rsidR="00365AAD" w:rsidRPr="00365AAD" w:rsidRDefault="00365AAD" w:rsidP="00365AAD">
      <w:pPr>
        <w:spacing w:line="240" w:lineRule="auto"/>
        <w:rPr>
          <w:rFonts w:eastAsia="Times New Roman" w:cs="Arial"/>
          <w:i/>
          <w:iCs/>
          <w:color w:val="000000"/>
          <w:lang w:eastAsia="bg-BG"/>
        </w:rPr>
      </w:pPr>
    </w:p>
    <w:p w14:paraId="534797E2" w14:textId="1422C421" w:rsidR="00365AAD" w:rsidRPr="00365AAD" w:rsidRDefault="00365AAD" w:rsidP="00365AAD">
      <w:pPr>
        <w:spacing w:line="240" w:lineRule="auto"/>
        <w:rPr>
          <w:rFonts w:eastAsia="Times New Roman" w:cs="Arial"/>
          <w:lang w:eastAsia="bg-BG"/>
        </w:rPr>
      </w:pPr>
      <w:r w:rsidRPr="00365AAD">
        <w:rPr>
          <w:rFonts w:eastAsia="Times New Roman" w:cs="Arial"/>
          <w:i/>
          <w:iCs/>
          <w:color w:val="000000"/>
          <w:lang w:eastAsia="bg-BG"/>
        </w:rPr>
        <w:t>Олигохидрамнион/нарушена бъбречна функция на фетуса</w:t>
      </w:r>
    </w:p>
    <w:p w14:paraId="7C9A9D0D" w14:textId="77777777" w:rsidR="00365AAD" w:rsidRPr="00365AAD" w:rsidRDefault="00365AAD" w:rsidP="00365AAD">
      <w:pPr>
        <w:spacing w:line="240" w:lineRule="auto"/>
        <w:rPr>
          <w:rFonts w:eastAsia="Times New Roman" w:cs="Arial"/>
          <w:lang w:eastAsia="bg-BG"/>
        </w:rPr>
      </w:pPr>
      <w:r w:rsidRPr="00365AAD">
        <w:rPr>
          <w:rFonts w:eastAsia="Times New Roman" w:cs="Arial"/>
          <w:color w:val="000000"/>
          <w:lang w:eastAsia="bg-BG"/>
        </w:rPr>
        <w:t>Риск от нарушение на бъбречната функция на фетуса с последващ олигохидрамнион е наблюдаван при употреба на НСПВС (вкл. диклофенак) от 20-та седмица на бременността нататък.</w:t>
      </w:r>
    </w:p>
    <w:p w14:paraId="6C11A2FE" w14:textId="77777777" w:rsidR="00365AAD" w:rsidRPr="00365AAD" w:rsidRDefault="00365AAD" w:rsidP="00365AAD">
      <w:pPr>
        <w:rPr>
          <w:rFonts w:cs="Arial"/>
        </w:rPr>
      </w:pPr>
    </w:p>
    <w:p w14:paraId="2E78C6FF" w14:textId="77777777" w:rsidR="00365AAD" w:rsidRPr="00365AAD" w:rsidRDefault="00365AAD" w:rsidP="00365AAD">
      <w:pPr>
        <w:rPr>
          <w:rFonts w:eastAsia="Times New Roman" w:cs="Arial"/>
          <w:lang w:eastAsia="bg-BG"/>
        </w:rPr>
      </w:pPr>
      <w:r w:rsidRPr="00365AAD">
        <w:rPr>
          <w:rFonts w:eastAsia="Times New Roman" w:cs="Arial"/>
          <w:color w:val="000000"/>
          <w:lang w:eastAsia="bg-BG"/>
        </w:rPr>
        <w:t>От 20-ата седмица от бременността нататък употребата на НСПВС (вкл. диклофенак) може да причини олигохидрамнион, дължащ се на нарушение на бъбречната функция на фетуса. Това може да се появи скоро след започване на лечението и обикновено е обратимо при прекратяването му. Също така има съобщения за стесняване на дуктус артериозус след лечение през втория триместър, повечето от които отзвучават след прекратяване на лечението. Поради това диклофенак не трябва да се приема през първия и втория триместър от бременността, освен ако не е крайно необходимо. В случай, че диклофенак се приема от жена,  която се опитва</w:t>
      </w:r>
      <w:r w:rsidRPr="00365AAD">
        <w:rPr>
          <w:rFonts w:eastAsia="Times New Roman" w:cs="Arial"/>
          <w:color w:val="000000"/>
          <w:lang w:eastAsia="bg-BG"/>
        </w:rPr>
        <w:t xml:space="preserve"> </w:t>
      </w:r>
      <w:r w:rsidRPr="00365AAD">
        <w:rPr>
          <w:rFonts w:eastAsia="Times New Roman" w:cs="Arial"/>
          <w:color w:val="000000"/>
          <w:lang w:eastAsia="bg-BG"/>
        </w:rPr>
        <w:t>да забременее или по време на първия и втория триместър от бременността, трябва да се прилага възможно най-ниската доза за най-кратък период. След експозиция на диклофенак в</w:t>
      </w:r>
      <w:r w:rsidRPr="00365AAD">
        <w:rPr>
          <w:rFonts w:eastAsia="Times New Roman" w:cs="Arial"/>
          <w:i/>
          <w:iCs/>
          <w:color w:val="000000"/>
          <w:lang w:eastAsia="bg-BG"/>
        </w:rPr>
        <w:t xml:space="preserve"> </w:t>
      </w:r>
      <w:r w:rsidRPr="00365AAD">
        <w:rPr>
          <w:rFonts w:eastAsia="Times New Roman" w:cs="Arial"/>
          <w:color w:val="000000"/>
          <w:lang w:eastAsia="bg-BG"/>
        </w:rPr>
        <w:t>продължение на няколко дни от 20-ата гестационна седмица нататък трябва да се обмисли антенатално проследяване за олигохидрамнион и стесняване на дуктус артериозус. Употребата на диклофенак трябва да се преустанови, ако се установи олигохидрамнион или стесняване на дуктус артериозус.</w:t>
      </w:r>
    </w:p>
    <w:p w14:paraId="75B9B8FD" w14:textId="77777777" w:rsidR="00365AAD" w:rsidRPr="00365AAD" w:rsidRDefault="00365AAD" w:rsidP="00365AAD">
      <w:pPr>
        <w:spacing w:line="240" w:lineRule="auto"/>
        <w:rPr>
          <w:rFonts w:eastAsia="Times New Roman" w:cs="Arial"/>
          <w:color w:val="000000"/>
          <w:lang w:eastAsia="bg-BG"/>
        </w:rPr>
      </w:pPr>
    </w:p>
    <w:p w14:paraId="6A76FA34" w14:textId="68789A06" w:rsidR="00365AAD" w:rsidRPr="00365AAD" w:rsidRDefault="00365AAD" w:rsidP="00365AAD">
      <w:pPr>
        <w:spacing w:line="240" w:lineRule="auto"/>
        <w:rPr>
          <w:rFonts w:eastAsia="Times New Roman" w:cs="Arial"/>
          <w:lang w:eastAsia="bg-BG"/>
        </w:rPr>
      </w:pPr>
      <w:r w:rsidRPr="00365AAD">
        <w:rPr>
          <w:rFonts w:eastAsia="Times New Roman" w:cs="Arial"/>
          <w:color w:val="000000"/>
          <w:lang w:eastAsia="bg-BG"/>
        </w:rPr>
        <w:t>По време на третия триместър на бременността, всички инхибитори на простагландиновия синтез могат да изложат плода на:</w:t>
      </w:r>
    </w:p>
    <w:p w14:paraId="586D986B" w14:textId="77777777" w:rsidR="00365AAD" w:rsidRPr="00365AAD" w:rsidRDefault="00365AAD" w:rsidP="00365AAD">
      <w:pPr>
        <w:pStyle w:val="ListParagraph"/>
        <w:numPr>
          <w:ilvl w:val="0"/>
          <w:numId w:val="42"/>
        </w:numPr>
        <w:spacing w:line="240" w:lineRule="auto"/>
        <w:rPr>
          <w:rFonts w:eastAsia="Times New Roman" w:cs="Arial"/>
          <w:lang w:eastAsia="bg-BG"/>
        </w:rPr>
      </w:pPr>
      <w:r w:rsidRPr="00365AAD">
        <w:rPr>
          <w:rFonts w:eastAsia="Times New Roman" w:cs="Arial"/>
          <w:color w:val="000000"/>
          <w:lang w:eastAsia="bg-BG"/>
        </w:rPr>
        <w:t>сърдечно-пулмонарна токсичност (преждевременно стесняване/затваряне на дуктус артериозус и белодробна хипертония);</w:t>
      </w:r>
    </w:p>
    <w:p w14:paraId="787AD8E4" w14:textId="7F2F661E" w:rsidR="00365AAD" w:rsidRPr="00365AAD" w:rsidRDefault="00365AAD" w:rsidP="00365AAD">
      <w:pPr>
        <w:pStyle w:val="ListParagraph"/>
        <w:numPr>
          <w:ilvl w:val="0"/>
          <w:numId w:val="42"/>
        </w:numPr>
        <w:spacing w:line="240" w:lineRule="auto"/>
        <w:rPr>
          <w:rFonts w:eastAsia="Times New Roman" w:cs="Arial"/>
          <w:lang w:eastAsia="bg-BG"/>
        </w:rPr>
      </w:pPr>
      <w:r w:rsidRPr="00365AAD">
        <w:rPr>
          <w:rFonts w:eastAsia="Times New Roman" w:cs="Arial"/>
          <w:color w:val="000000"/>
          <w:lang w:eastAsia="bg-BG"/>
        </w:rPr>
        <w:lastRenderedPageBreak/>
        <w:t>нарушена бъбречна функция (вж. по-горе).</w:t>
      </w:r>
    </w:p>
    <w:p w14:paraId="1BDFA86E" w14:textId="7F7D13AA" w:rsidR="00365AAD" w:rsidRPr="00365AAD" w:rsidRDefault="00365AAD" w:rsidP="00365AAD">
      <w:pPr>
        <w:spacing w:line="240" w:lineRule="auto"/>
        <w:rPr>
          <w:rFonts w:eastAsia="Times New Roman" w:cs="Arial"/>
          <w:lang w:eastAsia="bg-BG"/>
        </w:rPr>
      </w:pPr>
      <w:r w:rsidRPr="00365AAD">
        <w:rPr>
          <w:rFonts w:eastAsia="Times New Roman" w:cs="Arial"/>
          <w:color w:val="000000"/>
          <w:lang w:eastAsia="bg-BG"/>
        </w:rPr>
        <w:t>Могат да изложат майката и зародиша в края на бременността на:</w:t>
      </w:r>
    </w:p>
    <w:p w14:paraId="5A606055" w14:textId="77777777" w:rsidR="00365AAD" w:rsidRPr="00365AAD" w:rsidRDefault="00365AAD" w:rsidP="00365AAD">
      <w:pPr>
        <w:pStyle w:val="ListParagraph"/>
        <w:numPr>
          <w:ilvl w:val="0"/>
          <w:numId w:val="42"/>
        </w:numPr>
        <w:spacing w:line="240" w:lineRule="auto"/>
        <w:rPr>
          <w:rFonts w:eastAsia="Times New Roman" w:cs="Arial"/>
          <w:lang w:eastAsia="bg-BG"/>
        </w:rPr>
      </w:pPr>
      <w:r w:rsidRPr="00365AAD">
        <w:rPr>
          <w:rFonts w:eastAsia="Times New Roman" w:cs="Arial"/>
          <w:color w:val="000000"/>
          <w:lang w:eastAsia="bg-BG"/>
        </w:rPr>
        <w:t>възможно удължаване на времето на кървене и съсирване, които може да се проявят дори и при много ниски дози;</w:t>
      </w:r>
    </w:p>
    <w:p w14:paraId="22911E28" w14:textId="69361213" w:rsidR="00365AAD" w:rsidRPr="00365AAD" w:rsidRDefault="00365AAD" w:rsidP="00365AAD">
      <w:pPr>
        <w:pStyle w:val="ListParagraph"/>
        <w:numPr>
          <w:ilvl w:val="0"/>
          <w:numId w:val="42"/>
        </w:numPr>
        <w:spacing w:line="240" w:lineRule="auto"/>
        <w:rPr>
          <w:rFonts w:eastAsia="Times New Roman" w:cs="Arial"/>
          <w:lang w:eastAsia="bg-BG"/>
        </w:rPr>
      </w:pPr>
      <w:r w:rsidRPr="00365AAD">
        <w:rPr>
          <w:rFonts w:eastAsia="Times New Roman" w:cs="Arial"/>
          <w:color w:val="000000"/>
          <w:lang w:eastAsia="bg-BG"/>
        </w:rPr>
        <w:t>инхибиране на маточните контракции, което води до забавено или продължително раждане.</w:t>
      </w:r>
    </w:p>
    <w:p w14:paraId="343EA366" w14:textId="77777777" w:rsidR="00365AAD" w:rsidRPr="00365AAD" w:rsidRDefault="00365AAD" w:rsidP="00365AAD">
      <w:pPr>
        <w:spacing w:line="240" w:lineRule="auto"/>
        <w:rPr>
          <w:rFonts w:eastAsia="Times New Roman" w:cs="Arial"/>
          <w:lang w:eastAsia="bg-BG"/>
        </w:rPr>
      </w:pPr>
      <w:r w:rsidRPr="00365AAD">
        <w:rPr>
          <w:rFonts w:eastAsia="Times New Roman" w:cs="Arial"/>
          <w:color w:val="000000"/>
          <w:lang w:eastAsia="bg-BG"/>
        </w:rPr>
        <w:t>Следователно употребата на диклофенак по време на третия триместър от бременността е противопоказана.</w:t>
      </w:r>
    </w:p>
    <w:p w14:paraId="7CA4FE1D" w14:textId="77777777" w:rsidR="00365AAD" w:rsidRPr="00365AAD" w:rsidRDefault="00365AAD" w:rsidP="00365AAD">
      <w:pPr>
        <w:spacing w:line="240" w:lineRule="auto"/>
        <w:rPr>
          <w:rFonts w:eastAsia="Times New Roman" w:cs="Arial"/>
          <w:color w:val="000000"/>
          <w:lang w:eastAsia="bg-BG"/>
        </w:rPr>
      </w:pPr>
    </w:p>
    <w:p w14:paraId="620F42BD" w14:textId="3E5C7944" w:rsidR="00365AAD" w:rsidRPr="00365AAD" w:rsidRDefault="00365AAD" w:rsidP="00365AAD">
      <w:pPr>
        <w:spacing w:line="240" w:lineRule="auto"/>
        <w:rPr>
          <w:rFonts w:eastAsia="Times New Roman" w:cs="Arial"/>
          <w:lang w:eastAsia="bg-BG"/>
        </w:rPr>
      </w:pPr>
      <w:r w:rsidRPr="00365AAD">
        <w:rPr>
          <w:rFonts w:eastAsia="Times New Roman" w:cs="Arial"/>
          <w:color w:val="000000"/>
          <w:lang w:eastAsia="bg-BG"/>
        </w:rPr>
        <w:t>Раждане</w:t>
      </w:r>
    </w:p>
    <w:p w14:paraId="7E803FD2" w14:textId="77777777" w:rsidR="00365AAD" w:rsidRPr="00365AAD" w:rsidRDefault="00365AAD" w:rsidP="00365AAD">
      <w:pPr>
        <w:spacing w:line="240" w:lineRule="auto"/>
        <w:rPr>
          <w:rFonts w:eastAsia="Times New Roman" w:cs="Arial"/>
          <w:lang w:eastAsia="bg-BG"/>
        </w:rPr>
      </w:pPr>
      <w:r w:rsidRPr="00365AAD">
        <w:rPr>
          <w:rFonts w:eastAsia="Times New Roman" w:cs="Arial"/>
          <w:color w:val="000000"/>
          <w:lang w:eastAsia="bg-BG"/>
        </w:rPr>
        <w:t>Няма проучвания за ефектите на Волтарен по време на раждане. Както при други НСПВС, употребата на диклофенак по време на третия триместър на бременността е противопоказана поради възможността от инхибиране на маточните контракции (вж. т. 4.3 Противопоказания). При проучвания върху животни НСПВС, включително диклофенак, инхибират простагландиновия синтез, причиняват забавено раждане и увеличават честотата на мъртво раждане.</w:t>
      </w:r>
    </w:p>
    <w:p w14:paraId="3485F42A" w14:textId="77777777" w:rsidR="00365AAD" w:rsidRPr="00365AAD" w:rsidRDefault="00365AAD" w:rsidP="00365AAD">
      <w:pPr>
        <w:spacing w:line="240" w:lineRule="auto"/>
        <w:rPr>
          <w:rFonts w:eastAsia="Times New Roman" w:cs="Arial"/>
          <w:color w:val="000000"/>
          <w:lang w:eastAsia="bg-BG"/>
        </w:rPr>
      </w:pPr>
    </w:p>
    <w:p w14:paraId="191D6276" w14:textId="60B5ABA0" w:rsidR="00365AAD" w:rsidRPr="00365AAD" w:rsidRDefault="00365AAD" w:rsidP="00365AAD">
      <w:pPr>
        <w:spacing w:line="240" w:lineRule="auto"/>
        <w:rPr>
          <w:rFonts w:eastAsia="Times New Roman" w:cs="Arial"/>
          <w:lang w:eastAsia="bg-BG"/>
        </w:rPr>
      </w:pPr>
      <w:r w:rsidRPr="00365AAD">
        <w:rPr>
          <w:rFonts w:eastAsia="Times New Roman" w:cs="Arial"/>
          <w:color w:val="000000"/>
          <w:lang w:eastAsia="bg-BG"/>
        </w:rPr>
        <w:t>Данни</w:t>
      </w:r>
    </w:p>
    <w:p w14:paraId="75104A0E" w14:textId="77777777" w:rsidR="00365AAD" w:rsidRPr="00365AAD" w:rsidRDefault="00365AAD" w:rsidP="00365AAD">
      <w:pPr>
        <w:spacing w:line="240" w:lineRule="auto"/>
        <w:rPr>
          <w:rFonts w:eastAsia="Times New Roman" w:cs="Arial"/>
          <w:color w:val="000000"/>
          <w:lang w:eastAsia="bg-BG"/>
        </w:rPr>
      </w:pPr>
    </w:p>
    <w:p w14:paraId="1757166C" w14:textId="11F4BD56" w:rsidR="00365AAD" w:rsidRPr="00365AAD" w:rsidRDefault="00365AAD" w:rsidP="00365AAD">
      <w:pPr>
        <w:spacing w:line="240" w:lineRule="auto"/>
        <w:rPr>
          <w:rFonts w:eastAsia="Times New Roman" w:cs="Arial"/>
          <w:lang w:eastAsia="bg-BG"/>
        </w:rPr>
      </w:pPr>
      <w:r w:rsidRPr="00365AAD">
        <w:rPr>
          <w:rFonts w:eastAsia="Times New Roman" w:cs="Arial"/>
          <w:color w:val="000000"/>
          <w:lang w:eastAsia="bg-BG"/>
        </w:rPr>
        <w:t>Данни при хора</w:t>
      </w:r>
    </w:p>
    <w:p w14:paraId="0303E0A4" w14:textId="77777777" w:rsidR="00365AAD" w:rsidRPr="00365AAD" w:rsidRDefault="00365AAD" w:rsidP="00365AAD">
      <w:pPr>
        <w:spacing w:line="240" w:lineRule="auto"/>
        <w:rPr>
          <w:rFonts w:eastAsia="Times New Roman" w:cs="Arial"/>
          <w:lang w:eastAsia="bg-BG"/>
        </w:rPr>
      </w:pPr>
      <w:r w:rsidRPr="00365AAD">
        <w:rPr>
          <w:rFonts w:eastAsia="Times New Roman" w:cs="Arial"/>
          <w:i/>
          <w:iCs/>
          <w:color w:val="000000"/>
          <w:lang w:eastAsia="bg-BG"/>
        </w:rPr>
        <w:t>Преждевременно затваряне дуктус артериозус на фетуса</w:t>
      </w:r>
    </w:p>
    <w:p w14:paraId="46CD97EB" w14:textId="77777777" w:rsidR="00365AAD" w:rsidRPr="00365AAD" w:rsidRDefault="00365AAD" w:rsidP="00365AAD">
      <w:pPr>
        <w:spacing w:line="240" w:lineRule="auto"/>
        <w:rPr>
          <w:rFonts w:eastAsia="Times New Roman" w:cs="Arial"/>
          <w:lang w:eastAsia="bg-BG"/>
        </w:rPr>
      </w:pPr>
      <w:r w:rsidRPr="00365AAD">
        <w:rPr>
          <w:rFonts w:eastAsia="Times New Roman" w:cs="Arial"/>
          <w:color w:val="000000"/>
          <w:lang w:eastAsia="bg-BG"/>
        </w:rPr>
        <w:t>Публикуваната литература съобщава, че употребата на НСПВС през третия триместър на бременността може да причини преждевременно затваряне на дуктус артериозус на фетуса.</w:t>
      </w:r>
    </w:p>
    <w:p w14:paraId="52DE8141" w14:textId="77777777" w:rsidR="00365AAD" w:rsidRPr="00365AAD" w:rsidRDefault="00365AAD" w:rsidP="00365AAD">
      <w:pPr>
        <w:spacing w:line="240" w:lineRule="auto"/>
        <w:rPr>
          <w:rFonts w:eastAsia="Times New Roman" w:cs="Arial"/>
          <w:i/>
          <w:iCs/>
          <w:color w:val="000000"/>
          <w:lang w:eastAsia="bg-BG"/>
        </w:rPr>
      </w:pPr>
    </w:p>
    <w:p w14:paraId="5849EFE2" w14:textId="0CF5F5AC" w:rsidR="00365AAD" w:rsidRPr="00365AAD" w:rsidRDefault="00365AAD" w:rsidP="00365AAD">
      <w:pPr>
        <w:spacing w:line="240" w:lineRule="auto"/>
        <w:rPr>
          <w:rFonts w:eastAsia="Times New Roman" w:cs="Arial"/>
          <w:lang w:eastAsia="bg-BG"/>
        </w:rPr>
      </w:pPr>
      <w:r w:rsidRPr="00365AAD">
        <w:rPr>
          <w:rFonts w:eastAsia="Times New Roman" w:cs="Arial"/>
          <w:i/>
          <w:iCs/>
          <w:color w:val="000000"/>
          <w:lang w:eastAsia="bg-BG"/>
        </w:rPr>
        <w:t>Олигохидрамнион/нарушена бъбречна функция на фетуса</w:t>
      </w:r>
    </w:p>
    <w:p w14:paraId="278495F5" w14:textId="77777777" w:rsidR="00365AAD" w:rsidRPr="00365AAD" w:rsidRDefault="00365AAD" w:rsidP="00365AAD">
      <w:pPr>
        <w:spacing w:line="240" w:lineRule="auto"/>
        <w:rPr>
          <w:rFonts w:eastAsia="Times New Roman" w:cs="Arial"/>
          <w:lang w:eastAsia="bg-BG"/>
        </w:rPr>
      </w:pPr>
      <w:r w:rsidRPr="00365AAD">
        <w:rPr>
          <w:rFonts w:eastAsia="Times New Roman" w:cs="Arial"/>
          <w:color w:val="000000"/>
          <w:lang w:eastAsia="bg-BG"/>
        </w:rPr>
        <w:t>Публикуваните проучвания и постмаркетинговите доклади описват употреба на НСПВС от майката около 20-ата гестационна седмица или по-късно по време на бременността, свързана с нарушение на бъбречната функция на фетуса, водещо до олигохидрамнион. Тези нежелани резултати се наблюдават средно след дни до седмици на лечение, въпреки че рядко се съобщава за олигохидрамнион и 48 часа след започване на НСПВС. В много случаи, но не във всички, намаляването на амниотичната течност е временно и обратимо след преустановяване на лечението.</w:t>
      </w:r>
    </w:p>
    <w:p w14:paraId="61EF74D6" w14:textId="77777777" w:rsidR="00365AAD" w:rsidRPr="00365AAD" w:rsidRDefault="00365AAD" w:rsidP="00365AAD">
      <w:pPr>
        <w:spacing w:line="240" w:lineRule="auto"/>
        <w:rPr>
          <w:rFonts w:eastAsia="Times New Roman" w:cs="Arial"/>
          <w:color w:val="000000"/>
          <w:lang w:eastAsia="bg-BG"/>
        </w:rPr>
      </w:pPr>
    </w:p>
    <w:p w14:paraId="24799E37" w14:textId="3D11762D" w:rsidR="00365AAD" w:rsidRPr="00365AAD" w:rsidRDefault="00365AAD" w:rsidP="00365AAD">
      <w:pPr>
        <w:spacing w:line="240" w:lineRule="auto"/>
        <w:rPr>
          <w:rFonts w:eastAsia="Times New Roman" w:cs="Arial"/>
          <w:lang w:eastAsia="bg-BG"/>
        </w:rPr>
      </w:pPr>
      <w:r w:rsidRPr="00365AAD">
        <w:rPr>
          <w:rFonts w:eastAsia="Times New Roman" w:cs="Arial"/>
          <w:color w:val="000000"/>
          <w:lang w:eastAsia="bg-BG"/>
        </w:rPr>
        <w:t>Данни при животни</w:t>
      </w:r>
    </w:p>
    <w:p w14:paraId="68B75F06" w14:textId="77777777" w:rsidR="00365AAD" w:rsidRPr="00365AAD" w:rsidRDefault="00365AAD" w:rsidP="00365AAD">
      <w:pPr>
        <w:spacing w:line="240" w:lineRule="auto"/>
        <w:rPr>
          <w:rFonts w:eastAsia="Times New Roman" w:cs="Arial"/>
          <w:lang w:eastAsia="bg-BG"/>
        </w:rPr>
      </w:pPr>
      <w:r w:rsidRPr="00365AAD">
        <w:rPr>
          <w:rFonts w:eastAsia="Times New Roman" w:cs="Arial"/>
          <w:color w:val="000000"/>
          <w:lang w:eastAsia="bg-BG"/>
        </w:rPr>
        <w:t xml:space="preserve">Проучвания върху репродуктивността и развитието при животни показват, че прилагането на диклофенак по време на органогенезата не предизвиква тератогенност, въпреки индуцирането на токсичност за майката и фетуса при мишки при перорални дози до 20 </w:t>
      </w:r>
      <w:r w:rsidRPr="00365AAD">
        <w:rPr>
          <w:rFonts w:eastAsia="Times New Roman" w:cs="Arial"/>
          <w:color w:val="000000"/>
          <w:lang w:val="en-US"/>
        </w:rPr>
        <w:t>mg/kg</w:t>
      </w:r>
      <w:r w:rsidRPr="00365AAD">
        <w:rPr>
          <w:rFonts w:eastAsia="Times New Roman" w:cs="Arial"/>
          <w:color w:val="000000"/>
          <w:lang w:eastAsia="bg-BG"/>
        </w:rPr>
        <w:t xml:space="preserve">/ден (0,41 пъти максималната препоръчителна доза при хора </w:t>
      </w:r>
      <w:r w:rsidRPr="00365AAD">
        <w:rPr>
          <w:rFonts w:eastAsia="Times New Roman" w:cs="Arial"/>
          <w:color w:val="000000"/>
          <w:lang w:val="en-US"/>
        </w:rPr>
        <w:t xml:space="preserve">(MRHD) </w:t>
      </w:r>
      <w:r w:rsidRPr="00365AAD">
        <w:rPr>
          <w:rFonts w:eastAsia="Times New Roman" w:cs="Arial"/>
          <w:color w:val="000000"/>
          <w:lang w:eastAsia="bg-BG"/>
        </w:rPr>
        <w:t xml:space="preserve">за Волтарен, 200 </w:t>
      </w:r>
      <w:r w:rsidRPr="00365AAD">
        <w:rPr>
          <w:rFonts w:eastAsia="Times New Roman" w:cs="Arial"/>
          <w:color w:val="000000"/>
          <w:lang w:val="en-US"/>
        </w:rPr>
        <w:t>mg</w:t>
      </w:r>
      <w:r w:rsidRPr="00365AAD">
        <w:rPr>
          <w:rFonts w:eastAsia="Times New Roman" w:cs="Arial"/>
          <w:color w:val="000000"/>
          <w:lang w:eastAsia="bg-BG"/>
        </w:rPr>
        <w:t xml:space="preserve">/ден, на базата на сравнение на телесната повърхност </w:t>
      </w:r>
      <w:r w:rsidRPr="00365AAD">
        <w:rPr>
          <w:rFonts w:eastAsia="Times New Roman" w:cs="Arial"/>
          <w:color w:val="000000"/>
          <w:lang w:val="en-US"/>
        </w:rPr>
        <w:t xml:space="preserve">(BSA)) </w:t>
      </w:r>
      <w:r w:rsidRPr="00365AAD">
        <w:rPr>
          <w:rFonts w:eastAsia="Times New Roman" w:cs="Arial"/>
          <w:color w:val="000000"/>
          <w:lang w:eastAsia="bg-BG"/>
        </w:rPr>
        <w:t xml:space="preserve">и при плъхове и зайци при перорални дози до 10 </w:t>
      </w:r>
      <w:r w:rsidRPr="00365AAD">
        <w:rPr>
          <w:rFonts w:eastAsia="Times New Roman" w:cs="Arial"/>
          <w:color w:val="000000"/>
          <w:lang w:val="en-US"/>
        </w:rPr>
        <w:t>mg/kg</w:t>
      </w:r>
      <w:r w:rsidRPr="00365AAD">
        <w:rPr>
          <w:rFonts w:eastAsia="Times New Roman" w:cs="Arial"/>
          <w:color w:val="000000"/>
          <w:lang w:eastAsia="bg-BG"/>
        </w:rPr>
        <w:t xml:space="preserve">/ден (съответно 0,41 и 0,81 пъти </w:t>
      </w:r>
      <w:r w:rsidRPr="00365AAD">
        <w:rPr>
          <w:rFonts w:eastAsia="Times New Roman" w:cs="Arial"/>
          <w:color w:val="000000"/>
          <w:lang w:val="en-US"/>
        </w:rPr>
        <w:t xml:space="preserve">MRHD </w:t>
      </w:r>
      <w:r w:rsidRPr="00365AAD">
        <w:rPr>
          <w:rFonts w:eastAsia="Times New Roman" w:cs="Arial"/>
          <w:color w:val="000000"/>
          <w:lang w:eastAsia="bg-BG"/>
        </w:rPr>
        <w:t xml:space="preserve">на базата на сравнение на </w:t>
      </w:r>
      <w:r w:rsidRPr="00365AAD">
        <w:rPr>
          <w:rFonts w:eastAsia="Times New Roman" w:cs="Arial"/>
          <w:color w:val="000000"/>
          <w:lang w:val="en-US"/>
        </w:rPr>
        <w:t>BSA).</w:t>
      </w:r>
    </w:p>
    <w:p w14:paraId="61F65687" w14:textId="77777777" w:rsidR="00365AAD" w:rsidRPr="00365AAD" w:rsidRDefault="00365AAD" w:rsidP="00365AAD">
      <w:pPr>
        <w:spacing w:line="240" w:lineRule="auto"/>
        <w:rPr>
          <w:rFonts w:eastAsia="Times New Roman" w:cs="Arial"/>
          <w:color w:val="000000"/>
          <w:lang w:eastAsia="bg-BG"/>
        </w:rPr>
      </w:pPr>
    </w:p>
    <w:p w14:paraId="6F47E981" w14:textId="77777777" w:rsidR="00365AAD" w:rsidRPr="00365AAD" w:rsidRDefault="00365AAD" w:rsidP="00365AAD">
      <w:pPr>
        <w:rPr>
          <w:rFonts w:eastAsia="Times New Roman" w:cs="Arial"/>
          <w:lang w:eastAsia="bg-BG"/>
        </w:rPr>
      </w:pPr>
      <w:r w:rsidRPr="00365AAD">
        <w:rPr>
          <w:rFonts w:eastAsia="Times New Roman" w:cs="Arial"/>
          <w:color w:val="000000"/>
          <w:lang w:eastAsia="bg-BG"/>
        </w:rPr>
        <w:t xml:space="preserve">В проучване, при което на бременни плъхове са прилагани перорално 2 или 4 </w:t>
      </w:r>
      <w:r w:rsidRPr="00365AAD">
        <w:rPr>
          <w:rFonts w:eastAsia="Times New Roman" w:cs="Arial"/>
          <w:color w:val="000000"/>
          <w:lang w:val="en-US"/>
        </w:rPr>
        <w:t xml:space="preserve">mg/kg </w:t>
      </w:r>
      <w:r w:rsidRPr="00365AAD">
        <w:rPr>
          <w:rFonts w:eastAsia="Times New Roman" w:cs="Arial"/>
          <w:color w:val="000000"/>
          <w:lang w:eastAsia="bg-BG"/>
        </w:rPr>
        <w:t xml:space="preserve">диклофенак (0,08 и 0,16 пъти </w:t>
      </w:r>
      <w:r w:rsidRPr="00365AAD">
        <w:rPr>
          <w:rFonts w:eastAsia="Times New Roman" w:cs="Arial"/>
          <w:color w:val="000000"/>
          <w:lang w:val="en-US"/>
        </w:rPr>
        <w:t xml:space="preserve">MRHD </w:t>
      </w:r>
      <w:r w:rsidRPr="00365AAD">
        <w:rPr>
          <w:rFonts w:eastAsia="Times New Roman" w:cs="Arial"/>
          <w:color w:val="000000"/>
          <w:lang w:eastAsia="bg-BG"/>
        </w:rPr>
        <w:t xml:space="preserve">въз основа на </w:t>
      </w:r>
      <w:r w:rsidRPr="00365AAD">
        <w:rPr>
          <w:rFonts w:eastAsia="Times New Roman" w:cs="Arial"/>
          <w:color w:val="000000"/>
          <w:lang w:val="en-US"/>
        </w:rPr>
        <w:t xml:space="preserve">BSA) </w:t>
      </w:r>
      <w:r w:rsidRPr="00365AAD">
        <w:rPr>
          <w:rFonts w:eastAsia="Times New Roman" w:cs="Arial"/>
          <w:color w:val="000000"/>
          <w:lang w:eastAsia="bg-BG"/>
        </w:rPr>
        <w:t xml:space="preserve">от геетационен ден 15 до </w:t>
      </w:r>
      <w:r w:rsidRPr="00365AAD">
        <w:rPr>
          <w:rFonts w:eastAsia="Times New Roman" w:cs="Arial"/>
          <w:color w:val="000000"/>
          <w:lang w:val="en-US"/>
        </w:rPr>
        <w:t>21-</w:t>
      </w:r>
      <w:r w:rsidRPr="00365AAD">
        <w:rPr>
          <w:rFonts w:eastAsia="Times New Roman" w:cs="Arial"/>
          <w:color w:val="000000"/>
          <w:lang w:eastAsia="bg-BG"/>
        </w:rPr>
        <w:t>ят ден на</w:t>
      </w:r>
      <w:r w:rsidRPr="00365AAD">
        <w:rPr>
          <w:rFonts w:eastAsia="Times New Roman" w:cs="Arial"/>
          <w:color w:val="000000"/>
          <w:vertAlign w:val="superscript"/>
          <w:lang w:eastAsia="bg-BG"/>
        </w:rPr>
        <w:t xml:space="preserve"> </w:t>
      </w:r>
      <w:r w:rsidRPr="00365AAD">
        <w:rPr>
          <w:rFonts w:eastAsia="Times New Roman" w:cs="Arial"/>
          <w:color w:val="000000"/>
          <w:lang w:eastAsia="bg-BG"/>
        </w:rPr>
        <w:t>кърмене, е отбелязана значителна смъртност на майките (причинена от стомашно-чревни язви и перитонит). Тези токсични за майката дози са свързани с дистокия, увеличена</w:t>
      </w:r>
      <w:r w:rsidRPr="00365AAD">
        <w:rPr>
          <w:rFonts w:eastAsia="Times New Roman" w:cs="Arial"/>
          <w:color w:val="000000"/>
          <w:lang w:eastAsia="bg-BG"/>
        </w:rPr>
        <w:t xml:space="preserve"> </w:t>
      </w:r>
      <w:r w:rsidRPr="00365AAD">
        <w:rPr>
          <w:rFonts w:eastAsia="Times New Roman" w:cs="Arial"/>
          <w:color w:val="000000"/>
          <w:lang w:eastAsia="bg-BG"/>
        </w:rPr>
        <w:t>продължителност на бременността, вътрематочно забавяне на растежа и намалена преживяемост на плода.</w:t>
      </w:r>
    </w:p>
    <w:p w14:paraId="12A19307" w14:textId="77777777" w:rsidR="00365AAD" w:rsidRPr="00365AAD" w:rsidRDefault="00365AAD" w:rsidP="00365AAD">
      <w:pPr>
        <w:spacing w:line="240" w:lineRule="auto"/>
        <w:rPr>
          <w:rFonts w:eastAsia="Times New Roman" w:cs="Arial"/>
          <w:color w:val="000000"/>
          <w:lang w:eastAsia="bg-BG"/>
        </w:rPr>
      </w:pPr>
    </w:p>
    <w:p w14:paraId="34D5F712" w14:textId="17F0F988" w:rsidR="00365AAD" w:rsidRPr="00365AAD" w:rsidRDefault="00365AAD" w:rsidP="00365AAD">
      <w:pPr>
        <w:spacing w:line="240" w:lineRule="auto"/>
        <w:rPr>
          <w:rFonts w:eastAsia="Times New Roman" w:cs="Arial"/>
          <w:lang w:eastAsia="bg-BG"/>
        </w:rPr>
      </w:pPr>
      <w:r w:rsidRPr="00365AAD">
        <w:rPr>
          <w:rFonts w:eastAsia="Times New Roman" w:cs="Arial"/>
          <w:color w:val="000000"/>
          <w:lang w:eastAsia="bg-BG"/>
        </w:rPr>
        <w:lastRenderedPageBreak/>
        <w:t>Приложението на НСПВС (включително диклофенак) потиска овулацията при зайци и имплантацията и плацентацията при плъхове и води до преждевременно затваряне на дуктус артериозус на фетуса.</w:t>
      </w:r>
    </w:p>
    <w:p w14:paraId="6AB15CF0" w14:textId="77777777" w:rsidR="00365AAD" w:rsidRPr="00365AAD" w:rsidRDefault="00365AAD" w:rsidP="00365AAD">
      <w:pPr>
        <w:spacing w:line="240" w:lineRule="auto"/>
        <w:rPr>
          <w:rFonts w:eastAsia="Times New Roman" w:cs="Arial"/>
          <w:color w:val="000000"/>
          <w:lang w:eastAsia="bg-BG"/>
        </w:rPr>
      </w:pPr>
    </w:p>
    <w:p w14:paraId="0F743519" w14:textId="69A143C2" w:rsidR="00365AAD" w:rsidRPr="00365AAD" w:rsidRDefault="00365AAD" w:rsidP="00365AAD">
      <w:pPr>
        <w:spacing w:line="240" w:lineRule="auto"/>
        <w:rPr>
          <w:rFonts w:eastAsia="Times New Roman" w:cs="Arial"/>
          <w:lang w:eastAsia="bg-BG"/>
        </w:rPr>
      </w:pPr>
      <w:r w:rsidRPr="00365AAD">
        <w:rPr>
          <w:rFonts w:eastAsia="Times New Roman" w:cs="Arial"/>
          <w:color w:val="000000"/>
          <w:lang w:eastAsia="bg-BG"/>
        </w:rPr>
        <w:t>Кърмене</w:t>
      </w:r>
    </w:p>
    <w:p w14:paraId="1A35AB15" w14:textId="77777777" w:rsidR="00365AAD" w:rsidRPr="00365AAD" w:rsidRDefault="00365AAD" w:rsidP="00365AAD">
      <w:pPr>
        <w:spacing w:line="240" w:lineRule="auto"/>
        <w:rPr>
          <w:rFonts w:eastAsia="Times New Roman" w:cs="Arial"/>
          <w:color w:val="000000"/>
          <w:lang w:eastAsia="bg-BG"/>
        </w:rPr>
      </w:pPr>
    </w:p>
    <w:p w14:paraId="7825C576" w14:textId="31475FDF" w:rsidR="00365AAD" w:rsidRPr="00365AAD" w:rsidRDefault="00365AAD" w:rsidP="00365AAD">
      <w:pPr>
        <w:spacing w:line="240" w:lineRule="auto"/>
        <w:rPr>
          <w:rFonts w:eastAsia="Times New Roman" w:cs="Arial"/>
          <w:lang w:eastAsia="bg-BG"/>
        </w:rPr>
      </w:pPr>
      <w:r w:rsidRPr="00365AAD">
        <w:rPr>
          <w:rFonts w:eastAsia="Times New Roman" w:cs="Arial"/>
          <w:color w:val="000000"/>
          <w:lang w:eastAsia="bg-BG"/>
        </w:rPr>
        <w:t>Обобщение на риска</w:t>
      </w:r>
    </w:p>
    <w:p w14:paraId="5C1547B6" w14:textId="77777777" w:rsidR="00365AAD" w:rsidRPr="00365AAD" w:rsidRDefault="00365AAD" w:rsidP="00365AAD">
      <w:pPr>
        <w:spacing w:line="240" w:lineRule="auto"/>
        <w:rPr>
          <w:rFonts w:eastAsia="Times New Roman" w:cs="Arial"/>
          <w:lang w:eastAsia="bg-BG"/>
        </w:rPr>
      </w:pPr>
      <w:r w:rsidRPr="00365AAD">
        <w:rPr>
          <w:rFonts w:eastAsia="Times New Roman" w:cs="Arial"/>
          <w:color w:val="000000"/>
          <w:lang w:eastAsia="bg-BG"/>
        </w:rPr>
        <w:t>Като и други НСПВС, диклофенак, преминава в кърмата в малки количества. Поради това Волтарен, не трябва да се приема по време на кърмене, за да се избегнат нежеланите лекарствени ефекти за кърмачето.</w:t>
      </w:r>
    </w:p>
    <w:p w14:paraId="1FEEB229" w14:textId="77777777" w:rsidR="00365AAD" w:rsidRPr="00365AAD" w:rsidRDefault="00365AAD" w:rsidP="00365AAD">
      <w:pPr>
        <w:spacing w:line="240" w:lineRule="auto"/>
        <w:rPr>
          <w:rFonts w:eastAsia="Times New Roman" w:cs="Arial"/>
          <w:color w:val="000000"/>
          <w:lang w:eastAsia="bg-BG"/>
        </w:rPr>
      </w:pPr>
    </w:p>
    <w:p w14:paraId="376CF718" w14:textId="588275D1" w:rsidR="00365AAD" w:rsidRPr="00365AAD" w:rsidRDefault="00365AAD" w:rsidP="00365AAD">
      <w:pPr>
        <w:spacing w:line="240" w:lineRule="auto"/>
        <w:rPr>
          <w:rFonts w:eastAsia="Times New Roman" w:cs="Arial"/>
          <w:lang w:eastAsia="bg-BG"/>
        </w:rPr>
      </w:pPr>
      <w:r w:rsidRPr="00365AAD">
        <w:rPr>
          <w:rFonts w:eastAsia="Times New Roman" w:cs="Arial"/>
          <w:color w:val="000000"/>
          <w:lang w:eastAsia="bg-BG"/>
        </w:rPr>
        <w:t>Данни при хора</w:t>
      </w:r>
    </w:p>
    <w:p w14:paraId="6A5035B9" w14:textId="77777777" w:rsidR="00365AAD" w:rsidRPr="00365AAD" w:rsidRDefault="00365AAD" w:rsidP="00365AAD">
      <w:pPr>
        <w:spacing w:line="240" w:lineRule="auto"/>
        <w:rPr>
          <w:rFonts w:eastAsia="Times New Roman" w:cs="Arial"/>
          <w:lang w:eastAsia="bg-BG"/>
        </w:rPr>
      </w:pPr>
      <w:r w:rsidRPr="00365AAD">
        <w:rPr>
          <w:rFonts w:eastAsia="Times New Roman" w:cs="Arial"/>
          <w:color w:val="000000"/>
          <w:lang w:eastAsia="bg-BG"/>
        </w:rPr>
        <w:t xml:space="preserve">Диклофенак е бил открит в ниска концентрация (100 </w:t>
      </w:r>
      <w:r w:rsidRPr="00365AAD">
        <w:rPr>
          <w:rFonts w:eastAsia="Times New Roman" w:cs="Arial"/>
          <w:color w:val="000000"/>
          <w:lang w:val="en-US"/>
        </w:rPr>
        <w:t xml:space="preserve">ng/ml) </w:t>
      </w:r>
      <w:r w:rsidRPr="00365AAD">
        <w:rPr>
          <w:rFonts w:eastAsia="Times New Roman" w:cs="Arial"/>
          <w:color w:val="000000"/>
          <w:lang w:eastAsia="bg-BG"/>
        </w:rPr>
        <w:t xml:space="preserve">в кърмата на една майка лекувана перорално със 150 </w:t>
      </w:r>
      <w:r w:rsidRPr="00365AAD">
        <w:rPr>
          <w:rFonts w:eastAsia="Times New Roman" w:cs="Arial"/>
          <w:color w:val="000000"/>
          <w:lang w:val="en-US"/>
        </w:rPr>
        <w:t>mg</w:t>
      </w:r>
      <w:r w:rsidRPr="00365AAD">
        <w:rPr>
          <w:rFonts w:eastAsia="Times New Roman" w:cs="Arial"/>
          <w:color w:val="000000"/>
          <w:lang w:eastAsia="bg-BG"/>
        </w:rPr>
        <w:t xml:space="preserve">/ден сол на диклофенак. Очакваното количество, приемано от кърмачето с кърмата е еквивалентно на доза от 0,03 </w:t>
      </w:r>
      <w:r w:rsidRPr="00365AAD">
        <w:rPr>
          <w:rFonts w:eastAsia="Times New Roman" w:cs="Arial"/>
          <w:color w:val="000000"/>
          <w:lang w:val="en-US"/>
        </w:rPr>
        <w:t>mg/kg</w:t>
      </w:r>
      <w:r w:rsidRPr="00365AAD">
        <w:rPr>
          <w:rFonts w:eastAsia="Times New Roman" w:cs="Arial"/>
          <w:color w:val="000000"/>
          <w:lang w:eastAsia="bg-BG"/>
        </w:rPr>
        <w:t>/дневно.</w:t>
      </w:r>
    </w:p>
    <w:p w14:paraId="10A21FFC" w14:textId="77777777" w:rsidR="00365AAD" w:rsidRPr="00365AAD" w:rsidRDefault="00365AAD" w:rsidP="00365AAD">
      <w:pPr>
        <w:spacing w:line="240" w:lineRule="auto"/>
        <w:rPr>
          <w:rFonts w:eastAsia="Times New Roman" w:cs="Arial"/>
          <w:color w:val="000000"/>
          <w:lang w:eastAsia="bg-BG"/>
        </w:rPr>
      </w:pPr>
    </w:p>
    <w:p w14:paraId="2229EA87" w14:textId="5B9224FF" w:rsidR="00365AAD" w:rsidRPr="00365AAD" w:rsidRDefault="00365AAD" w:rsidP="00365AAD">
      <w:pPr>
        <w:spacing w:line="240" w:lineRule="auto"/>
        <w:rPr>
          <w:rFonts w:eastAsia="Times New Roman" w:cs="Arial"/>
          <w:lang w:eastAsia="bg-BG"/>
        </w:rPr>
      </w:pPr>
      <w:r w:rsidRPr="00365AAD">
        <w:rPr>
          <w:rFonts w:eastAsia="Times New Roman" w:cs="Arial"/>
          <w:color w:val="000000"/>
          <w:lang w:eastAsia="bg-BG"/>
        </w:rPr>
        <w:t>Фертилитет</w:t>
      </w:r>
    </w:p>
    <w:p w14:paraId="5A967139" w14:textId="77777777" w:rsidR="00365AAD" w:rsidRPr="00365AAD" w:rsidRDefault="00365AAD" w:rsidP="00365AAD">
      <w:pPr>
        <w:spacing w:line="240" w:lineRule="auto"/>
        <w:rPr>
          <w:rFonts w:eastAsia="Times New Roman" w:cs="Arial"/>
          <w:color w:val="000000"/>
          <w:lang w:eastAsia="bg-BG"/>
        </w:rPr>
      </w:pPr>
    </w:p>
    <w:p w14:paraId="3D16FB3C" w14:textId="36B1B5C1" w:rsidR="00365AAD" w:rsidRPr="00365AAD" w:rsidRDefault="00365AAD" w:rsidP="00365AAD">
      <w:pPr>
        <w:spacing w:line="240" w:lineRule="auto"/>
        <w:rPr>
          <w:rFonts w:eastAsia="Times New Roman" w:cs="Arial"/>
          <w:lang w:eastAsia="bg-BG"/>
        </w:rPr>
      </w:pPr>
      <w:r w:rsidRPr="00365AAD">
        <w:rPr>
          <w:rFonts w:eastAsia="Times New Roman" w:cs="Arial"/>
          <w:color w:val="000000"/>
          <w:lang w:eastAsia="bg-BG"/>
        </w:rPr>
        <w:t>Фертилитет при жени</w:t>
      </w:r>
    </w:p>
    <w:p w14:paraId="35B0FD7F" w14:textId="77777777" w:rsidR="00365AAD" w:rsidRPr="00365AAD" w:rsidRDefault="00365AAD" w:rsidP="00365AAD">
      <w:pPr>
        <w:spacing w:line="240" w:lineRule="auto"/>
        <w:rPr>
          <w:rFonts w:eastAsia="Times New Roman" w:cs="Arial"/>
          <w:lang w:eastAsia="bg-BG"/>
        </w:rPr>
      </w:pPr>
      <w:r w:rsidRPr="00365AAD">
        <w:rPr>
          <w:rFonts w:eastAsia="Times New Roman" w:cs="Arial"/>
          <w:color w:val="000000"/>
          <w:lang w:eastAsia="bg-BG"/>
        </w:rPr>
        <w:t>Както и другите НСПВС, приложението на Волтарен, може да увреди женския фертилитет и не се препоръчва при жени, които правят опити да забременеят. При жени, които имат трудности при забременяването или се изследват за безплодие, трябва да се обсъди прекратяване на употребата на Волтарен.</w:t>
      </w:r>
    </w:p>
    <w:p w14:paraId="5BD0AEE4" w14:textId="77777777" w:rsidR="00365AAD" w:rsidRPr="00365AAD" w:rsidRDefault="00365AAD" w:rsidP="00365AAD">
      <w:pPr>
        <w:spacing w:line="240" w:lineRule="auto"/>
        <w:rPr>
          <w:rFonts w:eastAsia="Times New Roman" w:cs="Arial"/>
          <w:color w:val="000000"/>
          <w:lang w:eastAsia="bg-BG"/>
        </w:rPr>
      </w:pPr>
    </w:p>
    <w:p w14:paraId="61F9BCAA" w14:textId="2335A391" w:rsidR="00365AAD" w:rsidRPr="00365AAD" w:rsidRDefault="00365AAD" w:rsidP="00365AAD">
      <w:pPr>
        <w:spacing w:line="240" w:lineRule="auto"/>
        <w:rPr>
          <w:rFonts w:eastAsia="Times New Roman" w:cs="Arial"/>
          <w:lang w:eastAsia="bg-BG"/>
        </w:rPr>
      </w:pPr>
      <w:r w:rsidRPr="00365AAD">
        <w:rPr>
          <w:rFonts w:eastAsia="Times New Roman" w:cs="Arial"/>
          <w:color w:val="000000"/>
          <w:lang w:eastAsia="bg-BG"/>
        </w:rPr>
        <w:t>Фергилитет при мъже</w:t>
      </w:r>
    </w:p>
    <w:p w14:paraId="44C7A332" w14:textId="77777777" w:rsidR="00365AAD" w:rsidRPr="00365AAD" w:rsidRDefault="00365AAD" w:rsidP="00365AAD">
      <w:pPr>
        <w:spacing w:line="240" w:lineRule="auto"/>
        <w:rPr>
          <w:rFonts w:eastAsia="Times New Roman" w:cs="Arial"/>
          <w:lang w:eastAsia="bg-BG"/>
        </w:rPr>
      </w:pPr>
      <w:r w:rsidRPr="00365AAD">
        <w:rPr>
          <w:rFonts w:eastAsia="Times New Roman" w:cs="Arial"/>
          <w:color w:val="000000"/>
          <w:lang w:eastAsia="bg-BG"/>
        </w:rPr>
        <w:t>Няма данни при хора за ефекта на Волтарен върху фертилитета на мъже.</w:t>
      </w:r>
    </w:p>
    <w:p w14:paraId="39CC7C0C" w14:textId="77777777" w:rsidR="00365AAD" w:rsidRPr="00365AAD" w:rsidRDefault="00365AAD" w:rsidP="00365AAD">
      <w:pPr>
        <w:spacing w:line="240" w:lineRule="auto"/>
        <w:rPr>
          <w:rFonts w:eastAsia="Times New Roman" w:cs="Arial"/>
          <w:lang w:eastAsia="bg-BG"/>
        </w:rPr>
      </w:pPr>
      <w:r w:rsidRPr="00365AAD">
        <w:rPr>
          <w:rFonts w:eastAsia="Times New Roman" w:cs="Arial"/>
          <w:color w:val="000000"/>
          <w:lang w:eastAsia="bg-BG"/>
        </w:rPr>
        <w:t xml:space="preserve">Диклофенак, приложен в доза 4 </w:t>
      </w:r>
      <w:r w:rsidRPr="00365AAD">
        <w:rPr>
          <w:rFonts w:eastAsia="Times New Roman" w:cs="Arial"/>
          <w:color w:val="000000"/>
          <w:lang w:val="en-US"/>
        </w:rPr>
        <w:t>mg/kg</w:t>
      </w:r>
      <w:r w:rsidRPr="00365AAD">
        <w:rPr>
          <w:rFonts w:eastAsia="Times New Roman" w:cs="Arial"/>
          <w:color w:val="000000"/>
          <w:lang w:eastAsia="bg-BG"/>
        </w:rPr>
        <w:t xml:space="preserve">/ден на мъжки и женски плъхове (приблизително 0,16 пъти </w:t>
      </w:r>
      <w:r w:rsidRPr="00365AAD">
        <w:rPr>
          <w:rFonts w:eastAsia="Times New Roman" w:cs="Arial"/>
          <w:color w:val="000000"/>
          <w:lang w:val="en-US"/>
        </w:rPr>
        <w:t xml:space="preserve">MRHD </w:t>
      </w:r>
      <w:r w:rsidRPr="00365AAD">
        <w:rPr>
          <w:rFonts w:eastAsia="Times New Roman" w:cs="Arial"/>
          <w:color w:val="000000"/>
          <w:lang w:eastAsia="bg-BG"/>
        </w:rPr>
        <w:t xml:space="preserve">въз основа на сравнение на телесната повърхност </w:t>
      </w:r>
      <w:r w:rsidRPr="00365AAD">
        <w:rPr>
          <w:rFonts w:eastAsia="Times New Roman" w:cs="Arial"/>
          <w:color w:val="000000"/>
          <w:lang w:val="en-US"/>
        </w:rPr>
        <w:t xml:space="preserve">(body surface area (BSA))), </w:t>
      </w:r>
      <w:r w:rsidRPr="00365AAD">
        <w:rPr>
          <w:rFonts w:eastAsia="Times New Roman" w:cs="Arial"/>
          <w:color w:val="000000"/>
          <w:lang w:eastAsia="bg-BG"/>
        </w:rPr>
        <w:t>не повлиява фертилитета.</w:t>
      </w:r>
    </w:p>
    <w:p w14:paraId="24777A3C" w14:textId="77777777" w:rsidR="00365AAD" w:rsidRPr="00365AAD" w:rsidRDefault="00365AAD" w:rsidP="00365AAD"/>
    <w:p w14:paraId="321AAB00" w14:textId="3EA4494E" w:rsidR="009F77A4" w:rsidRDefault="002C50EE" w:rsidP="00387A66">
      <w:pPr>
        <w:pStyle w:val="Heading2"/>
      </w:pPr>
      <w:r>
        <w:t>4.7. Ефекти върху способността за шофиране и работа с машини</w:t>
      </w:r>
    </w:p>
    <w:p w14:paraId="3F59C2DA" w14:textId="77777777" w:rsidR="00FF75A9" w:rsidRDefault="00FF75A9" w:rsidP="00FF75A9"/>
    <w:p w14:paraId="7E2DD53D" w14:textId="5559A35E" w:rsidR="00FF75A9" w:rsidRDefault="00FF75A9" w:rsidP="00FF75A9">
      <w:pPr>
        <w:rPr>
          <w:b/>
          <w:bCs/>
          <w:sz w:val="17"/>
          <w:szCs w:val="17"/>
        </w:rPr>
      </w:pPr>
      <w:r w:rsidRPr="00FF75A9">
        <w:t>Пациенти, които имат зрителни нарушения, чувстват замаяност, световъртеж, сънливост или други нарушения на централната нервна система, докато приемат Волтарен, трябва да се въздържат от шофиране или работа с машини</w:t>
      </w:r>
      <w:r>
        <w:rPr>
          <w:b/>
          <w:bCs/>
          <w:sz w:val="17"/>
          <w:szCs w:val="17"/>
        </w:rPr>
        <w:t>.</w:t>
      </w:r>
    </w:p>
    <w:p w14:paraId="7372F395" w14:textId="77777777" w:rsidR="00FF75A9" w:rsidRPr="00FF75A9" w:rsidRDefault="00FF75A9" w:rsidP="00FF75A9"/>
    <w:p w14:paraId="136C86B8" w14:textId="3F9D0CA1" w:rsidR="009F77A4" w:rsidRDefault="002C50EE" w:rsidP="00387A66">
      <w:pPr>
        <w:pStyle w:val="Heading2"/>
      </w:pPr>
      <w:r>
        <w:t>4.8. Нежелани лекарствени реакции</w:t>
      </w:r>
    </w:p>
    <w:p w14:paraId="3BD292D0" w14:textId="77777777" w:rsidR="00FF75A9" w:rsidRDefault="00FF75A9" w:rsidP="00FF75A9"/>
    <w:p w14:paraId="27B790C6" w14:textId="77777777" w:rsidR="00FF75A9" w:rsidRPr="00FF75A9" w:rsidRDefault="00FF75A9" w:rsidP="00FF75A9">
      <w:pPr>
        <w:spacing w:line="240" w:lineRule="auto"/>
        <w:rPr>
          <w:rFonts w:eastAsia="Times New Roman" w:cs="Arial"/>
          <w:sz w:val="36"/>
          <w:szCs w:val="36"/>
          <w:lang w:eastAsia="bg-BG"/>
        </w:rPr>
      </w:pPr>
      <w:r w:rsidRPr="00FF75A9">
        <w:rPr>
          <w:rFonts w:ascii="Times New Roman" w:eastAsia="Times New Roman" w:hAnsi="Times New Roman" w:cs="Times New Roman"/>
          <w:b/>
          <w:bCs/>
          <w:color w:val="000000"/>
          <w:sz w:val="17"/>
          <w:szCs w:val="17"/>
          <w:lang w:eastAsia="bg-BG"/>
        </w:rPr>
        <w:t>Д</w:t>
      </w:r>
      <w:r w:rsidRPr="00FF75A9">
        <w:rPr>
          <w:rFonts w:eastAsia="Times New Roman" w:cs="Arial"/>
          <w:color w:val="000000"/>
          <w:lang w:eastAsia="bg-BG"/>
        </w:rPr>
        <w:t xml:space="preserve">анните от клиничните проучвания и епидемиологичните данни еднакво сочат към повишен риск от артериални тромботични събития (например миокарден инфаркт или инсулт), свързани с употребата на диклофенак, особено при висока доза (150 </w:t>
      </w:r>
      <w:r w:rsidRPr="00FF75A9">
        <w:rPr>
          <w:rFonts w:eastAsia="Times New Roman" w:cs="Arial"/>
          <w:color w:val="000000"/>
          <w:lang w:val="en-US"/>
        </w:rPr>
        <w:t xml:space="preserve">mg </w:t>
      </w:r>
      <w:r w:rsidRPr="00FF75A9">
        <w:rPr>
          <w:rFonts w:eastAsia="Times New Roman" w:cs="Arial"/>
          <w:color w:val="000000"/>
          <w:lang w:eastAsia="bg-BG"/>
        </w:rPr>
        <w:t>дневно) и при продължително лечение (вж. т. 4.3 и 4.4 Противопоказания и Специални предупреждения и предпазни мерки при употреба).</w:t>
      </w:r>
    </w:p>
    <w:p w14:paraId="29990AB2" w14:textId="77777777" w:rsidR="00FF75A9" w:rsidRPr="00FF75A9" w:rsidRDefault="00FF75A9" w:rsidP="00FF75A9">
      <w:pPr>
        <w:spacing w:line="240" w:lineRule="auto"/>
        <w:rPr>
          <w:rFonts w:eastAsia="Times New Roman" w:cs="Arial"/>
          <w:color w:val="000000"/>
          <w:lang w:eastAsia="bg-BG"/>
        </w:rPr>
      </w:pPr>
    </w:p>
    <w:p w14:paraId="4839B95F" w14:textId="004D1E88" w:rsidR="00FF75A9" w:rsidRPr="00FF75A9" w:rsidRDefault="00FF75A9" w:rsidP="00FF75A9">
      <w:pPr>
        <w:spacing w:line="240" w:lineRule="auto"/>
        <w:rPr>
          <w:rFonts w:eastAsia="Times New Roman" w:cs="Arial"/>
          <w:sz w:val="36"/>
          <w:szCs w:val="36"/>
          <w:lang w:eastAsia="bg-BG"/>
        </w:rPr>
      </w:pPr>
      <w:r w:rsidRPr="00FF75A9">
        <w:rPr>
          <w:rFonts w:eastAsia="Times New Roman" w:cs="Arial"/>
          <w:color w:val="000000"/>
          <w:lang w:eastAsia="bg-BG"/>
        </w:rPr>
        <w:t xml:space="preserve">Нежеланите лекарствени реакции (Таблица 1) са докладвани при клинични изпитвания и/или от спонтанни съобщения или литературни източници и са изброени съгласно </w:t>
      </w:r>
      <w:r w:rsidRPr="00FF75A9">
        <w:rPr>
          <w:rFonts w:eastAsia="Times New Roman" w:cs="Arial"/>
          <w:color w:val="000000"/>
          <w:lang w:val="en-US"/>
        </w:rPr>
        <w:t xml:space="preserve">MedDRA </w:t>
      </w:r>
      <w:r w:rsidRPr="00FF75A9">
        <w:rPr>
          <w:rFonts w:eastAsia="Times New Roman" w:cs="Arial"/>
          <w:color w:val="000000"/>
          <w:lang w:eastAsia="bg-BG"/>
        </w:rPr>
        <w:t xml:space="preserve">- по системо-органни класове. Във всеки системо-органен клас нежеланите лекарствени реакции са подредени според честотата, като най-честите са на първо място. При всяко групиране в зависимост от честотата, нежеланите реакции са изброени </w:t>
      </w:r>
      <w:r w:rsidRPr="00FF75A9">
        <w:rPr>
          <w:rFonts w:eastAsia="Times New Roman" w:cs="Arial"/>
          <w:color w:val="000000"/>
          <w:lang w:eastAsia="bg-BG"/>
        </w:rPr>
        <w:lastRenderedPageBreak/>
        <w:t xml:space="preserve">в низходящ ред по отношение на тяхната сериозност. Честотите са определени като е използвана следната конвенция </w:t>
      </w:r>
      <w:r w:rsidRPr="00FF75A9">
        <w:rPr>
          <w:rFonts w:eastAsia="Times New Roman" w:cs="Arial"/>
          <w:color w:val="000000"/>
          <w:lang w:val="en-US"/>
        </w:rPr>
        <w:t xml:space="preserve">(CIOMS </w:t>
      </w:r>
      <w:r w:rsidRPr="00FF75A9">
        <w:rPr>
          <w:rFonts w:eastAsia="Times New Roman" w:cs="Arial"/>
          <w:color w:val="000000"/>
          <w:lang w:eastAsia="bg-BG"/>
        </w:rPr>
        <w:t>Ш): много чести (&gt;1/10), чести (≥1/100, &lt; 1/10), нечести (≥1/1000, &lt;1/100), редки (≥1/10 000, &lt;1/1,000), много редки (&lt;1/10 000).</w:t>
      </w:r>
    </w:p>
    <w:p w14:paraId="5FF96873" w14:textId="77777777" w:rsidR="00FF75A9" w:rsidRPr="00FF75A9" w:rsidRDefault="00FF75A9" w:rsidP="00FF75A9">
      <w:pPr>
        <w:rPr>
          <w:rFonts w:cs="Arial"/>
          <w:sz w:val="32"/>
          <w:szCs w:val="32"/>
        </w:rPr>
      </w:pPr>
    </w:p>
    <w:p w14:paraId="78F486BA" w14:textId="77777777" w:rsidR="00FF75A9" w:rsidRPr="00FF75A9" w:rsidRDefault="00FF75A9" w:rsidP="00FF75A9">
      <w:pPr>
        <w:spacing w:line="240" w:lineRule="auto"/>
        <w:rPr>
          <w:rFonts w:eastAsia="Times New Roman" w:cs="Arial"/>
          <w:sz w:val="36"/>
          <w:szCs w:val="36"/>
          <w:lang w:eastAsia="bg-BG"/>
        </w:rPr>
      </w:pPr>
      <w:r w:rsidRPr="00FF75A9">
        <w:rPr>
          <w:rFonts w:eastAsia="Times New Roman" w:cs="Arial"/>
          <w:color w:val="000000"/>
          <w:lang w:eastAsia="bg-BG"/>
        </w:rPr>
        <w:t>Изброените по-долу нежелани лекарствени ефекти, включват тези съобщавани при употребата на Волтарен супозитории и/или други лекарствени форми на диклофенак както при краткосрочна така и при продължителна употреба.</w:t>
      </w:r>
    </w:p>
    <w:p w14:paraId="730FB857" w14:textId="77777777" w:rsidR="00FF75A9" w:rsidRPr="00FF75A9" w:rsidRDefault="00FF75A9" w:rsidP="00FF75A9">
      <w:pPr>
        <w:rPr>
          <w:rFonts w:eastAsia="Times New Roman" w:cs="Arial"/>
          <w:color w:val="000000"/>
          <w:u w:val="single"/>
          <w:lang w:eastAsia="bg-BG"/>
        </w:rPr>
      </w:pPr>
    </w:p>
    <w:p w14:paraId="6CD1B7A2" w14:textId="33984159" w:rsidR="00FF75A9" w:rsidRDefault="00FF75A9" w:rsidP="00FF75A9">
      <w:pPr>
        <w:rPr>
          <w:rFonts w:eastAsia="Times New Roman" w:cs="Arial"/>
          <w:color w:val="000000"/>
          <w:u w:val="single"/>
          <w:lang w:eastAsia="bg-BG"/>
        </w:rPr>
      </w:pPr>
      <w:r w:rsidRPr="00FF75A9">
        <w:rPr>
          <w:rFonts w:eastAsia="Times New Roman" w:cs="Arial"/>
          <w:color w:val="000000"/>
          <w:u w:val="single"/>
          <w:lang w:eastAsia="bg-BG"/>
        </w:rPr>
        <w:t>Таблица 1: Нежелани лекарствени реакции</w:t>
      </w:r>
    </w:p>
    <w:tbl>
      <w:tblPr>
        <w:tblStyle w:val="TableGrid"/>
        <w:tblW w:w="0" w:type="auto"/>
        <w:tblLook w:val="04A0" w:firstRow="1" w:lastRow="0" w:firstColumn="1" w:lastColumn="0" w:noHBand="0" w:noVBand="1"/>
      </w:tblPr>
      <w:tblGrid>
        <w:gridCol w:w="4659"/>
        <w:gridCol w:w="4691"/>
      </w:tblGrid>
      <w:tr w:rsidR="002C3E19" w14:paraId="6B78ED08" w14:textId="77777777" w:rsidTr="0000608A">
        <w:tc>
          <w:tcPr>
            <w:tcW w:w="9500" w:type="dxa"/>
            <w:gridSpan w:val="2"/>
          </w:tcPr>
          <w:p w14:paraId="15976135" w14:textId="57926F16" w:rsidR="002C3E19" w:rsidRPr="002C3E19" w:rsidRDefault="002C3E19" w:rsidP="00FF75A9">
            <w:pPr>
              <w:rPr>
                <w:rFonts w:eastAsia="Times New Roman" w:cs="Arial"/>
                <w:color w:val="000000"/>
                <w:u w:val="single"/>
                <w:lang w:eastAsia="bg-BG"/>
              </w:rPr>
            </w:pPr>
            <w:r w:rsidRPr="002C3E19">
              <w:rPr>
                <w:rFonts w:cs="Arial"/>
              </w:rPr>
              <w:t>Нарушения на кръвоносната и лимфна системи</w:t>
            </w:r>
          </w:p>
        </w:tc>
      </w:tr>
      <w:tr w:rsidR="002C3E19" w14:paraId="6068BE04" w14:textId="77777777" w:rsidTr="00C25AA2">
        <w:tc>
          <w:tcPr>
            <w:tcW w:w="4750" w:type="dxa"/>
          </w:tcPr>
          <w:p w14:paraId="192A451B" w14:textId="53499897" w:rsidR="002C3E19" w:rsidRPr="002C3E19" w:rsidRDefault="002C3E19" w:rsidP="002C3E19">
            <w:pPr>
              <w:rPr>
                <w:rFonts w:eastAsia="Times New Roman" w:cs="Arial"/>
                <w:color w:val="000000"/>
                <w:u w:val="single"/>
                <w:lang w:eastAsia="bg-BG"/>
              </w:rPr>
            </w:pPr>
            <w:r w:rsidRPr="002C3E19">
              <w:rPr>
                <w:rFonts w:cs="Arial"/>
              </w:rPr>
              <w:t>Много редки:</w:t>
            </w:r>
          </w:p>
        </w:tc>
        <w:tc>
          <w:tcPr>
            <w:tcW w:w="4750" w:type="dxa"/>
            <w:vAlign w:val="bottom"/>
          </w:tcPr>
          <w:p w14:paraId="05A9DBFA" w14:textId="496FB58B" w:rsidR="002C3E19" w:rsidRPr="002C3E19" w:rsidRDefault="002C3E19" w:rsidP="002C3E19">
            <w:pPr>
              <w:rPr>
                <w:rFonts w:eastAsia="Times New Roman" w:cs="Arial"/>
                <w:color w:val="000000"/>
                <w:u w:val="single"/>
                <w:lang w:eastAsia="bg-BG"/>
              </w:rPr>
            </w:pPr>
            <w:r w:rsidRPr="002C3E19">
              <w:rPr>
                <w:rFonts w:cs="Arial"/>
              </w:rPr>
              <w:t>Тромбоцитопения, левкопения, анемия (включително хемолитична и апластична анемия), агранулоцитоза</w:t>
            </w:r>
          </w:p>
        </w:tc>
      </w:tr>
      <w:tr w:rsidR="002C3E19" w14:paraId="2267F6DC" w14:textId="77777777" w:rsidTr="007276DD">
        <w:tc>
          <w:tcPr>
            <w:tcW w:w="9500" w:type="dxa"/>
            <w:gridSpan w:val="2"/>
          </w:tcPr>
          <w:p w14:paraId="37E334A9" w14:textId="5ADB2DC2" w:rsidR="002C3E19" w:rsidRPr="002C3E19" w:rsidRDefault="002C3E19" w:rsidP="00FF75A9">
            <w:pPr>
              <w:rPr>
                <w:rFonts w:eastAsia="Times New Roman" w:cs="Arial"/>
                <w:color w:val="000000"/>
                <w:u w:val="single"/>
                <w:lang w:eastAsia="bg-BG"/>
              </w:rPr>
            </w:pPr>
            <w:r w:rsidRPr="002C3E19">
              <w:rPr>
                <w:rFonts w:cs="Arial"/>
              </w:rPr>
              <w:t>Нарушения на имунната система</w:t>
            </w:r>
          </w:p>
        </w:tc>
      </w:tr>
      <w:tr w:rsidR="002C3E19" w14:paraId="4B322A66" w14:textId="77777777" w:rsidTr="007C7C66">
        <w:tc>
          <w:tcPr>
            <w:tcW w:w="4750" w:type="dxa"/>
          </w:tcPr>
          <w:p w14:paraId="097629FF" w14:textId="1877CDC0" w:rsidR="002C3E19" w:rsidRPr="002C3E19" w:rsidRDefault="002C3E19" w:rsidP="002C3E19">
            <w:pPr>
              <w:rPr>
                <w:rFonts w:eastAsia="Times New Roman" w:cs="Arial"/>
                <w:color w:val="000000"/>
                <w:u w:val="single"/>
                <w:lang w:eastAsia="bg-BG"/>
              </w:rPr>
            </w:pPr>
            <w:r w:rsidRPr="002C3E19">
              <w:rPr>
                <w:rFonts w:cs="Arial"/>
              </w:rPr>
              <w:t>Редки:</w:t>
            </w:r>
          </w:p>
        </w:tc>
        <w:tc>
          <w:tcPr>
            <w:tcW w:w="4750" w:type="dxa"/>
            <w:vAlign w:val="bottom"/>
          </w:tcPr>
          <w:p w14:paraId="1535C779" w14:textId="471CFE10" w:rsidR="002C3E19" w:rsidRPr="002C3E19" w:rsidRDefault="002C3E19" w:rsidP="002C3E19">
            <w:pPr>
              <w:rPr>
                <w:rFonts w:eastAsia="Times New Roman" w:cs="Arial"/>
                <w:color w:val="000000"/>
                <w:u w:val="single"/>
                <w:lang w:eastAsia="bg-BG"/>
              </w:rPr>
            </w:pPr>
            <w:r w:rsidRPr="002C3E19">
              <w:rPr>
                <w:rFonts w:cs="Arial"/>
              </w:rPr>
              <w:t>Свръхчувствителност, анафилактични и анафилактоидни реакции (вкл. хипотония и шок)</w:t>
            </w:r>
          </w:p>
        </w:tc>
      </w:tr>
      <w:tr w:rsidR="002C3E19" w14:paraId="1DA140BD" w14:textId="77777777" w:rsidTr="002C3E19">
        <w:tc>
          <w:tcPr>
            <w:tcW w:w="4750" w:type="dxa"/>
          </w:tcPr>
          <w:p w14:paraId="5E9162CB" w14:textId="3E4B984F" w:rsidR="002C3E19" w:rsidRPr="002C3E19" w:rsidRDefault="002C3E19" w:rsidP="002C3E19">
            <w:pPr>
              <w:rPr>
                <w:rFonts w:eastAsia="Times New Roman" w:cs="Arial"/>
                <w:color w:val="000000"/>
                <w:u w:val="single"/>
                <w:lang w:eastAsia="bg-BG"/>
              </w:rPr>
            </w:pPr>
            <w:r w:rsidRPr="002C3E19">
              <w:rPr>
                <w:rFonts w:cs="Arial"/>
              </w:rPr>
              <w:t>Много редки:</w:t>
            </w:r>
          </w:p>
        </w:tc>
        <w:tc>
          <w:tcPr>
            <w:tcW w:w="4750" w:type="dxa"/>
          </w:tcPr>
          <w:p w14:paraId="0A87FA7D" w14:textId="751EE922" w:rsidR="002C3E19" w:rsidRPr="002C3E19" w:rsidRDefault="002C3E19" w:rsidP="002C3E19">
            <w:pPr>
              <w:rPr>
                <w:rFonts w:eastAsia="Times New Roman" w:cs="Arial"/>
                <w:color w:val="000000"/>
                <w:u w:val="single"/>
                <w:lang w:eastAsia="bg-BG"/>
              </w:rPr>
            </w:pPr>
            <w:r w:rsidRPr="002C3E19">
              <w:rPr>
                <w:rFonts w:cs="Arial"/>
              </w:rPr>
              <w:t>Ангиоедем (вкл. лицев едем)</w:t>
            </w:r>
          </w:p>
        </w:tc>
      </w:tr>
      <w:tr w:rsidR="002C3E19" w14:paraId="7D8537A0" w14:textId="77777777" w:rsidTr="009E4FDE">
        <w:tc>
          <w:tcPr>
            <w:tcW w:w="9500" w:type="dxa"/>
            <w:gridSpan w:val="2"/>
          </w:tcPr>
          <w:p w14:paraId="22284253" w14:textId="3609DF23" w:rsidR="002C3E19" w:rsidRPr="002C3E19" w:rsidRDefault="002C3E19" w:rsidP="00FF75A9">
            <w:pPr>
              <w:rPr>
                <w:rFonts w:eastAsia="Times New Roman" w:cs="Arial"/>
                <w:color w:val="000000"/>
                <w:u w:val="single"/>
                <w:lang w:eastAsia="bg-BG"/>
              </w:rPr>
            </w:pPr>
            <w:r w:rsidRPr="002C3E19">
              <w:rPr>
                <w:rFonts w:cs="Arial"/>
              </w:rPr>
              <w:t>Психични нарушения</w:t>
            </w:r>
          </w:p>
        </w:tc>
      </w:tr>
      <w:tr w:rsidR="002C3E19" w14:paraId="39132E0D" w14:textId="77777777" w:rsidTr="006331CB">
        <w:tc>
          <w:tcPr>
            <w:tcW w:w="4750" w:type="dxa"/>
          </w:tcPr>
          <w:p w14:paraId="7AB3EE48" w14:textId="77B084C0" w:rsidR="002C3E19" w:rsidRPr="002C3E19" w:rsidRDefault="002C3E19" w:rsidP="002C3E19">
            <w:pPr>
              <w:rPr>
                <w:rFonts w:eastAsia="Times New Roman" w:cs="Arial"/>
                <w:color w:val="000000"/>
                <w:u w:val="single"/>
                <w:lang w:eastAsia="bg-BG"/>
              </w:rPr>
            </w:pPr>
            <w:r w:rsidRPr="002C3E19">
              <w:rPr>
                <w:rFonts w:cs="Arial"/>
              </w:rPr>
              <w:t>Много редки:</w:t>
            </w:r>
          </w:p>
        </w:tc>
        <w:tc>
          <w:tcPr>
            <w:tcW w:w="4750" w:type="dxa"/>
            <w:vAlign w:val="bottom"/>
          </w:tcPr>
          <w:p w14:paraId="63C9356B" w14:textId="49E1A5DF" w:rsidR="002C3E19" w:rsidRPr="002C3E19" w:rsidRDefault="002C3E19" w:rsidP="002C3E19">
            <w:pPr>
              <w:rPr>
                <w:rFonts w:eastAsia="Times New Roman" w:cs="Arial"/>
                <w:color w:val="000000"/>
                <w:u w:val="single"/>
                <w:lang w:eastAsia="bg-BG"/>
              </w:rPr>
            </w:pPr>
            <w:r w:rsidRPr="002C3E19">
              <w:rPr>
                <w:rFonts w:cs="Arial"/>
              </w:rPr>
              <w:t>Дезориентация, депресия, безсъние, нощни кошмари, раздразнителност, психотични нарушения</w:t>
            </w:r>
          </w:p>
        </w:tc>
      </w:tr>
      <w:tr w:rsidR="002C3E19" w14:paraId="25985A23" w14:textId="77777777" w:rsidTr="00A2158D">
        <w:tc>
          <w:tcPr>
            <w:tcW w:w="9500" w:type="dxa"/>
            <w:gridSpan w:val="2"/>
          </w:tcPr>
          <w:p w14:paraId="6BF809AE" w14:textId="66CC6335" w:rsidR="002C3E19" w:rsidRPr="002C3E19" w:rsidRDefault="002C3E19" w:rsidP="00FF75A9">
            <w:pPr>
              <w:rPr>
                <w:rFonts w:eastAsia="Times New Roman" w:cs="Arial"/>
                <w:color w:val="000000"/>
                <w:u w:val="single"/>
                <w:lang w:eastAsia="bg-BG"/>
              </w:rPr>
            </w:pPr>
            <w:r w:rsidRPr="002C3E19">
              <w:rPr>
                <w:rFonts w:eastAsia="Times New Roman" w:cs="Arial"/>
                <w:color w:val="000000"/>
                <w:lang w:eastAsia="bg-BG"/>
              </w:rPr>
              <w:t>Нарушения на нервната система</w:t>
            </w:r>
          </w:p>
        </w:tc>
      </w:tr>
      <w:tr w:rsidR="002C3E19" w14:paraId="16FFCE1E" w14:textId="77777777" w:rsidTr="00704FAE">
        <w:tc>
          <w:tcPr>
            <w:tcW w:w="4750" w:type="dxa"/>
            <w:vAlign w:val="bottom"/>
          </w:tcPr>
          <w:p w14:paraId="60C6C95A" w14:textId="0C90E0B4" w:rsidR="002C3E19" w:rsidRPr="002C3E19" w:rsidRDefault="002C3E19" w:rsidP="002C3E19">
            <w:pPr>
              <w:rPr>
                <w:rFonts w:eastAsia="Times New Roman" w:cs="Arial"/>
                <w:color w:val="000000"/>
                <w:u w:val="single"/>
                <w:lang w:eastAsia="bg-BG"/>
              </w:rPr>
            </w:pPr>
            <w:r w:rsidRPr="002C3E19">
              <w:rPr>
                <w:rFonts w:cs="Arial"/>
              </w:rPr>
              <w:t>Чести:</w:t>
            </w:r>
          </w:p>
        </w:tc>
        <w:tc>
          <w:tcPr>
            <w:tcW w:w="4750" w:type="dxa"/>
            <w:vAlign w:val="bottom"/>
          </w:tcPr>
          <w:p w14:paraId="45277D54" w14:textId="2D09109D" w:rsidR="002C3E19" w:rsidRPr="002C3E19" w:rsidRDefault="002C3E19" w:rsidP="002C3E19">
            <w:pPr>
              <w:rPr>
                <w:rFonts w:eastAsia="Times New Roman" w:cs="Arial"/>
                <w:color w:val="000000"/>
                <w:u w:val="single"/>
                <w:lang w:eastAsia="bg-BG"/>
              </w:rPr>
            </w:pPr>
            <w:r w:rsidRPr="002C3E19">
              <w:rPr>
                <w:rFonts w:cs="Arial"/>
              </w:rPr>
              <w:t>Главоболие, замаяност</w:t>
            </w:r>
          </w:p>
        </w:tc>
      </w:tr>
      <w:tr w:rsidR="002C3E19" w14:paraId="2645940A" w14:textId="77777777" w:rsidTr="00704FAE">
        <w:tc>
          <w:tcPr>
            <w:tcW w:w="4750" w:type="dxa"/>
            <w:vAlign w:val="bottom"/>
          </w:tcPr>
          <w:p w14:paraId="6E931D20" w14:textId="4FCF2BDA" w:rsidR="002C3E19" w:rsidRPr="002C3E19" w:rsidRDefault="002C3E19" w:rsidP="002C3E19">
            <w:pPr>
              <w:rPr>
                <w:rFonts w:eastAsia="Times New Roman" w:cs="Arial"/>
                <w:color w:val="000000"/>
                <w:u w:val="single"/>
                <w:lang w:eastAsia="bg-BG"/>
              </w:rPr>
            </w:pPr>
            <w:r w:rsidRPr="002C3E19">
              <w:rPr>
                <w:rFonts w:cs="Arial"/>
              </w:rPr>
              <w:t>Редки:</w:t>
            </w:r>
          </w:p>
        </w:tc>
        <w:tc>
          <w:tcPr>
            <w:tcW w:w="4750" w:type="dxa"/>
            <w:vAlign w:val="bottom"/>
          </w:tcPr>
          <w:p w14:paraId="1CD158BA" w14:textId="59D23BB6" w:rsidR="002C3E19" w:rsidRPr="002C3E19" w:rsidRDefault="002C3E19" w:rsidP="002C3E19">
            <w:pPr>
              <w:rPr>
                <w:rFonts w:eastAsia="Times New Roman" w:cs="Arial"/>
                <w:color w:val="000000"/>
                <w:u w:val="single"/>
                <w:lang w:eastAsia="bg-BG"/>
              </w:rPr>
            </w:pPr>
            <w:r w:rsidRPr="002C3E19">
              <w:rPr>
                <w:rFonts w:cs="Arial"/>
              </w:rPr>
              <w:t>Сънливост</w:t>
            </w:r>
          </w:p>
        </w:tc>
      </w:tr>
      <w:tr w:rsidR="002C3E19" w14:paraId="20D3EB2B" w14:textId="77777777" w:rsidTr="00704FAE">
        <w:tc>
          <w:tcPr>
            <w:tcW w:w="4750" w:type="dxa"/>
          </w:tcPr>
          <w:p w14:paraId="564D0D83" w14:textId="71499612" w:rsidR="002C3E19" w:rsidRPr="002C3E19" w:rsidRDefault="002C3E19" w:rsidP="002C3E19">
            <w:pPr>
              <w:rPr>
                <w:rFonts w:eastAsia="Times New Roman" w:cs="Arial"/>
                <w:color w:val="000000"/>
                <w:u w:val="single"/>
                <w:lang w:eastAsia="bg-BG"/>
              </w:rPr>
            </w:pPr>
            <w:r w:rsidRPr="002C3E19">
              <w:rPr>
                <w:rFonts w:cs="Arial"/>
              </w:rPr>
              <w:t>Много редки:</w:t>
            </w:r>
          </w:p>
        </w:tc>
        <w:tc>
          <w:tcPr>
            <w:tcW w:w="4750" w:type="dxa"/>
            <w:vAlign w:val="bottom"/>
          </w:tcPr>
          <w:p w14:paraId="650C382C" w14:textId="2F0F3264" w:rsidR="002C3E19" w:rsidRPr="002C3E19" w:rsidRDefault="002C3E19" w:rsidP="002C3E19">
            <w:pPr>
              <w:rPr>
                <w:rFonts w:eastAsia="Times New Roman" w:cs="Arial"/>
                <w:color w:val="000000"/>
                <w:u w:val="single"/>
                <w:lang w:eastAsia="bg-BG"/>
              </w:rPr>
            </w:pPr>
            <w:r w:rsidRPr="002C3E19">
              <w:rPr>
                <w:rFonts w:cs="Arial"/>
              </w:rPr>
              <w:t>Парестезии, нарушения на паметта, гърчове, тревожност, тремор, асептичен менингит, промяна във вкуса (дисгеузия), мозъчно-съдов инцидент</w:t>
            </w:r>
          </w:p>
        </w:tc>
      </w:tr>
      <w:tr w:rsidR="002C3E19" w14:paraId="688D6F1A" w14:textId="77777777" w:rsidTr="00477171">
        <w:tc>
          <w:tcPr>
            <w:tcW w:w="9500" w:type="dxa"/>
            <w:gridSpan w:val="2"/>
          </w:tcPr>
          <w:p w14:paraId="5BF1DBE3" w14:textId="4F45D62B" w:rsidR="002C3E19" w:rsidRPr="002C3E19" w:rsidRDefault="002C3E19" w:rsidP="00FF75A9">
            <w:pPr>
              <w:rPr>
                <w:rFonts w:eastAsia="Times New Roman" w:cs="Arial"/>
                <w:color w:val="000000"/>
                <w:u w:val="single"/>
                <w:lang w:eastAsia="bg-BG"/>
              </w:rPr>
            </w:pPr>
            <w:r w:rsidRPr="002C3E19">
              <w:rPr>
                <w:rFonts w:cs="Arial"/>
              </w:rPr>
              <w:t>Нарушения на очите</w:t>
            </w:r>
          </w:p>
        </w:tc>
      </w:tr>
      <w:tr w:rsidR="002C3E19" w14:paraId="6CC6D2FD" w14:textId="77777777" w:rsidTr="00892DA5">
        <w:tc>
          <w:tcPr>
            <w:tcW w:w="4750" w:type="dxa"/>
          </w:tcPr>
          <w:p w14:paraId="14EC17E8" w14:textId="5CF3F7EE" w:rsidR="002C3E19" w:rsidRPr="002C3E19" w:rsidRDefault="002C3E19" w:rsidP="002C3E19">
            <w:pPr>
              <w:rPr>
                <w:rFonts w:eastAsia="Times New Roman" w:cs="Arial"/>
                <w:color w:val="000000"/>
                <w:u w:val="single"/>
                <w:lang w:eastAsia="bg-BG"/>
              </w:rPr>
            </w:pPr>
            <w:r w:rsidRPr="002C3E19">
              <w:rPr>
                <w:rFonts w:cs="Arial"/>
              </w:rPr>
              <w:t>Много редки:</w:t>
            </w:r>
          </w:p>
        </w:tc>
        <w:tc>
          <w:tcPr>
            <w:tcW w:w="4750" w:type="dxa"/>
            <w:vAlign w:val="bottom"/>
          </w:tcPr>
          <w:p w14:paraId="405DE27E" w14:textId="167B606C" w:rsidR="002C3E19" w:rsidRPr="002C3E19" w:rsidRDefault="002C3E19" w:rsidP="002C3E19">
            <w:pPr>
              <w:rPr>
                <w:rFonts w:eastAsia="Times New Roman" w:cs="Arial"/>
                <w:color w:val="000000"/>
                <w:u w:val="single"/>
                <w:lang w:eastAsia="bg-BG"/>
              </w:rPr>
            </w:pPr>
            <w:r w:rsidRPr="002C3E19">
              <w:rPr>
                <w:rFonts w:cs="Arial"/>
              </w:rPr>
              <w:t>Нарушение на зрението, замъглено виждане, диплопия</w:t>
            </w:r>
          </w:p>
        </w:tc>
      </w:tr>
      <w:tr w:rsidR="002C3E19" w14:paraId="45ECF871" w14:textId="77777777" w:rsidTr="003C5192">
        <w:tc>
          <w:tcPr>
            <w:tcW w:w="9500" w:type="dxa"/>
            <w:gridSpan w:val="2"/>
          </w:tcPr>
          <w:p w14:paraId="6729B40B" w14:textId="0BA2C31B" w:rsidR="002C3E19" w:rsidRPr="002C3E19" w:rsidRDefault="002C3E19" w:rsidP="00FF75A9">
            <w:pPr>
              <w:rPr>
                <w:rFonts w:eastAsia="Times New Roman" w:cs="Arial"/>
                <w:color w:val="000000"/>
                <w:u w:val="single"/>
                <w:lang w:eastAsia="bg-BG"/>
              </w:rPr>
            </w:pPr>
            <w:r w:rsidRPr="002C3E19">
              <w:rPr>
                <w:rFonts w:cs="Arial"/>
              </w:rPr>
              <w:t>Нарушения на ухото и лабиринта</w:t>
            </w:r>
          </w:p>
        </w:tc>
      </w:tr>
      <w:tr w:rsidR="002C3E19" w14:paraId="2229068B" w14:textId="77777777" w:rsidTr="002C3E19">
        <w:tc>
          <w:tcPr>
            <w:tcW w:w="4750" w:type="dxa"/>
          </w:tcPr>
          <w:p w14:paraId="2F03D6DA" w14:textId="5E95F1F6" w:rsidR="002C3E19" w:rsidRPr="002C3E19" w:rsidRDefault="002C3E19" w:rsidP="002C3E19">
            <w:pPr>
              <w:rPr>
                <w:rFonts w:eastAsia="Times New Roman" w:cs="Arial"/>
                <w:color w:val="000000"/>
                <w:u w:val="single"/>
                <w:lang w:eastAsia="bg-BG"/>
              </w:rPr>
            </w:pPr>
            <w:r w:rsidRPr="002C3E19">
              <w:rPr>
                <w:rFonts w:cs="Arial"/>
              </w:rPr>
              <w:t>Чести:</w:t>
            </w:r>
          </w:p>
        </w:tc>
        <w:tc>
          <w:tcPr>
            <w:tcW w:w="4750" w:type="dxa"/>
          </w:tcPr>
          <w:p w14:paraId="41562DD4" w14:textId="397044BB" w:rsidR="002C3E19" w:rsidRPr="002C3E19" w:rsidRDefault="002C3E19" w:rsidP="002C3E19">
            <w:pPr>
              <w:rPr>
                <w:rFonts w:eastAsia="Times New Roman" w:cs="Arial"/>
                <w:color w:val="000000"/>
                <w:u w:val="single"/>
                <w:lang w:eastAsia="bg-BG"/>
              </w:rPr>
            </w:pPr>
            <w:r w:rsidRPr="002C3E19">
              <w:rPr>
                <w:rFonts w:cs="Arial"/>
              </w:rPr>
              <w:t>Световъртеж</w:t>
            </w:r>
          </w:p>
        </w:tc>
      </w:tr>
      <w:tr w:rsidR="002C3E19" w14:paraId="168B929F" w14:textId="77777777" w:rsidTr="00D42B46">
        <w:tc>
          <w:tcPr>
            <w:tcW w:w="4750" w:type="dxa"/>
            <w:vAlign w:val="bottom"/>
          </w:tcPr>
          <w:p w14:paraId="1AECC4E3" w14:textId="23099606" w:rsidR="002C3E19" w:rsidRPr="002C3E19" w:rsidRDefault="002C3E19" w:rsidP="002C3E19">
            <w:pPr>
              <w:rPr>
                <w:rFonts w:eastAsia="Times New Roman" w:cs="Arial"/>
                <w:color w:val="000000"/>
                <w:u w:val="single"/>
                <w:lang w:eastAsia="bg-BG"/>
              </w:rPr>
            </w:pPr>
            <w:r w:rsidRPr="002C3E19">
              <w:rPr>
                <w:rFonts w:cs="Arial"/>
              </w:rPr>
              <w:t>Много редки:</w:t>
            </w:r>
          </w:p>
        </w:tc>
        <w:tc>
          <w:tcPr>
            <w:tcW w:w="4750" w:type="dxa"/>
            <w:vAlign w:val="bottom"/>
          </w:tcPr>
          <w:p w14:paraId="0849E966" w14:textId="41CD20B9" w:rsidR="002C3E19" w:rsidRPr="002C3E19" w:rsidRDefault="002C3E19" w:rsidP="002C3E19">
            <w:pPr>
              <w:rPr>
                <w:rFonts w:eastAsia="Times New Roman" w:cs="Arial"/>
                <w:color w:val="000000"/>
                <w:u w:val="single"/>
                <w:lang w:eastAsia="bg-BG"/>
              </w:rPr>
            </w:pPr>
            <w:r w:rsidRPr="002C3E19">
              <w:rPr>
                <w:rFonts w:cs="Arial"/>
              </w:rPr>
              <w:t>Влошен слух, тинитус</w:t>
            </w:r>
          </w:p>
        </w:tc>
      </w:tr>
      <w:tr w:rsidR="002C3E19" w14:paraId="4FDF4AE8" w14:textId="77777777" w:rsidTr="00B32387">
        <w:tc>
          <w:tcPr>
            <w:tcW w:w="9500" w:type="dxa"/>
            <w:gridSpan w:val="2"/>
          </w:tcPr>
          <w:p w14:paraId="1373786B" w14:textId="33A264FB" w:rsidR="002C3E19" w:rsidRPr="002C3E19" w:rsidRDefault="002C3E19" w:rsidP="00FF75A9">
            <w:pPr>
              <w:rPr>
                <w:rFonts w:eastAsia="Times New Roman" w:cs="Arial"/>
                <w:color w:val="000000"/>
                <w:u w:val="single"/>
                <w:lang w:eastAsia="bg-BG"/>
              </w:rPr>
            </w:pPr>
            <w:r w:rsidRPr="002C3E19">
              <w:rPr>
                <w:rFonts w:cs="Arial"/>
              </w:rPr>
              <w:t>Сърдечни нарушения</w:t>
            </w:r>
          </w:p>
        </w:tc>
      </w:tr>
      <w:tr w:rsidR="002C3E19" w14:paraId="713AEFCA" w14:textId="77777777" w:rsidTr="002C3E19">
        <w:tc>
          <w:tcPr>
            <w:tcW w:w="4750" w:type="dxa"/>
          </w:tcPr>
          <w:p w14:paraId="44497C4D" w14:textId="38367610" w:rsidR="002C3E19" w:rsidRPr="002C3E19" w:rsidRDefault="002C3E19" w:rsidP="002C3E19">
            <w:pPr>
              <w:rPr>
                <w:rFonts w:eastAsia="Times New Roman" w:cs="Arial"/>
                <w:color w:val="000000"/>
                <w:u w:val="single"/>
                <w:lang w:eastAsia="bg-BG"/>
              </w:rPr>
            </w:pPr>
            <w:r w:rsidRPr="002C3E19">
              <w:rPr>
                <w:rFonts w:cs="Arial"/>
              </w:rPr>
              <w:t>Нечести: *</w:t>
            </w:r>
          </w:p>
        </w:tc>
        <w:tc>
          <w:tcPr>
            <w:tcW w:w="4750" w:type="dxa"/>
          </w:tcPr>
          <w:p w14:paraId="52325D87" w14:textId="1C5C20A7" w:rsidR="002C3E19" w:rsidRPr="002C3E19" w:rsidRDefault="002C3E19" w:rsidP="002C3E19">
            <w:pPr>
              <w:rPr>
                <w:rFonts w:eastAsia="Times New Roman" w:cs="Arial"/>
                <w:color w:val="000000"/>
                <w:u w:val="single"/>
                <w:lang w:eastAsia="bg-BG"/>
              </w:rPr>
            </w:pPr>
            <w:r w:rsidRPr="002C3E19">
              <w:rPr>
                <w:rFonts w:cs="Arial"/>
              </w:rPr>
              <w:t>Инфаркт на миокарда, сърдечна недостатъчност, палпитации, гръдна болка</w:t>
            </w:r>
          </w:p>
        </w:tc>
      </w:tr>
      <w:tr w:rsidR="002C3E19" w14:paraId="1733E16C" w14:textId="77777777" w:rsidTr="003B7207">
        <w:tc>
          <w:tcPr>
            <w:tcW w:w="4750" w:type="dxa"/>
            <w:vAlign w:val="bottom"/>
          </w:tcPr>
          <w:p w14:paraId="7D0DF9DC" w14:textId="155D5C2B" w:rsidR="002C3E19" w:rsidRPr="002C3E19" w:rsidRDefault="002C3E19" w:rsidP="002C3E19">
            <w:pPr>
              <w:rPr>
                <w:rFonts w:eastAsia="Times New Roman" w:cs="Arial"/>
                <w:color w:val="000000"/>
                <w:u w:val="single"/>
                <w:lang w:eastAsia="bg-BG"/>
              </w:rPr>
            </w:pPr>
            <w:r w:rsidRPr="002C3E19">
              <w:rPr>
                <w:rFonts w:cs="Arial"/>
              </w:rPr>
              <w:t>С неизвестна честота:</w:t>
            </w:r>
          </w:p>
        </w:tc>
        <w:tc>
          <w:tcPr>
            <w:tcW w:w="4750" w:type="dxa"/>
            <w:vAlign w:val="bottom"/>
          </w:tcPr>
          <w:p w14:paraId="1C377944" w14:textId="39A5AB9F" w:rsidR="002C3E19" w:rsidRPr="002C3E19" w:rsidRDefault="002C3E19" w:rsidP="002C3E19">
            <w:pPr>
              <w:rPr>
                <w:rFonts w:eastAsia="Times New Roman" w:cs="Arial"/>
                <w:color w:val="000000"/>
                <w:u w:val="single"/>
                <w:lang w:eastAsia="bg-BG"/>
              </w:rPr>
            </w:pPr>
            <w:r w:rsidRPr="002C3E19">
              <w:rPr>
                <w:rFonts w:cs="Arial"/>
              </w:rPr>
              <w:t xml:space="preserve">Синдром на </w:t>
            </w:r>
            <w:proofErr w:type="spellStart"/>
            <w:r w:rsidRPr="002C3E19">
              <w:rPr>
                <w:rFonts w:cs="Arial"/>
                <w:lang w:val="en-US"/>
              </w:rPr>
              <w:t>Kounis</w:t>
            </w:r>
            <w:proofErr w:type="spellEnd"/>
          </w:p>
        </w:tc>
      </w:tr>
      <w:tr w:rsidR="002C3E19" w14:paraId="5F90DFCD" w14:textId="77777777" w:rsidTr="0049092D">
        <w:tc>
          <w:tcPr>
            <w:tcW w:w="9500" w:type="dxa"/>
            <w:gridSpan w:val="2"/>
          </w:tcPr>
          <w:p w14:paraId="267487F7" w14:textId="23920FCD" w:rsidR="002C3E19" w:rsidRPr="002C3E19" w:rsidRDefault="002C3E19" w:rsidP="00FF75A9">
            <w:pPr>
              <w:rPr>
                <w:rFonts w:eastAsia="Times New Roman" w:cs="Arial"/>
                <w:color w:val="000000"/>
                <w:u w:val="single"/>
                <w:lang w:eastAsia="bg-BG"/>
              </w:rPr>
            </w:pPr>
            <w:r w:rsidRPr="002C3E19">
              <w:rPr>
                <w:rFonts w:cs="Arial"/>
              </w:rPr>
              <w:t>Съдови нарушения:</w:t>
            </w:r>
          </w:p>
        </w:tc>
      </w:tr>
      <w:tr w:rsidR="002C3E19" w14:paraId="70292EBA" w14:textId="77777777" w:rsidTr="008A4160">
        <w:tc>
          <w:tcPr>
            <w:tcW w:w="4750" w:type="dxa"/>
            <w:vAlign w:val="bottom"/>
          </w:tcPr>
          <w:p w14:paraId="53E6A9D7" w14:textId="35B8CF8C" w:rsidR="002C3E19" w:rsidRPr="002C3E19" w:rsidRDefault="002C3E19" w:rsidP="002C3E19">
            <w:pPr>
              <w:rPr>
                <w:rFonts w:eastAsia="Times New Roman" w:cs="Arial"/>
                <w:color w:val="000000"/>
                <w:u w:val="single"/>
                <w:lang w:eastAsia="bg-BG"/>
              </w:rPr>
            </w:pPr>
            <w:r w:rsidRPr="002C3E19">
              <w:rPr>
                <w:rFonts w:cs="Arial"/>
              </w:rPr>
              <w:t>Много редки:</w:t>
            </w:r>
          </w:p>
        </w:tc>
        <w:tc>
          <w:tcPr>
            <w:tcW w:w="4750" w:type="dxa"/>
            <w:vAlign w:val="bottom"/>
          </w:tcPr>
          <w:p w14:paraId="530E8C4C" w14:textId="0DFEFC9D" w:rsidR="002C3E19" w:rsidRPr="002C3E19" w:rsidRDefault="002C3E19" w:rsidP="002C3E19">
            <w:pPr>
              <w:rPr>
                <w:rFonts w:eastAsia="Times New Roman" w:cs="Arial"/>
                <w:color w:val="000000"/>
                <w:u w:val="single"/>
                <w:lang w:eastAsia="bg-BG"/>
              </w:rPr>
            </w:pPr>
            <w:r w:rsidRPr="002C3E19">
              <w:rPr>
                <w:rFonts w:cs="Arial"/>
              </w:rPr>
              <w:t>Хипертония, васкулит</w:t>
            </w:r>
          </w:p>
        </w:tc>
      </w:tr>
      <w:tr w:rsidR="002C3E19" w14:paraId="29544C40" w14:textId="77777777" w:rsidTr="00427A60">
        <w:tc>
          <w:tcPr>
            <w:tcW w:w="9500" w:type="dxa"/>
            <w:gridSpan w:val="2"/>
          </w:tcPr>
          <w:p w14:paraId="4FCDE844" w14:textId="024488FA" w:rsidR="002C3E19" w:rsidRPr="002C3E19" w:rsidRDefault="002C3E19" w:rsidP="00FF75A9">
            <w:pPr>
              <w:rPr>
                <w:rFonts w:eastAsia="Times New Roman" w:cs="Arial"/>
                <w:color w:val="000000"/>
                <w:u w:val="single"/>
                <w:lang w:eastAsia="bg-BG"/>
              </w:rPr>
            </w:pPr>
            <w:r w:rsidRPr="002C3E19">
              <w:rPr>
                <w:rFonts w:cs="Arial"/>
              </w:rPr>
              <w:t>Респираторни, гръдни и медиастинални нарушения:</w:t>
            </w:r>
          </w:p>
        </w:tc>
      </w:tr>
      <w:tr w:rsidR="002C3E19" w14:paraId="7CD61F47" w14:textId="77777777" w:rsidTr="00174528">
        <w:tc>
          <w:tcPr>
            <w:tcW w:w="4750" w:type="dxa"/>
            <w:vAlign w:val="bottom"/>
          </w:tcPr>
          <w:p w14:paraId="21FDFB09" w14:textId="55EF0194" w:rsidR="002C3E19" w:rsidRPr="002C3E19" w:rsidRDefault="002C3E19" w:rsidP="002C3E19">
            <w:pPr>
              <w:rPr>
                <w:rFonts w:eastAsia="Times New Roman" w:cs="Arial"/>
                <w:color w:val="000000"/>
                <w:u w:val="single"/>
                <w:lang w:eastAsia="bg-BG"/>
              </w:rPr>
            </w:pPr>
            <w:r w:rsidRPr="002C3E19">
              <w:rPr>
                <w:rFonts w:cs="Arial"/>
              </w:rPr>
              <w:t>Редки:</w:t>
            </w:r>
          </w:p>
        </w:tc>
        <w:tc>
          <w:tcPr>
            <w:tcW w:w="4750" w:type="dxa"/>
            <w:vAlign w:val="bottom"/>
          </w:tcPr>
          <w:p w14:paraId="27943C32" w14:textId="4D1C619B" w:rsidR="002C3E19" w:rsidRPr="002C3E19" w:rsidRDefault="002C3E19" w:rsidP="002C3E19">
            <w:pPr>
              <w:rPr>
                <w:rFonts w:eastAsia="Times New Roman" w:cs="Arial"/>
                <w:color w:val="000000"/>
                <w:u w:val="single"/>
                <w:lang w:eastAsia="bg-BG"/>
              </w:rPr>
            </w:pPr>
            <w:r w:rsidRPr="002C3E19">
              <w:rPr>
                <w:rFonts w:cs="Arial"/>
              </w:rPr>
              <w:t>Астма (вкл. задух)</w:t>
            </w:r>
          </w:p>
        </w:tc>
      </w:tr>
      <w:tr w:rsidR="002C3E19" w14:paraId="7B8ADAB6" w14:textId="77777777" w:rsidTr="00174528">
        <w:tc>
          <w:tcPr>
            <w:tcW w:w="4750" w:type="dxa"/>
            <w:vAlign w:val="bottom"/>
          </w:tcPr>
          <w:p w14:paraId="3D7AF42F" w14:textId="54D96527" w:rsidR="002C3E19" w:rsidRPr="002C3E19" w:rsidRDefault="002C3E19" w:rsidP="002C3E19">
            <w:pPr>
              <w:rPr>
                <w:rFonts w:eastAsia="Times New Roman" w:cs="Arial"/>
                <w:color w:val="000000"/>
                <w:u w:val="single"/>
                <w:lang w:eastAsia="bg-BG"/>
              </w:rPr>
            </w:pPr>
            <w:r w:rsidRPr="002C3E19">
              <w:rPr>
                <w:rFonts w:cs="Arial"/>
              </w:rPr>
              <w:t>Много редки:</w:t>
            </w:r>
          </w:p>
        </w:tc>
        <w:tc>
          <w:tcPr>
            <w:tcW w:w="4750" w:type="dxa"/>
            <w:vAlign w:val="bottom"/>
          </w:tcPr>
          <w:p w14:paraId="30F67FA0" w14:textId="330A6DF3" w:rsidR="002C3E19" w:rsidRPr="002C3E19" w:rsidRDefault="002C3E19" w:rsidP="002C3E19">
            <w:pPr>
              <w:rPr>
                <w:rFonts w:eastAsia="Times New Roman" w:cs="Arial"/>
                <w:color w:val="000000"/>
                <w:u w:val="single"/>
                <w:lang w:eastAsia="bg-BG"/>
              </w:rPr>
            </w:pPr>
            <w:r w:rsidRPr="002C3E19">
              <w:rPr>
                <w:rFonts w:cs="Arial"/>
              </w:rPr>
              <w:t>Пневмонит</w:t>
            </w:r>
          </w:p>
        </w:tc>
      </w:tr>
      <w:tr w:rsidR="002C3E19" w14:paraId="170AC9DB" w14:textId="77777777" w:rsidTr="003D2862">
        <w:tc>
          <w:tcPr>
            <w:tcW w:w="9500" w:type="dxa"/>
            <w:gridSpan w:val="2"/>
          </w:tcPr>
          <w:p w14:paraId="1DDBDF1B" w14:textId="6C7D896B" w:rsidR="002C3E19" w:rsidRPr="002C3E19" w:rsidRDefault="002C3E19" w:rsidP="00FF75A9">
            <w:pPr>
              <w:rPr>
                <w:rFonts w:eastAsia="Times New Roman" w:cs="Arial"/>
                <w:color w:val="000000"/>
                <w:u w:val="single"/>
                <w:lang w:eastAsia="bg-BG"/>
              </w:rPr>
            </w:pPr>
            <w:r w:rsidRPr="002C3E19">
              <w:rPr>
                <w:rFonts w:cs="Arial"/>
              </w:rPr>
              <w:t>Стомашно-чревни нарушения</w:t>
            </w:r>
          </w:p>
        </w:tc>
      </w:tr>
      <w:tr w:rsidR="002C3E19" w14:paraId="0C72B382" w14:textId="77777777" w:rsidTr="002C3E19">
        <w:tc>
          <w:tcPr>
            <w:tcW w:w="4750" w:type="dxa"/>
          </w:tcPr>
          <w:p w14:paraId="13EE8F22" w14:textId="7DB0A587" w:rsidR="002C3E19" w:rsidRPr="002C3E19" w:rsidRDefault="002C3E19" w:rsidP="002C3E19">
            <w:pPr>
              <w:rPr>
                <w:rFonts w:eastAsia="Times New Roman" w:cs="Arial"/>
                <w:color w:val="000000"/>
                <w:u w:val="single"/>
                <w:lang w:eastAsia="bg-BG"/>
              </w:rPr>
            </w:pPr>
            <w:r w:rsidRPr="002C3E19">
              <w:rPr>
                <w:rFonts w:cs="Arial"/>
              </w:rPr>
              <w:t>Чести:</w:t>
            </w:r>
          </w:p>
        </w:tc>
        <w:tc>
          <w:tcPr>
            <w:tcW w:w="4750" w:type="dxa"/>
          </w:tcPr>
          <w:p w14:paraId="41F5C426" w14:textId="7CCB1CF5" w:rsidR="002C3E19" w:rsidRPr="002C3E19" w:rsidRDefault="002C3E19" w:rsidP="002C3E19">
            <w:pPr>
              <w:rPr>
                <w:rFonts w:eastAsia="Times New Roman" w:cs="Arial"/>
                <w:color w:val="000000"/>
                <w:u w:val="single"/>
                <w:lang w:eastAsia="bg-BG"/>
              </w:rPr>
            </w:pPr>
            <w:r w:rsidRPr="002C3E19">
              <w:rPr>
                <w:rFonts w:cs="Arial"/>
              </w:rPr>
              <w:t xml:space="preserve">Гадене, повръщане, диария, диспепсия, </w:t>
            </w:r>
            <w:r w:rsidRPr="002C3E19">
              <w:rPr>
                <w:rFonts w:cs="Arial"/>
              </w:rPr>
              <w:lastRenderedPageBreak/>
              <w:t>коремна болка, флатуленция, намален апетит</w:t>
            </w:r>
          </w:p>
        </w:tc>
      </w:tr>
      <w:tr w:rsidR="002C3E19" w14:paraId="54D820F9" w14:textId="77777777" w:rsidTr="00C42A99">
        <w:tc>
          <w:tcPr>
            <w:tcW w:w="4750" w:type="dxa"/>
          </w:tcPr>
          <w:p w14:paraId="275D4391" w14:textId="1722D905" w:rsidR="002C3E19" w:rsidRPr="002C3E19" w:rsidRDefault="002C3E19" w:rsidP="002C3E19">
            <w:pPr>
              <w:rPr>
                <w:rFonts w:eastAsia="Times New Roman" w:cs="Arial"/>
                <w:color w:val="000000"/>
                <w:u w:val="single"/>
                <w:lang w:eastAsia="bg-BG"/>
              </w:rPr>
            </w:pPr>
            <w:r w:rsidRPr="002C3E19">
              <w:rPr>
                <w:rFonts w:cs="Arial"/>
              </w:rPr>
              <w:lastRenderedPageBreak/>
              <w:t>Редки:</w:t>
            </w:r>
          </w:p>
        </w:tc>
        <w:tc>
          <w:tcPr>
            <w:tcW w:w="4750" w:type="dxa"/>
            <w:vAlign w:val="bottom"/>
          </w:tcPr>
          <w:p w14:paraId="3FF5D423" w14:textId="2EEC4B97" w:rsidR="002C3E19" w:rsidRPr="002C3E19" w:rsidRDefault="002C3E19" w:rsidP="002C3E19">
            <w:pPr>
              <w:rPr>
                <w:rFonts w:eastAsia="Times New Roman" w:cs="Arial"/>
                <w:color w:val="000000"/>
                <w:u w:val="single"/>
                <w:lang w:eastAsia="bg-BG"/>
              </w:rPr>
            </w:pPr>
            <w:r w:rsidRPr="002C3E19">
              <w:rPr>
                <w:rFonts w:cs="Arial"/>
              </w:rPr>
              <w:t>Гастрит, кървене от стомашно-чревния тракт, хематемеза, мелена, кървава диария, стомашна или чревна язва (със или без кървене, стомашно-чревна стеноза, или перфорация, която може да доведе до перитонит), проктит</w:t>
            </w:r>
          </w:p>
        </w:tc>
      </w:tr>
      <w:tr w:rsidR="002C3E19" w14:paraId="48553657" w14:textId="77777777" w:rsidTr="00A527C7">
        <w:tc>
          <w:tcPr>
            <w:tcW w:w="4750" w:type="dxa"/>
          </w:tcPr>
          <w:p w14:paraId="0275DDA2" w14:textId="2E02FD59" w:rsidR="002C3E19" w:rsidRPr="002C3E19" w:rsidRDefault="002C3E19" w:rsidP="002C3E19">
            <w:pPr>
              <w:rPr>
                <w:rFonts w:eastAsia="Times New Roman" w:cs="Arial"/>
                <w:color w:val="000000"/>
                <w:u w:val="single"/>
                <w:lang w:eastAsia="bg-BG"/>
              </w:rPr>
            </w:pPr>
            <w:r w:rsidRPr="002C3E19">
              <w:rPr>
                <w:rFonts w:cs="Arial"/>
              </w:rPr>
              <w:t>Много редки:</w:t>
            </w:r>
          </w:p>
        </w:tc>
        <w:tc>
          <w:tcPr>
            <w:tcW w:w="4750" w:type="dxa"/>
            <w:vAlign w:val="bottom"/>
          </w:tcPr>
          <w:p w14:paraId="7EC435E9" w14:textId="43BE08E9" w:rsidR="002C3E19" w:rsidRPr="002C3E19" w:rsidRDefault="002C3E19" w:rsidP="002C3E19">
            <w:pPr>
              <w:rPr>
                <w:rFonts w:eastAsia="Times New Roman" w:cs="Arial"/>
                <w:color w:val="000000"/>
                <w:u w:val="single"/>
                <w:lang w:eastAsia="bg-BG"/>
              </w:rPr>
            </w:pPr>
            <w:r w:rsidRPr="002C3E19">
              <w:rPr>
                <w:rFonts w:cs="Arial"/>
              </w:rPr>
              <w:t xml:space="preserve">Колит (вкл, хеморагичен колит и екзацербации на улцерозен колит или болест на </w:t>
            </w:r>
            <w:r w:rsidRPr="002C3E19">
              <w:rPr>
                <w:rFonts w:cs="Arial"/>
                <w:lang w:val="en-US"/>
              </w:rPr>
              <w:t xml:space="preserve">Crohn), </w:t>
            </w:r>
            <w:r w:rsidRPr="002C3E19">
              <w:rPr>
                <w:rFonts w:cs="Arial"/>
              </w:rPr>
              <w:t>запек, стоматит (вкл. улцерозен стоматит), глосит, нарушения на хранопровода, диафрагма- подобни стеснения на червата, панкреатит, хемороиди</w:t>
            </w:r>
          </w:p>
        </w:tc>
      </w:tr>
      <w:tr w:rsidR="002C3E19" w14:paraId="262077A9" w14:textId="77777777" w:rsidTr="00A527C7">
        <w:tc>
          <w:tcPr>
            <w:tcW w:w="4750" w:type="dxa"/>
            <w:vAlign w:val="bottom"/>
          </w:tcPr>
          <w:p w14:paraId="08127A68" w14:textId="6C68BAB8" w:rsidR="002C3E19" w:rsidRPr="002C3E19" w:rsidRDefault="002C3E19" w:rsidP="002C3E19">
            <w:pPr>
              <w:rPr>
                <w:rFonts w:eastAsia="Times New Roman" w:cs="Arial"/>
                <w:color w:val="000000"/>
                <w:u w:val="single"/>
                <w:lang w:eastAsia="bg-BG"/>
              </w:rPr>
            </w:pPr>
            <w:r w:rsidRPr="002C3E19">
              <w:rPr>
                <w:rFonts w:cs="Arial"/>
              </w:rPr>
              <w:t>С неизвестна честота:</w:t>
            </w:r>
          </w:p>
        </w:tc>
        <w:tc>
          <w:tcPr>
            <w:tcW w:w="4750" w:type="dxa"/>
            <w:vAlign w:val="bottom"/>
          </w:tcPr>
          <w:p w14:paraId="47EE903E" w14:textId="08D00A27" w:rsidR="002C3E19" w:rsidRPr="002C3E19" w:rsidRDefault="002C3E19" w:rsidP="002C3E19">
            <w:pPr>
              <w:rPr>
                <w:rFonts w:eastAsia="Times New Roman" w:cs="Arial"/>
                <w:color w:val="000000"/>
                <w:u w:val="single"/>
                <w:lang w:eastAsia="bg-BG"/>
              </w:rPr>
            </w:pPr>
            <w:r w:rsidRPr="002C3E19">
              <w:rPr>
                <w:rFonts w:cs="Arial"/>
              </w:rPr>
              <w:t>Исхемичен колит</w:t>
            </w:r>
          </w:p>
        </w:tc>
      </w:tr>
      <w:tr w:rsidR="002C3E19" w14:paraId="457CF257" w14:textId="77777777" w:rsidTr="007D6D0F">
        <w:tc>
          <w:tcPr>
            <w:tcW w:w="9500" w:type="dxa"/>
            <w:gridSpan w:val="2"/>
          </w:tcPr>
          <w:p w14:paraId="51B5C615" w14:textId="243492AE" w:rsidR="002C3E19" w:rsidRPr="002C3E19" w:rsidRDefault="002C3E19" w:rsidP="00FF75A9">
            <w:pPr>
              <w:rPr>
                <w:rFonts w:eastAsia="Times New Roman" w:cs="Arial"/>
                <w:color w:val="000000"/>
                <w:u w:val="single"/>
                <w:lang w:eastAsia="bg-BG"/>
              </w:rPr>
            </w:pPr>
            <w:r w:rsidRPr="002C3E19">
              <w:rPr>
                <w:rFonts w:cs="Arial"/>
              </w:rPr>
              <w:t>Хепато-билиарни нарушения</w:t>
            </w:r>
          </w:p>
        </w:tc>
      </w:tr>
      <w:tr w:rsidR="002C3E19" w14:paraId="7B6BFC1F" w14:textId="77777777" w:rsidTr="006978BE">
        <w:tc>
          <w:tcPr>
            <w:tcW w:w="4750" w:type="dxa"/>
            <w:vAlign w:val="bottom"/>
          </w:tcPr>
          <w:p w14:paraId="6569BDDC" w14:textId="6B225F08" w:rsidR="002C3E19" w:rsidRPr="002C3E19" w:rsidRDefault="002C3E19" w:rsidP="002C3E19">
            <w:pPr>
              <w:rPr>
                <w:rFonts w:eastAsia="Times New Roman" w:cs="Arial"/>
                <w:color w:val="000000"/>
                <w:u w:val="single"/>
                <w:lang w:eastAsia="bg-BG"/>
              </w:rPr>
            </w:pPr>
            <w:r w:rsidRPr="002C3E19">
              <w:rPr>
                <w:rFonts w:cs="Arial"/>
              </w:rPr>
              <w:t>Чести:</w:t>
            </w:r>
          </w:p>
        </w:tc>
        <w:tc>
          <w:tcPr>
            <w:tcW w:w="4750" w:type="dxa"/>
            <w:vAlign w:val="bottom"/>
          </w:tcPr>
          <w:p w14:paraId="24A57AFD" w14:textId="20A49AD6" w:rsidR="002C3E19" w:rsidRPr="002C3E19" w:rsidRDefault="002C3E19" w:rsidP="002C3E19">
            <w:pPr>
              <w:rPr>
                <w:rFonts w:eastAsia="Times New Roman" w:cs="Arial"/>
                <w:color w:val="000000"/>
                <w:u w:val="single"/>
                <w:lang w:eastAsia="bg-BG"/>
              </w:rPr>
            </w:pPr>
            <w:r w:rsidRPr="002C3E19">
              <w:rPr>
                <w:rFonts w:cs="Arial"/>
              </w:rPr>
              <w:t>Увеличение стойностите на трансаминазите</w:t>
            </w:r>
          </w:p>
        </w:tc>
      </w:tr>
      <w:tr w:rsidR="002C3E19" w14:paraId="35948314" w14:textId="77777777" w:rsidTr="002C3E19">
        <w:tc>
          <w:tcPr>
            <w:tcW w:w="4750" w:type="dxa"/>
          </w:tcPr>
          <w:p w14:paraId="78B424A6" w14:textId="65D4D0FE" w:rsidR="002C3E19" w:rsidRPr="002C3E19" w:rsidRDefault="002C3E19" w:rsidP="002C3E19">
            <w:pPr>
              <w:rPr>
                <w:rFonts w:eastAsia="Times New Roman" w:cs="Arial"/>
                <w:color w:val="000000"/>
                <w:u w:val="single"/>
                <w:lang w:eastAsia="bg-BG"/>
              </w:rPr>
            </w:pPr>
            <w:r w:rsidRPr="002C3E19">
              <w:rPr>
                <w:rFonts w:cs="Arial"/>
              </w:rPr>
              <w:t>Редки:</w:t>
            </w:r>
          </w:p>
        </w:tc>
        <w:tc>
          <w:tcPr>
            <w:tcW w:w="4750" w:type="dxa"/>
          </w:tcPr>
          <w:p w14:paraId="31EEEA05" w14:textId="30628487" w:rsidR="002C3E19" w:rsidRPr="002C3E19" w:rsidRDefault="002C3E19" w:rsidP="002C3E19">
            <w:pPr>
              <w:rPr>
                <w:rFonts w:eastAsia="Times New Roman" w:cs="Arial"/>
                <w:color w:val="000000"/>
                <w:u w:val="single"/>
                <w:lang w:eastAsia="bg-BG"/>
              </w:rPr>
            </w:pPr>
            <w:r w:rsidRPr="002C3E19">
              <w:rPr>
                <w:rFonts w:cs="Arial"/>
              </w:rPr>
              <w:t>Хепатит, жълтеница, чернодробни нарушения</w:t>
            </w:r>
          </w:p>
        </w:tc>
      </w:tr>
      <w:tr w:rsidR="002C3E19" w14:paraId="6D60C35F" w14:textId="77777777" w:rsidTr="006978BE">
        <w:tc>
          <w:tcPr>
            <w:tcW w:w="4750" w:type="dxa"/>
          </w:tcPr>
          <w:p w14:paraId="1D757820" w14:textId="4E830A3B" w:rsidR="002C3E19" w:rsidRPr="002C3E19" w:rsidRDefault="002C3E19" w:rsidP="002C3E19">
            <w:pPr>
              <w:rPr>
                <w:rFonts w:eastAsia="Times New Roman" w:cs="Arial"/>
                <w:color w:val="000000"/>
                <w:u w:val="single"/>
                <w:lang w:eastAsia="bg-BG"/>
              </w:rPr>
            </w:pPr>
            <w:r w:rsidRPr="002C3E19">
              <w:rPr>
                <w:rFonts w:cs="Arial"/>
              </w:rPr>
              <w:t>Много редки:</w:t>
            </w:r>
          </w:p>
        </w:tc>
        <w:tc>
          <w:tcPr>
            <w:tcW w:w="4750" w:type="dxa"/>
            <w:vAlign w:val="bottom"/>
          </w:tcPr>
          <w:p w14:paraId="3E8E1FA5" w14:textId="142C5573" w:rsidR="002C3E19" w:rsidRPr="002C3E19" w:rsidRDefault="002C3E19" w:rsidP="002C3E19">
            <w:pPr>
              <w:rPr>
                <w:rFonts w:eastAsia="Times New Roman" w:cs="Arial"/>
                <w:color w:val="000000"/>
                <w:u w:val="single"/>
                <w:lang w:eastAsia="bg-BG"/>
              </w:rPr>
            </w:pPr>
            <w:r w:rsidRPr="002C3E19">
              <w:rPr>
                <w:rFonts w:cs="Arial"/>
              </w:rPr>
              <w:t>Фулминантен хепатит, чернодробна некроза, чернодробна недостатъчност</w:t>
            </w:r>
          </w:p>
        </w:tc>
      </w:tr>
      <w:tr w:rsidR="002C3E19" w14:paraId="318368DD" w14:textId="77777777" w:rsidTr="0070016B">
        <w:tc>
          <w:tcPr>
            <w:tcW w:w="9500" w:type="dxa"/>
            <w:gridSpan w:val="2"/>
          </w:tcPr>
          <w:p w14:paraId="4B69B64C" w14:textId="0E8F7C00" w:rsidR="002C3E19" w:rsidRPr="002C3E19" w:rsidRDefault="002C3E19" w:rsidP="00FF75A9">
            <w:pPr>
              <w:rPr>
                <w:rFonts w:eastAsia="Times New Roman" w:cs="Arial"/>
                <w:color w:val="000000"/>
                <w:u w:val="single"/>
                <w:lang w:eastAsia="bg-BG"/>
              </w:rPr>
            </w:pPr>
            <w:r w:rsidRPr="002C3E19">
              <w:rPr>
                <w:rFonts w:cs="Arial"/>
              </w:rPr>
              <w:t>Нарушения на кожата и подкожната тъкан</w:t>
            </w:r>
          </w:p>
        </w:tc>
      </w:tr>
      <w:tr w:rsidR="002C3E19" w14:paraId="7F54F123" w14:textId="77777777" w:rsidTr="00704479">
        <w:tc>
          <w:tcPr>
            <w:tcW w:w="4750" w:type="dxa"/>
            <w:vAlign w:val="bottom"/>
          </w:tcPr>
          <w:p w14:paraId="195AA54D" w14:textId="1C4BB93F" w:rsidR="002C3E19" w:rsidRPr="002C3E19" w:rsidRDefault="002C3E19" w:rsidP="002C3E19">
            <w:pPr>
              <w:rPr>
                <w:rFonts w:eastAsia="Times New Roman" w:cs="Arial"/>
                <w:color w:val="000000"/>
                <w:u w:val="single"/>
                <w:lang w:eastAsia="bg-BG"/>
              </w:rPr>
            </w:pPr>
            <w:r w:rsidRPr="002C3E19">
              <w:rPr>
                <w:rFonts w:cs="Arial"/>
              </w:rPr>
              <w:t>Чести:</w:t>
            </w:r>
          </w:p>
        </w:tc>
        <w:tc>
          <w:tcPr>
            <w:tcW w:w="4750" w:type="dxa"/>
            <w:vAlign w:val="bottom"/>
          </w:tcPr>
          <w:p w14:paraId="45844B98" w14:textId="200E5C23" w:rsidR="002C3E19" w:rsidRPr="002C3E19" w:rsidRDefault="002C3E19" w:rsidP="002C3E19">
            <w:pPr>
              <w:rPr>
                <w:rFonts w:eastAsia="Times New Roman" w:cs="Arial"/>
                <w:color w:val="000000"/>
                <w:u w:val="single"/>
                <w:lang w:eastAsia="bg-BG"/>
              </w:rPr>
            </w:pPr>
            <w:r w:rsidRPr="002C3E19">
              <w:rPr>
                <w:rFonts w:cs="Arial"/>
              </w:rPr>
              <w:t>Обрив</w:t>
            </w:r>
          </w:p>
        </w:tc>
      </w:tr>
      <w:tr w:rsidR="002C3E19" w14:paraId="723B81F0" w14:textId="77777777" w:rsidTr="00704479">
        <w:tc>
          <w:tcPr>
            <w:tcW w:w="4750" w:type="dxa"/>
            <w:vAlign w:val="bottom"/>
          </w:tcPr>
          <w:p w14:paraId="78B3D3A2" w14:textId="61F171AC" w:rsidR="002C3E19" w:rsidRPr="002C3E19" w:rsidRDefault="002C3E19" w:rsidP="002C3E19">
            <w:pPr>
              <w:rPr>
                <w:rFonts w:eastAsia="Times New Roman" w:cs="Arial"/>
                <w:color w:val="000000"/>
                <w:u w:val="single"/>
                <w:lang w:eastAsia="bg-BG"/>
              </w:rPr>
            </w:pPr>
            <w:r w:rsidRPr="002C3E19">
              <w:rPr>
                <w:rFonts w:cs="Arial"/>
              </w:rPr>
              <w:t>Редки:</w:t>
            </w:r>
          </w:p>
        </w:tc>
        <w:tc>
          <w:tcPr>
            <w:tcW w:w="4750" w:type="dxa"/>
            <w:vAlign w:val="bottom"/>
          </w:tcPr>
          <w:p w14:paraId="25CADAE0" w14:textId="06A2ADDA" w:rsidR="002C3E19" w:rsidRPr="002C3E19" w:rsidRDefault="002C3E19" w:rsidP="002C3E19">
            <w:pPr>
              <w:rPr>
                <w:rFonts w:eastAsia="Times New Roman" w:cs="Arial"/>
                <w:color w:val="000000"/>
                <w:u w:val="single"/>
                <w:lang w:eastAsia="bg-BG"/>
              </w:rPr>
            </w:pPr>
            <w:r w:rsidRPr="002C3E19">
              <w:rPr>
                <w:rFonts w:cs="Arial"/>
              </w:rPr>
              <w:t>Уртикария</w:t>
            </w:r>
          </w:p>
        </w:tc>
      </w:tr>
      <w:tr w:rsidR="002C3E19" w14:paraId="1C02FBB0" w14:textId="77777777" w:rsidTr="00704479">
        <w:tc>
          <w:tcPr>
            <w:tcW w:w="4750" w:type="dxa"/>
          </w:tcPr>
          <w:p w14:paraId="6FF4C7B9" w14:textId="29F439EC" w:rsidR="002C3E19" w:rsidRPr="002C3E19" w:rsidRDefault="002C3E19" w:rsidP="002C3E19">
            <w:pPr>
              <w:rPr>
                <w:rFonts w:eastAsia="Times New Roman" w:cs="Arial"/>
                <w:color w:val="000000"/>
                <w:u w:val="single"/>
                <w:lang w:eastAsia="bg-BG"/>
              </w:rPr>
            </w:pPr>
            <w:r w:rsidRPr="002C3E19">
              <w:rPr>
                <w:rFonts w:cs="Arial"/>
              </w:rPr>
              <w:t>Много редки:</w:t>
            </w:r>
          </w:p>
        </w:tc>
        <w:tc>
          <w:tcPr>
            <w:tcW w:w="4750" w:type="dxa"/>
            <w:vAlign w:val="bottom"/>
          </w:tcPr>
          <w:p w14:paraId="1C9F0802" w14:textId="195ECF47" w:rsidR="002C3E19" w:rsidRPr="002C3E19" w:rsidRDefault="002C3E19" w:rsidP="002C3E19">
            <w:pPr>
              <w:rPr>
                <w:rFonts w:eastAsia="Times New Roman" w:cs="Arial"/>
                <w:color w:val="000000"/>
                <w:u w:val="single"/>
                <w:lang w:eastAsia="bg-BG"/>
              </w:rPr>
            </w:pPr>
            <w:r w:rsidRPr="002C3E19">
              <w:rPr>
                <w:rFonts w:cs="Arial"/>
              </w:rPr>
              <w:t xml:space="preserve">Булозен дерматит, екзема, еритем, </w:t>
            </w:r>
            <w:r w:rsidRPr="002C3E19">
              <w:rPr>
                <w:rFonts w:cs="Arial"/>
                <w:lang w:val="en-US"/>
              </w:rPr>
              <w:t xml:space="preserve">erythema multiforme, </w:t>
            </w:r>
            <w:r w:rsidRPr="002C3E19">
              <w:rPr>
                <w:rFonts w:cs="Arial"/>
              </w:rPr>
              <w:t xml:space="preserve">синдром на </w:t>
            </w:r>
            <w:r w:rsidRPr="002C3E19">
              <w:rPr>
                <w:rFonts w:cs="Arial"/>
                <w:lang w:val="en-US"/>
              </w:rPr>
              <w:t xml:space="preserve">Stevens-Johnson, </w:t>
            </w:r>
            <w:r w:rsidRPr="002C3E19">
              <w:rPr>
                <w:rFonts w:cs="Arial"/>
              </w:rPr>
              <w:t xml:space="preserve">токсична епидермална некролиза (синдром на </w:t>
            </w:r>
            <w:r w:rsidRPr="002C3E19">
              <w:rPr>
                <w:rFonts w:cs="Arial"/>
                <w:lang w:val="en-US"/>
              </w:rPr>
              <w:t xml:space="preserve">Lyell), </w:t>
            </w:r>
            <w:r w:rsidRPr="002C3E19">
              <w:rPr>
                <w:rFonts w:cs="Arial"/>
              </w:rPr>
              <w:t xml:space="preserve">ексфолиативен дерматит, косопад, реакции на фоточувствителност, пурпура, пурпура на </w:t>
            </w:r>
            <w:proofErr w:type="spellStart"/>
            <w:r w:rsidRPr="002C3E19">
              <w:rPr>
                <w:rFonts w:cs="Arial"/>
                <w:lang w:val="en-US"/>
              </w:rPr>
              <w:t>Schonlein</w:t>
            </w:r>
            <w:proofErr w:type="spellEnd"/>
            <w:r w:rsidRPr="002C3E19">
              <w:rPr>
                <w:rFonts w:cs="Arial"/>
                <w:lang w:val="en-US"/>
              </w:rPr>
              <w:t xml:space="preserve">-Henoch, </w:t>
            </w:r>
            <w:r w:rsidRPr="002C3E19">
              <w:rPr>
                <w:rFonts w:cs="Arial"/>
              </w:rPr>
              <w:t>сърбеж</w:t>
            </w:r>
          </w:p>
        </w:tc>
      </w:tr>
      <w:tr w:rsidR="002C3E19" w14:paraId="5401D956" w14:textId="77777777" w:rsidTr="00F24844">
        <w:tc>
          <w:tcPr>
            <w:tcW w:w="9500" w:type="dxa"/>
            <w:gridSpan w:val="2"/>
          </w:tcPr>
          <w:p w14:paraId="3BDACD46" w14:textId="2B100713" w:rsidR="002C3E19" w:rsidRPr="002C3E19" w:rsidRDefault="002C3E19" w:rsidP="00FF75A9">
            <w:pPr>
              <w:rPr>
                <w:rFonts w:eastAsia="Times New Roman" w:cs="Arial"/>
                <w:color w:val="000000"/>
                <w:u w:val="single"/>
                <w:lang w:eastAsia="bg-BG"/>
              </w:rPr>
            </w:pPr>
            <w:r w:rsidRPr="002C3E19">
              <w:rPr>
                <w:rFonts w:cs="Arial"/>
              </w:rPr>
              <w:t>Нарушения на бъбреците и пикочните пътища</w:t>
            </w:r>
          </w:p>
        </w:tc>
      </w:tr>
      <w:tr w:rsidR="002C3E19" w14:paraId="58DD1D7B" w14:textId="77777777" w:rsidTr="00E072F1">
        <w:tc>
          <w:tcPr>
            <w:tcW w:w="4750" w:type="dxa"/>
          </w:tcPr>
          <w:p w14:paraId="65FB8916" w14:textId="4AE0C153" w:rsidR="002C3E19" w:rsidRPr="002C3E19" w:rsidRDefault="002C3E19" w:rsidP="002C3E19">
            <w:pPr>
              <w:rPr>
                <w:rFonts w:eastAsia="Times New Roman" w:cs="Arial"/>
                <w:color w:val="000000"/>
                <w:u w:val="single"/>
                <w:lang w:eastAsia="bg-BG"/>
              </w:rPr>
            </w:pPr>
            <w:r w:rsidRPr="002C3E19">
              <w:rPr>
                <w:rFonts w:cs="Arial"/>
              </w:rPr>
              <w:t>Много редки:</w:t>
            </w:r>
          </w:p>
        </w:tc>
        <w:tc>
          <w:tcPr>
            <w:tcW w:w="4750" w:type="dxa"/>
            <w:vAlign w:val="bottom"/>
          </w:tcPr>
          <w:p w14:paraId="7DC710D1" w14:textId="2B656C63" w:rsidR="002C3E19" w:rsidRPr="002C3E19" w:rsidRDefault="002C3E19" w:rsidP="002C3E19">
            <w:pPr>
              <w:rPr>
                <w:rFonts w:eastAsia="Times New Roman" w:cs="Arial"/>
                <w:color w:val="000000"/>
                <w:u w:val="single"/>
                <w:lang w:eastAsia="bg-BG"/>
              </w:rPr>
            </w:pPr>
            <w:r w:rsidRPr="002C3E19">
              <w:rPr>
                <w:rFonts w:cs="Arial"/>
              </w:rPr>
              <w:t>Остро бъбречно увреждане (остра бъбречна недостатъчност), хематурия, протеинурия, нефрозен синдром, тубулоинтерстициален нефрит, бъбречна папиларна некроза</w:t>
            </w:r>
          </w:p>
        </w:tc>
      </w:tr>
      <w:tr w:rsidR="002C3E19" w14:paraId="2426AB91" w14:textId="77777777" w:rsidTr="00041834">
        <w:tc>
          <w:tcPr>
            <w:tcW w:w="9500" w:type="dxa"/>
            <w:gridSpan w:val="2"/>
          </w:tcPr>
          <w:p w14:paraId="443AF06F" w14:textId="4886FA82" w:rsidR="002C3E19" w:rsidRPr="002C3E19" w:rsidRDefault="002C3E19" w:rsidP="00FF75A9">
            <w:pPr>
              <w:rPr>
                <w:rFonts w:eastAsia="Times New Roman" w:cs="Arial"/>
                <w:color w:val="000000"/>
                <w:u w:val="single"/>
                <w:lang w:eastAsia="bg-BG"/>
              </w:rPr>
            </w:pPr>
            <w:r w:rsidRPr="002C3E19">
              <w:rPr>
                <w:rFonts w:cs="Arial"/>
              </w:rPr>
              <w:t>Общи нарушения н ефекти на мястото на приложение</w:t>
            </w:r>
          </w:p>
        </w:tc>
      </w:tr>
      <w:tr w:rsidR="002C3E19" w14:paraId="05AAE6E1" w14:textId="77777777" w:rsidTr="001A50E9">
        <w:tc>
          <w:tcPr>
            <w:tcW w:w="4750" w:type="dxa"/>
            <w:vAlign w:val="bottom"/>
          </w:tcPr>
          <w:p w14:paraId="7A9099F6" w14:textId="4DCE58F7" w:rsidR="002C3E19" w:rsidRPr="002C3E19" w:rsidRDefault="002C3E19" w:rsidP="002C3E19">
            <w:pPr>
              <w:rPr>
                <w:rFonts w:eastAsia="Times New Roman" w:cs="Arial"/>
                <w:color w:val="000000"/>
                <w:u w:val="single"/>
                <w:lang w:eastAsia="bg-BG"/>
              </w:rPr>
            </w:pPr>
            <w:r w:rsidRPr="002C3E19">
              <w:rPr>
                <w:rFonts w:cs="Arial"/>
              </w:rPr>
              <w:t>Чести</w:t>
            </w:r>
          </w:p>
        </w:tc>
        <w:tc>
          <w:tcPr>
            <w:tcW w:w="4750" w:type="dxa"/>
            <w:vAlign w:val="bottom"/>
          </w:tcPr>
          <w:p w14:paraId="186F6CBA" w14:textId="0037D101" w:rsidR="002C3E19" w:rsidRPr="002C3E19" w:rsidRDefault="002C3E19" w:rsidP="002C3E19">
            <w:pPr>
              <w:rPr>
                <w:rFonts w:eastAsia="Times New Roman" w:cs="Arial"/>
                <w:color w:val="000000"/>
                <w:u w:val="single"/>
                <w:lang w:eastAsia="bg-BG"/>
              </w:rPr>
            </w:pPr>
            <w:r w:rsidRPr="002C3E19">
              <w:rPr>
                <w:rFonts w:cs="Arial"/>
              </w:rPr>
              <w:t>Раздразнение в мястото на приложение</w:t>
            </w:r>
          </w:p>
        </w:tc>
      </w:tr>
      <w:tr w:rsidR="002C3E19" w14:paraId="33F44751" w14:textId="77777777" w:rsidTr="002C3E19">
        <w:tc>
          <w:tcPr>
            <w:tcW w:w="4750" w:type="dxa"/>
          </w:tcPr>
          <w:p w14:paraId="0867E7E9" w14:textId="7859BB99" w:rsidR="002C3E19" w:rsidRPr="002C3E19" w:rsidRDefault="002C3E19" w:rsidP="002C3E19">
            <w:pPr>
              <w:rPr>
                <w:rFonts w:eastAsia="Times New Roman" w:cs="Arial"/>
                <w:color w:val="000000"/>
                <w:u w:val="single"/>
                <w:lang w:eastAsia="bg-BG"/>
              </w:rPr>
            </w:pPr>
            <w:r w:rsidRPr="002C3E19">
              <w:rPr>
                <w:rFonts w:cs="Arial"/>
              </w:rPr>
              <w:t>Редки:</w:t>
            </w:r>
          </w:p>
        </w:tc>
        <w:tc>
          <w:tcPr>
            <w:tcW w:w="4750" w:type="dxa"/>
          </w:tcPr>
          <w:p w14:paraId="15388288" w14:textId="257ECB2E" w:rsidR="002C3E19" w:rsidRPr="002C3E19" w:rsidRDefault="002C3E19" w:rsidP="002C3E19">
            <w:pPr>
              <w:rPr>
                <w:rFonts w:eastAsia="Times New Roman" w:cs="Arial"/>
                <w:color w:val="000000"/>
                <w:u w:val="single"/>
                <w:lang w:eastAsia="bg-BG"/>
              </w:rPr>
            </w:pPr>
            <w:r w:rsidRPr="002C3E19">
              <w:rPr>
                <w:rFonts w:cs="Arial"/>
              </w:rPr>
              <w:t>Оток</w:t>
            </w:r>
          </w:p>
        </w:tc>
      </w:tr>
    </w:tbl>
    <w:p w14:paraId="5B71961B" w14:textId="77777777" w:rsidR="002C3E19" w:rsidRPr="002C3E19" w:rsidRDefault="002C3E19" w:rsidP="002C3E19">
      <w:pPr>
        <w:spacing w:line="240" w:lineRule="auto"/>
        <w:rPr>
          <w:rFonts w:eastAsia="Times New Roman" w:cs="Arial"/>
          <w:lang w:eastAsia="bg-BG"/>
        </w:rPr>
      </w:pPr>
      <w:r w:rsidRPr="002C3E19">
        <w:rPr>
          <w:rFonts w:eastAsia="Times New Roman" w:cs="Arial"/>
          <w:color w:val="000000"/>
          <w:lang w:eastAsia="bg-BG"/>
        </w:rPr>
        <w:t xml:space="preserve">* Честотата отразява данни от продължително лечение с високи дози (150 </w:t>
      </w:r>
      <w:r w:rsidRPr="002C3E19">
        <w:rPr>
          <w:rFonts w:eastAsia="Times New Roman" w:cs="Arial"/>
          <w:color w:val="000000"/>
          <w:lang w:val="en-US"/>
        </w:rPr>
        <w:t xml:space="preserve">mg </w:t>
      </w:r>
      <w:r w:rsidRPr="002C3E19">
        <w:rPr>
          <w:rFonts w:eastAsia="Times New Roman" w:cs="Arial"/>
          <w:color w:val="000000"/>
          <w:lang w:eastAsia="bg-BG"/>
        </w:rPr>
        <w:t>дневно).</w:t>
      </w:r>
    </w:p>
    <w:p w14:paraId="2C81D7EC" w14:textId="77777777" w:rsidR="002C3E19" w:rsidRPr="002C3E19" w:rsidRDefault="002C3E19" w:rsidP="002C3E19">
      <w:pPr>
        <w:spacing w:line="240" w:lineRule="auto"/>
        <w:rPr>
          <w:rFonts w:eastAsia="Times New Roman" w:cs="Arial"/>
          <w:color w:val="000000"/>
          <w:lang w:eastAsia="bg-BG"/>
        </w:rPr>
      </w:pPr>
    </w:p>
    <w:p w14:paraId="2F9868F8" w14:textId="10551E8E" w:rsidR="002C3E19" w:rsidRPr="002C3E19" w:rsidRDefault="002C3E19" w:rsidP="002C3E19">
      <w:pPr>
        <w:spacing w:line="240" w:lineRule="auto"/>
        <w:rPr>
          <w:rFonts w:eastAsia="Times New Roman" w:cs="Arial"/>
          <w:lang w:eastAsia="bg-BG"/>
        </w:rPr>
      </w:pPr>
      <w:r w:rsidRPr="002C3E19">
        <w:rPr>
          <w:rFonts w:eastAsia="Times New Roman" w:cs="Arial"/>
          <w:color w:val="000000"/>
          <w:lang w:eastAsia="bg-BG"/>
        </w:rPr>
        <w:t>Описание на избрани нежелани лекарствени реакции</w:t>
      </w:r>
    </w:p>
    <w:p w14:paraId="3943D9BE" w14:textId="77777777" w:rsidR="002C3E19" w:rsidRPr="002C3E19" w:rsidRDefault="002C3E19" w:rsidP="002C3E19">
      <w:pPr>
        <w:spacing w:line="240" w:lineRule="auto"/>
        <w:rPr>
          <w:rFonts w:eastAsia="Times New Roman" w:cs="Arial"/>
          <w:color w:val="000000"/>
          <w:lang w:eastAsia="bg-BG"/>
        </w:rPr>
      </w:pPr>
    </w:p>
    <w:p w14:paraId="04FFBFCC" w14:textId="5A5CE82D" w:rsidR="002C3E19" w:rsidRPr="002C3E19" w:rsidRDefault="002C3E19" w:rsidP="002C3E19">
      <w:pPr>
        <w:spacing w:line="240" w:lineRule="auto"/>
        <w:rPr>
          <w:rFonts w:eastAsia="Times New Roman" w:cs="Arial"/>
          <w:lang w:eastAsia="bg-BG"/>
        </w:rPr>
      </w:pPr>
      <w:r w:rsidRPr="002C3E19">
        <w:rPr>
          <w:rFonts w:eastAsia="Times New Roman" w:cs="Arial"/>
          <w:color w:val="000000"/>
          <w:lang w:eastAsia="bg-BG"/>
        </w:rPr>
        <w:t>Атеротромботичнн събития</w:t>
      </w:r>
    </w:p>
    <w:p w14:paraId="626DB672" w14:textId="0C454444" w:rsidR="002C3E19" w:rsidRPr="002C3E19" w:rsidRDefault="002C3E19" w:rsidP="002C3E19">
      <w:pPr>
        <w:spacing w:line="240" w:lineRule="auto"/>
        <w:rPr>
          <w:rFonts w:eastAsia="Times New Roman" w:cs="Arial"/>
          <w:lang w:eastAsia="bg-BG"/>
        </w:rPr>
      </w:pPr>
      <w:r w:rsidRPr="002C3E19">
        <w:rPr>
          <w:rFonts w:eastAsia="Times New Roman" w:cs="Arial"/>
          <w:color w:val="000000"/>
          <w:lang w:eastAsia="bg-BG"/>
        </w:rPr>
        <w:lastRenderedPageBreak/>
        <w:t xml:space="preserve">Фармакоепидемиологичните данни и тези от мета-анализа сочат за леко повишаване на риска от атеротромботични събития (например инфаркт на миокарда) свързани с употребата на диклофенак, особено при високи дози (150 </w:t>
      </w:r>
      <w:r w:rsidRPr="002C3E19">
        <w:rPr>
          <w:rFonts w:eastAsia="Times New Roman" w:cs="Arial"/>
          <w:color w:val="000000"/>
          <w:lang w:val="en-US"/>
        </w:rPr>
        <w:t xml:space="preserve">mg </w:t>
      </w:r>
      <w:r w:rsidRPr="002C3E19">
        <w:rPr>
          <w:rFonts w:eastAsia="Times New Roman" w:cs="Arial"/>
          <w:color w:val="000000"/>
          <w:lang w:eastAsia="bg-BG"/>
        </w:rPr>
        <w:t>дневно) и по време на продължително лечение (вж. т. 4.4 Специални предупреждения и предпазни мерки при употреба).</w:t>
      </w:r>
    </w:p>
    <w:p w14:paraId="3BF7405F" w14:textId="77777777" w:rsidR="002C3E19" w:rsidRDefault="002C3E19" w:rsidP="002C3E19">
      <w:pPr>
        <w:spacing w:line="240" w:lineRule="auto"/>
        <w:rPr>
          <w:rFonts w:eastAsia="Times New Roman" w:cs="Arial"/>
          <w:color w:val="000000"/>
          <w:lang w:eastAsia="bg-BG"/>
        </w:rPr>
      </w:pPr>
    </w:p>
    <w:p w14:paraId="25FD1C3E" w14:textId="34B5C299" w:rsidR="002C3E19" w:rsidRPr="002C3E19" w:rsidRDefault="002C3E19" w:rsidP="002C3E19">
      <w:pPr>
        <w:spacing w:line="240" w:lineRule="auto"/>
        <w:rPr>
          <w:rFonts w:eastAsia="Times New Roman" w:cs="Arial"/>
          <w:lang w:eastAsia="bg-BG"/>
        </w:rPr>
      </w:pPr>
      <w:r w:rsidRPr="002C3E19">
        <w:rPr>
          <w:rFonts w:eastAsia="Times New Roman" w:cs="Arial"/>
          <w:color w:val="000000"/>
          <w:lang w:eastAsia="bg-BG"/>
        </w:rPr>
        <w:t>Визуални ефекти</w:t>
      </w:r>
    </w:p>
    <w:p w14:paraId="7A312E6B" w14:textId="77777777" w:rsidR="002C3E19" w:rsidRPr="002C3E19" w:rsidRDefault="002C3E19" w:rsidP="002C3E19">
      <w:pPr>
        <w:spacing w:line="240" w:lineRule="auto"/>
        <w:rPr>
          <w:rFonts w:eastAsia="Times New Roman" w:cs="Arial"/>
          <w:lang w:eastAsia="bg-BG"/>
        </w:rPr>
      </w:pPr>
      <w:r w:rsidRPr="002C3E19">
        <w:rPr>
          <w:rFonts w:eastAsia="Times New Roman" w:cs="Arial"/>
          <w:color w:val="000000"/>
          <w:lang w:eastAsia="bg-BG"/>
        </w:rPr>
        <w:t>Визуалните смущения като зрително увреждане, замъглено зрение или диплопия изглеждат ефекти на класа на НСПВС и обикновено са обратими при преустановяване на лечението. Вероятният механизъм за зрителни смущения е инхибирането на синтеза на простагландини и други свързани съединения, които променят регулирането на кръвния ток на ретината, което води до потенциални промени в зрението. Ако такива симптоми се проявят по време на лечението с диклофенак е добре да се обмисли офталмологичното изследване, за да се изключат други причини.</w:t>
      </w:r>
    </w:p>
    <w:p w14:paraId="10CB6FF8" w14:textId="77777777" w:rsidR="002C3E19" w:rsidRPr="002C3E19" w:rsidRDefault="002C3E19" w:rsidP="002C3E19">
      <w:pPr>
        <w:spacing w:line="240" w:lineRule="auto"/>
        <w:rPr>
          <w:rFonts w:eastAsia="Times New Roman" w:cs="Arial"/>
          <w:color w:val="000000"/>
          <w:lang w:eastAsia="bg-BG"/>
        </w:rPr>
      </w:pPr>
    </w:p>
    <w:p w14:paraId="4BCEAC0B" w14:textId="7B052E3A" w:rsidR="002C3E19" w:rsidRPr="002C3E19" w:rsidRDefault="002C3E19" w:rsidP="002C3E19">
      <w:pPr>
        <w:spacing w:line="240" w:lineRule="auto"/>
        <w:rPr>
          <w:rFonts w:eastAsia="Times New Roman" w:cs="Arial"/>
          <w:lang w:eastAsia="bg-BG"/>
        </w:rPr>
      </w:pPr>
      <w:r w:rsidRPr="002C3E19">
        <w:rPr>
          <w:rFonts w:eastAsia="Times New Roman" w:cs="Arial"/>
          <w:color w:val="000000"/>
          <w:lang w:eastAsia="bg-BG"/>
        </w:rPr>
        <w:t>Съобщаване на подозирани нежелани реакции</w:t>
      </w:r>
    </w:p>
    <w:p w14:paraId="52AAEE7F" w14:textId="77777777" w:rsidR="002C3E19" w:rsidRPr="002C3E19" w:rsidRDefault="002C3E19" w:rsidP="002C3E19">
      <w:pPr>
        <w:spacing w:line="240" w:lineRule="auto"/>
        <w:rPr>
          <w:rFonts w:eastAsia="Times New Roman" w:cs="Arial"/>
          <w:lang w:eastAsia="bg-BG"/>
        </w:rPr>
      </w:pPr>
      <w:r w:rsidRPr="002C3E19">
        <w:rPr>
          <w:rFonts w:eastAsia="Times New Roman" w:cs="Arial"/>
          <w:color w:val="000000"/>
          <w:lang w:eastAsia="bg-BG"/>
        </w:rPr>
        <w:t>Съобщаването на подозирани нежелани реакции след разрешаване за употреба на лекарствения</w:t>
      </w:r>
    </w:p>
    <w:p w14:paraId="6EB9E119" w14:textId="028C6970" w:rsidR="00FF75A9" w:rsidRPr="002C3E19" w:rsidRDefault="002C3E19" w:rsidP="002C3E19">
      <w:pPr>
        <w:rPr>
          <w:rFonts w:eastAsia="Times New Roman" w:cs="Arial"/>
          <w:color w:val="000000"/>
          <w:lang w:eastAsia="bg-BG"/>
        </w:rPr>
      </w:pPr>
      <w:r w:rsidRPr="002C3E19">
        <w:rPr>
          <w:rFonts w:eastAsia="Times New Roman" w:cs="Arial"/>
          <w:color w:val="000000"/>
          <w:lang w:eastAsia="bg-BG"/>
        </w:rPr>
        <w:t>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w:t>
      </w:r>
    </w:p>
    <w:p w14:paraId="13EC2C06" w14:textId="77777777" w:rsidR="002C3E19" w:rsidRPr="002C3E19" w:rsidRDefault="002C3E19" w:rsidP="002C3E19">
      <w:pPr>
        <w:rPr>
          <w:rFonts w:eastAsia="Times New Roman" w:cs="Arial"/>
          <w:color w:val="000000"/>
          <w:lang w:eastAsia="bg-BG"/>
        </w:rPr>
      </w:pPr>
    </w:p>
    <w:p w14:paraId="62035543" w14:textId="77777777" w:rsidR="002C3E19" w:rsidRPr="002C3E19" w:rsidRDefault="002C3E19" w:rsidP="002C3E19">
      <w:pPr>
        <w:spacing w:line="240" w:lineRule="auto"/>
        <w:rPr>
          <w:rFonts w:eastAsia="Times New Roman" w:cs="Arial"/>
          <w:lang w:eastAsia="bg-BG"/>
        </w:rPr>
      </w:pPr>
      <w:r w:rsidRPr="002C3E19">
        <w:rPr>
          <w:rFonts w:eastAsia="Times New Roman" w:cs="Arial"/>
          <w:color w:val="000000"/>
          <w:lang w:eastAsia="bg-BG"/>
        </w:rPr>
        <w:t>Изпълнителна агенция по лекарствата</w:t>
      </w:r>
    </w:p>
    <w:p w14:paraId="34EAC7E1" w14:textId="77777777" w:rsidR="002C3E19" w:rsidRPr="002C3E19" w:rsidRDefault="002C3E19" w:rsidP="002C3E19">
      <w:pPr>
        <w:spacing w:line="240" w:lineRule="auto"/>
        <w:rPr>
          <w:rFonts w:eastAsia="Times New Roman" w:cs="Arial"/>
          <w:lang w:eastAsia="bg-BG"/>
        </w:rPr>
      </w:pPr>
      <w:r w:rsidRPr="002C3E19">
        <w:rPr>
          <w:rFonts w:eastAsia="Times New Roman" w:cs="Arial"/>
          <w:color w:val="000000"/>
          <w:lang w:eastAsia="bg-BG"/>
        </w:rPr>
        <w:t>ул.,Дамян Груев” № 8</w:t>
      </w:r>
    </w:p>
    <w:p w14:paraId="2E02C2BA" w14:textId="77777777" w:rsidR="002C3E19" w:rsidRPr="002C3E19" w:rsidRDefault="002C3E19" w:rsidP="002C3E19">
      <w:pPr>
        <w:spacing w:line="240" w:lineRule="auto"/>
        <w:rPr>
          <w:rFonts w:eastAsia="Times New Roman" w:cs="Arial"/>
          <w:lang w:eastAsia="bg-BG"/>
        </w:rPr>
      </w:pPr>
      <w:r w:rsidRPr="002C3E19">
        <w:rPr>
          <w:rFonts w:eastAsia="Times New Roman" w:cs="Arial"/>
          <w:color w:val="000000"/>
          <w:lang w:eastAsia="bg-BG"/>
        </w:rPr>
        <w:t>1303 София</w:t>
      </w:r>
    </w:p>
    <w:p w14:paraId="3AF5380E" w14:textId="77777777" w:rsidR="002C3E19" w:rsidRPr="002C3E19" w:rsidRDefault="002C3E19" w:rsidP="002C3E19">
      <w:pPr>
        <w:spacing w:line="240" w:lineRule="auto"/>
        <w:rPr>
          <w:rFonts w:eastAsia="Times New Roman" w:cs="Arial"/>
          <w:lang w:eastAsia="bg-BG"/>
        </w:rPr>
      </w:pPr>
      <w:r w:rsidRPr="002C3E19">
        <w:rPr>
          <w:rFonts w:eastAsia="Times New Roman" w:cs="Arial"/>
          <w:color w:val="000000"/>
          <w:lang w:eastAsia="bg-BG"/>
        </w:rPr>
        <w:t>Тел.:+359 2 8903417</w:t>
      </w:r>
    </w:p>
    <w:p w14:paraId="4CDEAFDA" w14:textId="034DF043" w:rsidR="002C3E19" w:rsidRPr="002C3E19" w:rsidRDefault="002C3E19" w:rsidP="002C3E19">
      <w:pPr>
        <w:spacing w:line="240" w:lineRule="auto"/>
        <w:rPr>
          <w:rFonts w:eastAsia="Times New Roman" w:cs="Arial"/>
          <w:lang w:eastAsia="bg-BG"/>
        </w:rPr>
      </w:pPr>
      <w:r w:rsidRPr="002C3E19">
        <w:rPr>
          <w:rFonts w:eastAsia="Times New Roman" w:cs="Arial"/>
          <w:color w:val="000000"/>
          <w:lang w:eastAsia="bg-BG"/>
        </w:rPr>
        <w:t xml:space="preserve">уебсайт: </w:t>
      </w:r>
      <w:hyperlink r:id="rId5" w:history="1">
        <w:r w:rsidRPr="002C3E19">
          <w:rPr>
            <w:rFonts w:eastAsia="Times New Roman" w:cs="Arial"/>
            <w:color w:val="000000"/>
            <w:u w:val="single"/>
            <w:lang w:val="en-US"/>
          </w:rPr>
          <w:t>www.bda.bg</w:t>
        </w:r>
      </w:hyperlink>
    </w:p>
    <w:p w14:paraId="071322D2" w14:textId="77777777" w:rsidR="00FF75A9" w:rsidRPr="00FF75A9" w:rsidRDefault="00FF75A9" w:rsidP="00FF75A9"/>
    <w:p w14:paraId="378A0F20" w14:textId="65582394" w:rsidR="001D095A" w:rsidRDefault="002C50EE" w:rsidP="00340E8D">
      <w:pPr>
        <w:pStyle w:val="Heading2"/>
      </w:pPr>
      <w:r>
        <w:t>4.9. Предозиране</w:t>
      </w:r>
    </w:p>
    <w:p w14:paraId="59FDDC33" w14:textId="77777777" w:rsidR="002C3E19" w:rsidRDefault="002C3E19" w:rsidP="002C3E19"/>
    <w:p w14:paraId="6AEC6DBD" w14:textId="77777777" w:rsidR="002C3E19" w:rsidRPr="002C3E19" w:rsidRDefault="002C3E19" w:rsidP="002C3E19">
      <w:pPr>
        <w:spacing w:line="240" w:lineRule="auto"/>
        <w:rPr>
          <w:rFonts w:eastAsia="Times New Roman" w:cs="Arial"/>
          <w:sz w:val="36"/>
          <w:szCs w:val="36"/>
          <w:lang w:eastAsia="bg-BG"/>
        </w:rPr>
      </w:pPr>
      <w:r w:rsidRPr="002C3E19">
        <w:rPr>
          <w:rFonts w:eastAsia="Times New Roman" w:cs="Arial"/>
          <w:color w:val="000000"/>
          <w:lang w:eastAsia="bg-BG"/>
        </w:rPr>
        <w:t>Симптоми</w:t>
      </w:r>
    </w:p>
    <w:p w14:paraId="0B3AD96F" w14:textId="77777777" w:rsidR="002C3E19" w:rsidRPr="002C3E19" w:rsidRDefault="002C3E19" w:rsidP="002C3E19">
      <w:pPr>
        <w:spacing w:line="240" w:lineRule="auto"/>
        <w:rPr>
          <w:rFonts w:eastAsia="Times New Roman" w:cs="Arial"/>
          <w:sz w:val="36"/>
          <w:szCs w:val="36"/>
          <w:lang w:eastAsia="bg-BG"/>
        </w:rPr>
      </w:pPr>
      <w:r w:rsidRPr="002C3E19">
        <w:rPr>
          <w:rFonts w:eastAsia="Times New Roman" w:cs="Arial"/>
          <w:color w:val="000000"/>
          <w:lang w:eastAsia="bg-BG"/>
        </w:rPr>
        <w:t>Няма типична клинична картина, асоциирана с предозиране на диклофенак. Предозирането може да предизвика симптоми като: повръщане, стомашно-чревно кървене, диария, замаяност, тинитус или гърчове. В случай на значимо отравяне е възможно да настъпят остра бъбречна недостатъчност и чернодробно увреждане.</w:t>
      </w:r>
    </w:p>
    <w:p w14:paraId="13D489BF" w14:textId="77777777" w:rsidR="002C3E19" w:rsidRPr="002C3E19" w:rsidRDefault="002C3E19" w:rsidP="002C3E19">
      <w:pPr>
        <w:spacing w:line="240" w:lineRule="auto"/>
        <w:rPr>
          <w:rFonts w:eastAsia="Times New Roman" w:cs="Arial"/>
          <w:color w:val="000000"/>
          <w:lang w:eastAsia="bg-BG"/>
        </w:rPr>
      </w:pPr>
    </w:p>
    <w:p w14:paraId="6BB42ED8" w14:textId="778A6869" w:rsidR="002C3E19" w:rsidRPr="002C3E19" w:rsidRDefault="002C3E19" w:rsidP="002C3E19">
      <w:pPr>
        <w:spacing w:line="240" w:lineRule="auto"/>
        <w:rPr>
          <w:rFonts w:eastAsia="Times New Roman" w:cs="Arial"/>
          <w:sz w:val="36"/>
          <w:szCs w:val="36"/>
          <w:lang w:eastAsia="bg-BG"/>
        </w:rPr>
      </w:pPr>
      <w:r w:rsidRPr="002C3E19">
        <w:rPr>
          <w:rFonts w:eastAsia="Times New Roman" w:cs="Arial"/>
          <w:color w:val="000000"/>
          <w:lang w:eastAsia="bg-BG"/>
        </w:rPr>
        <w:t>Терапевтични мерки</w:t>
      </w:r>
    </w:p>
    <w:p w14:paraId="7A760528" w14:textId="77777777" w:rsidR="002C3E19" w:rsidRPr="002C3E19" w:rsidRDefault="002C3E19" w:rsidP="002C3E19">
      <w:pPr>
        <w:spacing w:line="240" w:lineRule="auto"/>
        <w:rPr>
          <w:rFonts w:eastAsia="Times New Roman" w:cs="Arial"/>
          <w:sz w:val="36"/>
          <w:szCs w:val="36"/>
          <w:lang w:eastAsia="bg-BG"/>
        </w:rPr>
      </w:pPr>
      <w:r w:rsidRPr="002C3E19">
        <w:rPr>
          <w:rFonts w:eastAsia="Times New Roman" w:cs="Arial"/>
          <w:color w:val="000000"/>
          <w:lang w:eastAsia="bg-BG"/>
        </w:rPr>
        <w:t>Лечението на острото отравяне с НСПВС, включително диклофенак, включва главно поддържащи мерки и симптоматично лечение. За усложнения като хипотония, бъбречна недостатъчност, гърчове, стомашно-чревни нарушения и подтискане на дишането се прилагат поддържащи мерки и симптоматично лечение.</w:t>
      </w:r>
    </w:p>
    <w:p w14:paraId="4C9DD3C0" w14:textId="77777777" w:rsidR="002C3E19" w:rsidRPr="002C3E19" w:rsidRDefault="002C3E19" w:rsidP="002C3E19">
      <w:pPr>
        <w:rPr>
          <w:rFonts w:eastAsia="Times New Roman" w:cs="Arial"/>
          <w:color w:val="000000"/>
          <w:lang w:eastAsia="bg-BG"/>
        </w:rPr>
      </w:pPr>
    </w:p>
    <w:p w14:paraId="373764B4" w14:textId="5BB512C4" w:rsidR="002C3E19" w:rsidRPr="002C3E19" w:rsidRDefault="002C3E19" w:rsidP="002C3E19">
      <w:pPr>
        <w:rPr>
          <w:rFonts w:cs="Arial"/>
          <w:sz w:val="32"/>
          <w:szCs w:val="32"/>
        </w:rPr>
      </w:pPr>
      <w:r w:rsidRPr="002C3E19">
        <w:rPr>
          <w:rFonts w:eastAsia="Times New Roman" w:cs="Arial"/>
          <w:color w:val="000000"/>
          <w:lang w:eastAsia="bg-BG"/>
        </w:rPr>
        <w:t>Малко вероятно е специални мерки като форсирана диуреза, диализа или хемоперфузия да помогнат за елиминиране на НСПВС, включително диклофенак, тъй като степента на тяхното свързване с протеините е висока и метаболизмът им е екстензивен.</w:t>
      </w:r>
    </w:p>
    <w:p w14:paraId="02081B24" w14:textId="36FE76F4" w:rsidR="00395555" w:rsidRPr="00395555" w:rsidRDefault="002C50EE" w:rsidP="008A6AF2">
      <w:pPr>
        <w:pStyle w:val="Heading1"/>
      </w:pPr>
      <w:r>
        <w:lastRenderedPageBreak/>
        <w:t>5. ФАРМАКОЛОГИЧНИ СВОЙСТВА</w:t>
      </w:r>
    </w:p>
    <w:p w14:paraId="7F6CC5E1" w14:textId="38E92AEC" w:rsidR="00F62E44" w:rsidRDefault="002C50EE" w:rsidP="00387A66">
      <w:pPr>
        <w:pStyle w:val="Heading2"/>
      </w:pPr>
      <w:r>
        <w:t>5.1. Фармакодинамични свойства</w:t>
      </w:r>
    </w:p>
    <w:p w14:paraId="64E25409" w14:textId="77777777" w:rsidR="002C3E19" w:rsidRDefault="002C3E19" w:rsidP="002C3E19"/>
    <w:p w14:paraId="0FF3BDAE" w14:textId="77777777" w:rsidR="002C3E19" w:rsidRPr="002C3E19" w:rsidRDefault="002C3E19" w:rsidP="002C3E19">
      <w:pPr>
        <w:spacing w:line="240" w:lineRule="auto"/>
        <w:rPr>
          <w:rFonts w:eastAsia="Times New Roman" w:cs="Arial"/>
          <w:sz w:val="36"/>
          <w:szCs w:val="36"/>
          <w:lang w:eastAsia="bg-BG"/>
        </w:rPr>
      </w:pPr>
      <w:r w:rsidRPr="002C3E19">
        <w:rPr>
          <w:rFonts w:eastAsia="Times New Roman" w:cs="Arial"/>
          <w:color w:val="000000"/>
          <w:lang w:eastAsia="bg-BG"/>
        </w:rPr>
        <w:t>Фармакотерапевтична група</w:t>
      </w:r>
    </w:p>
    <w:p w14:paraId="14C0845F" w14:textId="77777777" w:rsidR="002C3E19" w:rsidRPr="002C3E19" w:rsidRDefault="002C3E19" w:rsidP="002C3E19">
      <w:pPr>
        <w:spacing w:line="240" w:lineRule="auto"/>
        <w:rPr>
          <w:rFonts w:eastAsia="Times New Roman" w:cs="Arial"/>
          <w:sz w:val="36"/>
          <w:szCs w:val="36"/>
          <w:lang w:eastAsia="bg-BG"/>
        </w:rPr>
      </w:pPr>
      <w:r w:rsidRPr="002C3E19">
        <w:rPr>
          <w:rFonts w:eastAsia="Times New Roman" w:cs="Arial"/>
          <w:color w:val="000000"/>
          <w:lang w:eastAsia="bg-BG"/>
        </w:rPr>
        <w:t>Противовъзпалителни и противоревматични продукти, нестероидни, производни на оцетната киселина и сродни вещества (АТС код: М01А В05).</w:t>
      </w:r>
    </w:p>
    <w:p w14:paraId="05E743B8" w14:textId="77777777" w:rsidR="002C3E19" w:rsidRPr="002C3E19" w:rsidRDefault="002C3E19" w:rsidP="002C3E19">
      <w:pPr>
        <w:spacing w:line="240" w:lineRule="auto"/>
        <w:rPr>
          <w:rFonts w:eastAsia="Times New Roman" w:cs="Arial"/>
          <w:color w:val="000000"/>
          <w:lang w:eastAsia="bg-BG"/>
        </w:rPr>
      </w:pPr>
    </w:p>
    <w:p w14:paraId="38A2E0EB" w14:textId="62197696" w:rsidR="002C3E19" w:rsidRPr="002C3E19" w:rsidRDefault="002C3E19" w:rsidP="002C3E19">
      <w:pPr>
        <w:spacing w:line="240" w:lineRule="auto"/>
        <w:rPr>
          <w:rFonts w:eastAsia="Times New Roman" w:cs="Arial"/>
          <w:sz w:val="36"/>
          <w:szCs w:val="36"/>
          <w:lang w:eastAsia="bg-BG"/>
        </w:rPr>
      </w:pPr>
      <w:r w:rsidRPr="002C3E19">
        <w:rPr>
          <w:rFonts w:eastAsia="Times New Roman" w:cs="Arial"/>
          <w:color w:val="000000"/>
          <w:lang w:eastAsia="bg-BG"/>
        </w:rPr>
        <w:t>Механизъм на действие</w:t>
      </w:r>
    </w:p>
    <w:p w14:paraId="5B9B57E2" w14:textId="77777777" w:rsidR="002C3E19" w:rsidRPr="002C3E19" w:rsidRDefault="002C3E19" w:rsidP="002C3E19">
      <w:pPr>
        <w:spacing w:line="240" w:lineRule="auto"/>
        <w:rPr>
          <w:rFonts w:eastAsia="Times New Roman" w:cs="Arial"/>
          <w:sz w:val="36"/>
          <w:szCs w:val="36"/>
          <w:lang w:eastAsia="bg-BG"/>
        </w:rPr>
      </w:pPr>
      <w:r w:rsidRPr="002C3E19">
        <w:rPr>
          <w:rFonts w:eastAsia="Times New Roman" w:cs="Arial"/>
          <w:color w:val="000000"/>
          <w:lang w:eastAsia="bg-BG"/>
        </w:rPr>
        <w:t>Волтарен съдържа диклофенак натрий, нестероидно вещество с изразени антиревматични, противовъзпалителни, аналгетични и анти-пиретични свойства. За основен механизъм на действие се счита инхибирането на простагландиновата синтеза, което е демонстрирано експериментално. Простагландините играят основна роля в процесите на възпаление, болка и повишаване на температурата.</w:t>
      </w:r>
    </w:p>
    <w:p w14:paraId="4EBEC93F" w14:textId="77777777" w:rsidR="002C3E19" w:rsidRPr="002C3E19" w:rsidRDefault="002C3E19" w:rsidP="002C3E19">
      <w:pPr>
        <w:spacing w:line="240" w:lineRule="auto"/>
        <w:rPr>
          <w:rFonts w:eastAsia="Times New Roman" w:cs="Arial"/>
          <w:i/>
          <w:iCs/>
          <w:color w:val="000000"/>
          <w:lang w:val="en-US"/>
        </w:rPr>
      </w:pPr>
    </w:p>
    <w:p w14:paraId="71876200" w14:textId="141D9A8D" w:rsidR="002C3E19" w:rsidRPr="002C3E19" w:rsidRDefault="002C3E19" w:rsidP="002C3E19">
      <w:pPr>
        <w:spacing w:line="240" w:lineRule="auto"/>
        <w:rPr>
          <w:rFonts w:eastAsia="Times New Roman" w:cs="Arial"/>
          <w:sz w:val="36"/>
          <w:szCs w:val="36"/>
          <w:lang w:eastAsia="bg-BG"/>
        </w:rPr>
      </w:pPr>
      <w:r w:rsidRPr="002C3E19">
        <w:rPr>
          <w:rFonts w:eastAsia="Times New Roman" w:cs="Arial"/>
          <w:i/>
          <w:iCs/>
          <w:color w:val="000000"/>
          <w:lang w:val="en-US"/>
        </w:rPr>
        <w:t>In vitro</w:t>
      </w:r>
      <w:r w:rsidRPr="002C3E19">
        <w:rPr>
          <w:rFonts w:eastAsia="Times New Roman" w:cs="Arial"/>
          <w:color w:val="000000"/>
          <w:lang w:val="en-US"/>
        </w:rPr>
        <w:t xml:space="preserve"> </w:t>
      </w:r>
      <w:r w:rsidRPr="002C3E19">
        <w:rPr>
          <w:rFonts w:eastAsia="Times New Roman" w:cs="Arial"/>
          <w:color w:val="000000"/>
          <w:lang w:eastAsia="bg-BG"/>
        </w:rPr>
        <w:t>диклофенак натрий не подтиска биосинтезата на протеогликани в хрущяла в концентрации, еквивалентни на тези, достигнати при хора.</w:t>
      </w:r>
    </w:p>
    <w:p w14:paraId="6637C6B3" w14:textId="77777777" w:rsidR="002C3E19" w:rsidRPr="002C3E19" w:rsidRDefault="002C3E19" w:rsidP="002C3E19">
      <w:pPr>
        <w:spacing w:line="240" w:lineRule="auto"/>
        <w:rPr>
          <w:rFonts w:eastAsia="Times New Roman" w:cs="Arial"/>
          <w:color w:val="000000"/>
          <w:lang w:eastAsia="bg-BG"/>
        </w:rPr>
      </w:pPr>
    </w:p>
    <w:p w14:paraId="71C77F3A" w14:textId="083B4E4E" w:rsidR="002C3E19" w:rsidRPr="002C3E19" w:rsidRDefault="002C3E19" w:rsidP="002C3E19">
      <w:pPr>
        <w:spacing w:line="240" w:lineRule="auto"/>
        <w:rPr>
          <w:rFonts w:eastAsia="Times New Roman" w:cs="Arial"/>
          <w:sz w:val="36"/>
          <w:szCs w:val="36"/>
          <w:lang w:eastAsia="bg-BG"/>
        </w:rPr>
      </w:pPr>
      <w:r w:rsidRPr="002C3E19">
        <w:rPr>
          <w:rFonts w:eastAsia="Times New Roman" w:cs="Arial"/>
          <w:color w:val="000000"/>
          <w:lang w:eastAsia="bg-BG"/>
        </w:rPr>
        <w:t>Фармакодинамични ефекти</w:t>
      </w:r>
    </w:p>
    <w:p w14:paraId="0D68BD33" w14:textId="77777777" w:rsidR="002C3E19" w:rsidRPr="002C3E19" w:rsidRDefault="002C3E19" w:rsidP="002C3E19">
      <w:pPr>
        <w:spacing w:line="240" w:lineRule="auto"/>
        <w:rPr>
          <w:rFonts w:eastAsia="Times New Roman" w:cs="Arial"/>
          <w:sz w:val="36"/>
          <w:szCs w:val="36"/>
          <w:lang w:eastAsia="bg-BG"/>
        </w:rPr>
      </w:pPr>
      <w:r w:rsidRPr="002C3E19">
        <w:rPr>
          <w:rFonts w:eastAsia="Times New Roman" w:cs="Arial"/>
          <w:color w:val="000000"/>
          <w:lang w:eastAsia="bg-BG"/>
        </w:rPr>
        <w:t>При ревматични заболявалия противовъзпалителните и аналгетични свойства на диклофенак предизвикват значително облекчение на симптомите и признаците, като болка при покой, болка при движение, сутрешна скованост и отока в ставите, и водят до функционално подобрение.</w:t>
      </w:r>
    </w:p>
    <w:p w14:paraId="05432662" w14:textId="77777777" w:rsidR="002C3E19" w:rsidRPr="002C3E19" w:rsidRDefault="002C3E19" w:rsidP="002C3E19">
      <w:pPr>
        <w:spacing w:line="240" w:lineRule="auto"/>
        <w:rPr>
          <w:rFonts w:eastAsia="Times New Roman" w:cs="Arial"/>
          <w:color w:val="000000"/>
          <w:lang w:eastAsia="bg-BG"/>
        </w:rPr>
      </w:pPr>
    </w:p>
    <w:p w14:paraId="062EFB03" w14:textId="04CE9BFF" w:rsidR="002C3E19" w:rsidRPr="002C3E19" w:rsidRDefault="002C3E19" w:rsidP="002C3E19">
      <w:pPr>
        <w:spacing w:line="240" w:lineRule="auto"/>
        <w:rPr>
          <w:rFonts w:eastAsia="Times New Roman" w:cs="Arial"/>
          <w:color w:val="000000"/>
          <w:lang w:eastAsia="bg-BG"/>
        </w:rPr>
      </w:pPr>
      <w:r w:rsidRPr="002C3E19">
        <w:rPr>
          <w:rFonts w:eastAsia="Times New Roman" w:cs="Arial"/>
          <w:color w:val="000000"/>
          <w:lang w:eastAsia="bg-BG"/>
        </w:rPr>
        <w:t>При пост-травматични и постоперативни възпалителни състояния диклофенак бързо успокоява спонтанната болка и болката при движение и намалява подуването при възпаление и отока на раната.</w:t>
      </w:r>
    </w:p>
    <w:p w14:paraId="15A664FB" w14:textId="77777777" w:rsidR="002C3E19" w:rsidRPr="002C3E19" w:rsidRDefault="002C3E19" w:rsidP="002C3E19">
      <w:pPr>
        <w:spacing w:line="240" w:lineRule="auto"/>
        <w:rPr>
          <w:rFonts w:eastAsia="Times New Roman" w:cs="Arial"/>
          <w:color w:val="000000"/>
          <w:lang w:eastAsia="bg-BG"/>
        </w:rPr>
      </w:pPr>
    </w:p>
    <w:p w14:paraId="21E32A46" w14:textId="77777777" w:rsidR="002C3E19" w:rsidRPr="002C3E19" w:rsidRDefault="002C3E19" w:rsidP="002C3E19">
      <w:pPr>
        <w:spacing w:line="240" w:lineRule="auto"/>
        <w:rPr>
          <w:rFonts w:eastAsia="Times New Roman" w:cs="Arial"/>
          <w:sz w:val="36"/>
          <w:szCs w:val="36"/>
          <w:lang w:eastAsia="bg-BG"/>
        </w:rPr>
      </w:pPr>
      <w:r w:rsidRPr="002C3E19">
        <w:rPr>
          <w:rFonts w:eastAsia="Times New Roman" w:cs="Arial"/>
          <w:color w:val="000000"/>
          <w:lang w:eastAsia="bg-BG"/>
        </w:rPr>
        <w:t>В клинични проучвания, също така е установено, че Волтарен притежава изразен аналгетичен ефект при умерена до тежка болка от неревматичен произход. Клинични изследвания показват също, че при първична дисменорея Волтарен има способността да успокоява болката и да намалява степента на кървене.</w:t>
      </w:r>
    </w:p>
    <w:p w14:paraId="4D529763" w14:textId="77777777" w:rsidR="002C3E19" w:rsidRPr="002C3E19" w:rsidRDefault="002C3E19" w:rsidP="002C3E19">
      <w:pPr>
        <w:spacing w:line="240" w:lineRule="auto"/>
        <w:rPr>
          <w:rFonts w:eastAsia="Times New Roman" w:cs="Arial"/>
          <w:color w:val="000000"/>
          <w:lang w:eastAsia="bg-BG"/>
        </w:rPr>
      </w:pPr>
    </w:p>
    <w:p w14:paraId="22D97B86" w14:textId="7FDC9BD1" w:rsidR="002C3E19" w:rsidRPr="002C3E19" w:rsidRDefault="002C3E19" w:rsidP="002C3E19">
      <w:pPr>
        <w:spacing w:line="240" w:lineRule="auto"/>
        <w:rPr>
          <w:rFonts w:eastAsia="Times New Roman" w:cs="Arial"/>
          <w:sz w:val="36"/>
          <w:szCs w:val="36"/>
          <w:lang w:eastAsia="bg-BG"/>
        </w:rPr>
      </w:pPr>
      <w:r w:rsidRPr="002C3E19">
        <w:rPr>
          <w:rFonts w:eastAsia="Times New Roman" w:cs="Arial"/>
          <w:color w:val="000000"/>
          <w:lang w:eastAsia="bg-BG"/>
        </w:rPr>
        <w:t>Волтарен е демонстрирал благоприятен ефект и при симптоми на мигренозен пристъп.</w:t>
      </w:r>
    </w:p>
    <w:p w14:paraId="07C51958" w14:textId="77777777" w:rsidR="002C3E19" w:rsidRPr="002C3E19" w:rsidRDefault="002C3E19" w:rsidP="002C3E19"/>
    <w:p w14:paraId="544FFDAF" w14:textId="64206E42" w:rsidR="00F62E44" w:rsidRDefault="002C50EE" w:rsidP="00387A66">
      <w:pPr>
        <w:pStyle w:val="Heading2"/>
      </w:pPr>
      <w:r>
        <w:t>5.2. Фармакокинетични свойства</w:t>
      </w:r>
    </w:p>
    <w:p w14:paraId="116F5D97" w14:textId="77777777" w:rsidR="002C3E19" w:rsidRDefault="002C3E19" w:rsidP="002C3E19"/>
    <w:p w14:paraId="1BCC8E47" w14:textId="77777777" w:rsidR="002C3E19" w:rsidRPr="002C3E19" w:rsidRDefault="002C3E19" w:rsidP="002C3E19">
      <w:pPr>
        <w:spacing w:line="240" w:lineRule="auto"/>
        <w:rPr>
          <w:rFonts w:eastAsia="Times New Roman" w:cs="Arial"/>
          <w:sz w:val="36"/>
          <w:szCs w:val="36"/>
          <w:lang w:eastAsia="bg-BG"/>
        </w:rPr>
      </w:pPr>
      <w:r w:rsidRPr="002C3E19">
        <w:rPr>
          <w:rFonts w:eastAsia="Times New Roman" w:cs="Arial"/>
          <w:color w:val="000000"/>
          <w:lang w:eastAsia="bg-BG"/>
        </w:rPr>
        <w:t>Абсорбция</w:t>
      </w:r>
    </w:p>
    <w:p w14:paraId="117B0BD8" w14:textId="77777777" w:rsidR="002C3E19" w:rsidRPr="002C3E19" w:rsidRDefault="002C3E19" w:rsidP="002C3E19">
      <w:pPr>
        <w:spacing w:line="240" w:lineRule="auto"/>
        <w:rPr>
          <w:rFonts w:eastAsia="Times New Roman" w:cs="Arial"/>
          <w:sz w:val="36"/>
          <w:szCs w:val="36"/>
          <w:lang w:eastAsia="bg-BG"/>
        </w:rPr>
      </w:pPr>
      <w:r w:rsidRPr="002C3E19">
        <w:rPr>
          <w:rFonts w:eastAsia="Times New Roman" w:cs="Arial"/>
          <w:color w:val="000000"/>
          <w:lang w:eastAsia="bg-BG"/>
        </w:rPr>
        <w:t xml:space="preserve">Диклофенак има бързо начало на резорбция от супозиториите, независимо че скоростта на абсорбцията е по-бавна в сравнение с перорално приетите стомашно-устойчиви таблетки. След приложението на 50 </w:t>
      </w:r>
      <w:r w:rsidRPr="002C3E19">
        <w:rPr>
          <w:rFonts w:eastAsia="Times New Roman" w:cs="Arial"/>
          <w:color w:val="000000"/>
          <w:lang w:val="en-US"/>
        </w:rPr>
        <w:t xml:space="preserve">mg </w:t>
      </w:r>
      <w:r w:rsidRPr="002C3E19">
        <w:rPr>
          <w:rFonts w:eastAsia="Times New Roman" w:cs="Arial"/>
          <w:color w:val="000000"/>
          <w:lang w:eastAsia="bg-BG"/>
        </w:rPr>
        <w:t>под формата на супозитории, пиковата плазмена концентрация се достига средно за 1 час, но максимални плазмени концентрации са около 2/3 от тези достигнати след перорално приложение на приетите стомашно-устойчиви таблетки.</w:t>
      </w:r>
    </w:p>
    <w:p w14:paraId="6DA48DD8" w14:textId="77777777" w:rsidR="002C3E19" w:rsidRPr="002C3E19" w:rsidRDefault="002C3E19" w:rsidP="002C3E19">
      <w:pPr>
        <w:spacing w:line="240" w:lineRule="auto"/>
        <w:rPr>
          <w:rFonts w:eastAsia="Times New Roman" w:cs="Arial"/>
          <w:color w:val="000000"/>
          <w:lang w:eastAsia="bg-BG"/>
        </w:rPr>
      </w:pPr>
    </w:p>
    <w:p w14:paraId="38820CF9" w14:textId="52965E18" w:rsidR="002C3E19" w:rsidRPr="002C3E19" w:rsidRDefault="002C3E19" w:rsidP="002C3E19">
      <w:pPr>
        <w:spacing w:line="240" w:lineRule="auto"/>
        <w:rPr>
          <w:rFonts w:eastAsia="Times New Roman" w:cs="Arial"/>
          <w:sz w:val="36"/>
          <w:szCs w:val="36"/>
          <w:lang w:eastAsia="bg-BG"/>
        </w:rPr>
      </w:pPr>
      <w:r w:rsidRPr="002C3E19">
        <w:rPr>
          <w:rFonts w:eastAsia="Times New Roman" w:cs="Arial"/>
          <w:color w:val="000000"/>
          <w:lang w:eastAsia="bg-BG"/>
        </w:rPr>
        <w:t xml:space="preserve">Около половината от перорално или ректално приетия диклофенак се метаболизира по време на първото преминаване през черния дроб </w:t>
      </w:r>
      <w:r w:rsidRPr="002C3E19">
        <w:rPr>
          <w:rFonts w:eastAsia="Times New Roman" w:cs="Arial"/>
          <w:color w:val="000000"/>
          <w:lang w:val="en-US"/>
        </w:rPr>
        <w:t xml:space="preserve">(“first pass” </w:t>
      </w:r>
      <w:r w:rsidRPr="002C3E19">
        <w:rPr>
          <w:rFonts w:eastAsia="Times New Roman" w:cs="Arial"/>
          <w:color w:val="000000"/>
          <w:lang w:eastAsia="bg-BG"/>
        </w:rPr>
        <w:t xml:space="preserve">ефект) и затова площта под концентрационната крива </w:t>
      </w:r>
      <w:r w:rsidRPr="002C3E19">
        <w:rPr>
          <w:rFonts w:eastAsia="Times New Roman" w:cs="Arial"/>
          <w:color w:val="000000"/>
          <w:lang w:val="en-US"/>
        </w:rPr>
        <w:t xml:space="preserve">(AUC) </w:t>
      </w:r>
      <w:r w:rsidRPr="002C3E19">
        <w:rPr>
          <w:rFonts w:eastAsia="Times New Roman" w:cs="Arial"/>
          <w:color w:val="000000"/>
          <w:lang w:eastAsia="bg-BG"/>
        </w:rPr>
        <w:t>е около два пъти по-малка, в сравнение с тази след парентерално приложение на еквивалентна доза.</w:t>
      </w:r>
    </w:p>
    <w:p w14:paraId="78803A3B" w14:textId="77777777" w:rsidR="002C3E19" w:rsidRPr="002C3E19" w:rsidRDefault="002C3E19" w:rsidP="002C3E19">
      <w:pPr>
        <w:spacing w:line="240" w:lineRule="auto"/>
        <w:rPr>
          <w:rFonts w:eastAsia="Times New Roman" w:cs="Arial"/>
          <w:color w:val="000000"/>
          <w:lang w:eastAsia="bg-BG"/>
        </w:rPr>
      </w:pPr>
    </w:p>
    <w:p w14:paraId="70388C70" w14:textId="5CE2811E" w:rsidR="002C3E19" w:rsidRPr="002C3E19" w:rsidRDefault="002C3E19" w:rsidP="002C3E19">
      <w:pPr>
        <w:spacing w:line="240" w:lineRule="auto"/>
        <w:rPr>
          <w:rFonts w:eastAsia="Times New Roman" w:cs="Arial"/>
          <w:sz w:val="36"/>
          <w:szCs w:val="36"/>
          <w:lang w:eastAsia="bg-BG"/>
        </w:rPr>
      </w:pPr>
      <w:r w:rsidRPr="002C3E19">
        <w:rPr>
          <w:rFonts w:eastAsia="Times New Roman" w:cs="Arial"/>
          <w:color w:val="000000"/>
          <w:lang w:eastAsia="bg-BG"/>
        </w:rPr>
        <w:lastRenderedPageBreak/>
        <w:t>Фармакокинетиката не се променя след многократно приложение. Не се наблюдава кумулиране при спазване на препоръчваните дозови интервали.</w:t>
      </w:r>
    </w:p>
    <w:p w14:paraId="3BAF18DC" w14:textId="77777777" w:rsidR="002C3E19" w:rsidRPr="002C3E19" w:rsidRDefault="002C3E19" w:rsidP="002C3E19">
      <w:pPr>
        <w:spacing w:line="240" w:lineRule="auto"/>
        <w:rPr>
          <w:rFonts w:eastAsia="Times New Roman" w:cs="Arial"/>
          <w:color w:val="000000"/>
          <w:lang w:eastAsia="bg-BG"/>
        </w:rPr>
      </w:pPr>
    </w:p>
    <w:p w14:paraId="447098AD" w14:textId="6A46DD92" w:rsidR="002C3E19" w:rsidRPr="002C3E19" w:rsidRDefault="002C3E19" w:rsidP="002C3E19">
      <w:pPr>
        <w:spacing w:line="240" w:lineRule="auto"/>
        <w:rPr>
          <w:rFonts w:eastAsia="Times New Roman" w:cs="Arial"/>
          <w:sz w:val="36"/>
          <w:szCs w:val="36"/>
          <w:lang w:eastAsia="bg-BG"/>
        </w:rPr>
      </w:pPr>
      <w:r w:rsidRPr="002C3E19">
        <w:rPr>
          <w:rFonts w:eastAsia="Times New Roman" w:cs="Arial"/>
          <w:color w:val="000000"/>
          <w:lang w:eastAsia="bg-BG"/>
        </w:rPr>
        <w:t xml:space="preserve">Плазмените концентрации, достигнати при деца при приложение на еквивалентни дози </w:t>
      </w:r>
      <w:r w:rsidRPr="002C3E19">
        <w:rPr>
          <w:rFonts w:eastAsia="Times New Roman" w:cs="Arial"/>
          <w:color w:val="000000"/>
          <w:lang w:val="en-US"/>
        </w:rPr>
        <w:t xml:space="preserve">(mg/kg </w:t>
      </w:r>
      <w:r w:rsidRPr="002C3E19">
        <w:rPr>
          <w:rFonts w:eastAsia="Times New Roman" w:cs="Arial"/>
          <w:color w:val="000000"/>
          <w:lang w:eastAsia="bg-BG"/>
        </w:rPr>
        <w:t>телесно тегло) са подобни на тези при възрастни.</w:t>
      </w:r>
    </w:p>
    <w:p w14:paraId="4EFE86EB" w14:textId="77777777" w:rsidR="002C3E19" w:rsidRPr="002C3E19" w:rsidRDefault="002C3E19" w:rsidP="002C3E19">
      <w:pPr>
        <w:spacing w:line="240" w:lineRule="auto"/>
        <w:rPr>
          <w:rFonts w:eastAsia="Times New Roman" w:cs="Arial"/>
          <w:color w:val="000000"/>
          <w:lang w:eastAsia="bg-BG"/>
        </w:rPr>
      </w:pPr>
    </w:p>
    <w:p w14:paraId="2E9E0595" w14:textId="47597C33" w:rsidR="002C3E19" w:rsidRPr="002C3E19" w:rsidRDefault="002C3E19" w:rsidP="002C3E19">
      <w:pPr>
        <w:spacing w:line="240" w:lineRule="auto"/>
        <w:rPr>
          <w:rFonts w:eastAsia="Times New Roman" w:cs="Arial"/>
          <w:sz w:val="36"/>
          <w:szCs w:val="36"/>
          <w:lang w:eastAsia="bg-BG"/>
        </w:rPr>
      </w:pPr>
      <w:r w:rsidRPr="002C3E19">
        <w:rPr>
          <w:rFonts w:eastAsia="Times New Roman" w:cs="Arial"/>
          <w:color w:val="000000"/>
          <w:lang w:eastAsia="bg-BG"/>
        </w:rPr>
        <w:t>Разпределение</w:t>
      </w:r>
    </w:p>
    <w:p w14:paraId="7F48EBB5" w14:textId="77777777" w:rsidR="002C3E19" w:rsidRPr="002C3E19" w:rsidRDefault="002C3E19" w:rsidP="002C3E19">
      <w:pPr>
        <w:spacing w:line="240" w:lineRule="auto"/>
        <w:rPr>
          <w:rFonts w:eastAsia="Times New Roman" w:cs="Arial"/>
          <w:sz w:val="36"/>
          <w:szCs w:val="36"/>
          <w:lang w:eastAsia="bg-BG"/>
        </w:rPr>
      </w:pPr>
      <w:r w:rsidRPr="002C3E19">
        <w:rPr>
          <w:rFonts w:eastAsia="Times New Roman" w:cs="Arial"/>
          <w:color w:val="000000"/>
          <w:lang w:eastAsia="bg-BG"/>
        </w:rPr>
        <w:t xml:space="preserve">99,7% от диклофенак се свързва със серумните протеини, главно с албумина (99,4%). Установеният обем на разпределение се изчислява на 0,12-0,17 </w:t>
      </w:r>
      <w:r w:rsidRPr="002C3E19">
        <w:rPr>
          <w:rFonts w:eastAsia="Times New Roman" w:cs="Arial"/>
          <w:color w:val="000000"/>
          <w:lang w:val="en-US"/>
        </w:rPr>
        <w:t>1/</w:t>
      </w:r>
      <w:r w:rsidRPr="002C3E19">
        <w:rPr>
          <w:rFonts w:eastAsia="Times New Roman" w:cs="Arial"/>
          <w:color w:val="000000"/>
          <w:lang w:eastAsia="bg-BG"/>
        </w:rPr>
        <w:t>к</w:t>
      </w:r>
      <w:r w:rsidRPr="002C3E19">
        <w:rPr>
          <w:rFonts w:eastAsia="Times New Roman" w:cs="Arial"/>
          <w:color w:val="000000"/>
          <w:lang w:val="en-US"/>
        </w:rPr>
        <w:t>g.</w:t>
      </w:r>
    </w:p>
    <w:p w14:paraId="09518FB6" w14:textId="77777777" w:rsidR="002C3E19" w:rsidRPr="002C3E19" w:rsidRDefault="002C3E19" w:rsidP="002C3E19">
      <w:pPr>
        <w:spacing w:line="240" w:lineRule="auto"/>
        <w:rPr>
          <w:rFonts w:eastAsia="Times New Roman" w:cs="Arial"/>
          <w:color w:val="000000"/>
          <w:lang w:eastAsia="bg-BG"/>
        </w:rPr>
      </w:pPr>
    </w:p>
    <w:p w14:paraId="2B878301" w14:textId="158ACFC6" w:rsidR="002C3E19" w:rsidRPr="002C3E19" w:rsidRDefault="002C3E19" w:rsidP="002C3E19">
      <w:pPr>
        <w:spacing w:line="240" w:lineRule="auto"/>
        <w:rPr>
          <w:rFonts w:eastAsia="Times New Roman" w:cs="Arial"/>
          <w:sz w:val="36"/>
          <w:szCs w:val="36"/>
          <w:lang w:eastAsia="bg-BG"/>
        </w:rPr>
      </w:pPr>
      <w:r w:rsidRPr="002C3E19">
        <w:rPr>
          <w:rFonts w:eastAsia="Times New Roman" w:cs="Arial"/>
          <w:color w:val="000000"/>
          <w:lang w:eastAsia="bg-BG"/>
        </w:rPr>
        <w:t>Диклофенак преминава в синовиалната течност, където максимални концентрации се установяват 2-4 часа след достигане на пиковите плазмени нива. Елиминационният полуживот от синовиалната течност е 3-6 часа. Два часа след достигане на пикови плазмени нива, концентрацията на активното вещество е вече по-висока в синовиалната течност в сравнение с плазмата и остава такава до 12 часа.</w:t>
      </w:r>
    </w:p>
    <w:p w14:paraId="21A86478" w14:textId="77777777" w:rsidR="002C3E19" w:rsidRPr="002C3E19" w:rsidRDefault="002C3E19" w:rsidP="002C3E19">
      <w:pPr>
        <w:spacing w:line="240" w:lineRule="auto"/>
        <w:rPr>
          <w:rFonts w:eastAsia="Times New Roman" w:cs="Arial"/>
          <w:color w:val="000000"/>
          <w:lang w:eastAsia="bg-BG"/>
        </w:rPr>
      </w:pPr>
    </w:p>
    <w:p w14:paraId="08B987C5" w14:textId="1902F61D" w:rsidR="002C3E19" w:rsidRPr="002C3E19" w:rsidRDefault="002C3E19" w:rsidP="002C3E19">
      <w:pPr>
        <w:spacing w:line="240" w:lineRule="auto"/>
        <w:rPr>
          <w:rFonts w:eastAsia="Times New Roman" w:cs="Arial"/>
          <w:sz w:val="36"/>
          <w:szCs w:val="36"/>
          <w:lang w:eastAsia="bg-BG"/>
        </w:rPr>
      </w:pPr>
      <w:r w:rsidRPr="002C3E19">
        <w:rPr>
          <w:rFonts w:eastAsia="Times New Roman" w:cs="Arial"/>
          <w:color w:val="000000"/>
          <w:lang w:eastAsia="bg-BG"/>
        </w:rPr>
        <w:t>Биотрансформация/ метаболизъм</w:t>
      </w:r>
    </w:p>
    <w:p w14:paraId="509A5234" w14:textId="77777777" w:rsidR="002C3E19" w:rsidRPr="002C3E19" w:rsidRDefault="002C3E19" w:rsidP="002C3E19">
      <w:pPr>
        <w:spacing w:line="240" w:lineRule="auto"/>
        <w:rPr>
          <w:rFonts w:eastAsia="Times New Roman" w:cs="Arial"/>
          <w:sz w:val="36"/>
          <w:szCs w:val="36"/>
          <w:lang w:eastAsia="bg-BG"/>
        </w:rPr>
      </w:pPr>
      <w:r w:rsidRPr="002C3E19">
        <w:rPr>
          <w:rFonts w:eastAsia="Times New Roman" w:cs="Arial"/>
          <w:color w:val="000000"/>
          <w:lang w:eastAsia="bg-BG"/>
        </w:rPr>
        <w:t>Биотрансформацията на диклофенак се извършва частично чрез глюкурониране на интактната молекула, но главно чрез единично или многократно хидроксилиране или метоксилиране, в резултат на което се получават няколко фенолови метаболита (3’</w:t>
      </w:r>
      <w:r w:rsidRPr="002C3E19">
        <w:rPr>
          <w:rFonts w:eastAsia="Times New Roman" w:cs="Arial"/>
          <w:color w:val="000000"/>
          <w:lang w:val="en-US"/>
        </w:rPr>
        <w:t xml:space="preserve">-hydroxy-, 4'-hydroxy-, </w:t>
      </w:r>
      <w:r w:rsidRPr="002C3E19">
        <w:rPr>
          <w:rFonts w:eastAsia="Times New Roman" w:cs="Arial"/>
          <w:color w:val="000000"/>
          <w:lang w:eastAsia="bg-BG"/>
        </w:rPr>
        <w:t xml:space="preserve">5- </w:t>
      </w:r>
      <w:r w:rsidRPr="002C3E19">
        <w:rPr>
          <w:rFonts w:eastAsia="Times New Roman" w:cs="Arial"/>
          <w:color w:val="000000"/>
          <w:lang w:val="en-US"/>
        </w:rPr>
        <w:t xml:space="preserve">hydroxy-, 4',5-hydroxy-, </w:t>
      </w:r>
      <w:r w:rsidRPr="002C3E19">
        <w:rPr>
          <w:rFonts w:eastAsia="Times New Roman" w:cs="Arial"/>
          <w:color w:val="000000"/>
          <w:lang w:eastAsia="bg-BG"/>
        </w:rPr>
        <w:t xml:space="preserve">и </w:t>
      </w:r>
      <w:r w:rsidRPr="002C3E19">
        <w:rPr>
          <w:rFonts w:eastAsia="Times New Roman" w:cs="Arial"/>
          <w:color w:val="000000"/>
          <w:lang w:val="en-US"/>
        </w:rPr>
        <w:t xml:space="preserve">3'-hydroxy-4’-methoxy-diclofenac), </w:t>
      </w:r>
      <w:r w:rsidRPr="002C3E19">
        <w:rPr>
          <w:rFonts w:eastAsia="Times New Roman" w:cs="Arial"/>
          <w:color w:val="000000"/>
          <w:lang w:eastAsia="bg-BG"/>
        </w:rPr>
        <w:t>повечето от които се конвертират до глюкуронови конюгати. Два от тези фенолови метаболита са биологично активни, но в много по-малка степен от диклофенак.</w:t>
      </w:r>
    </w:p>
    <w:p w14:paraId="60366452" w14:textId="77777777" w:rsidR="002C3E19" w:rsidRPr="002C3E19" w:rsidRDefault="002C3E19" w:rsidP="002C3E19">
      <w:pPr>
        <w:spacing w:line="240" w:lineRule="auto"/>
        <w:rPr>
          <w:rFonts w:eastAsia="Times New Roman" w:cs="Arial"/>
          <w:color w:val="000000"/>
          <w:lang w:eastAsia="bg-BG"/>
        </w:rPr>
      </w:pPr>
    </w:p>
    <w:p w14:paraId="4B50733A" w14:textId="54231055" w:rsidR="002C3E19" w:rsidRPr="002C3E19" w:rsidRDefault="002C3E19" w:rsidP="002C3E19">
      <w:pPr>
        <w:spacing w:line="240" w:lineRule="auto"/>
        <w:rPr>
          <w:rFonts w:eastAsia="Times New Roman" w:cs="Arial"/>
          <w:sz w:val="36"/>
          <w:szCs w:val="36"/>
          <w:lang w:eastAsia="bg-BG"/>
        </w:rPr>
      </w:pPr>
      <w:r w:rsidRPr="002C3E19">
        <w:rPr>
          <w:rFonts w:eastAsia="Times New Roman" w:cs="Arial"/>
          <w:color w:val="000000"/>
          <w:lang w:eastAsia="bg-BG"/>
        </w:rPr>
        <w:t>Елиминиране</w:t>
      </w:r>
    </w:p>
    <w:p w14:paraId="686145D8" w14:textId="77777777" w:rsidR="002C3E19" w:rsidRPr="002C3E19" w:rsidRDefault="002C3E19" w:rsidP="002C3E19">
      <w:pPr>
        <w:spacing w:line="240" w:lineRule="auto"/>
        <w:rPr>
          <w:rFonts w:eastAsia="Times New Roman" w:cs="Arial"/>
          <w:sz w:val="36"/>
          <w:szCs w:val="36"/>
          <w:lang w:eastAsia="bg-BG"/>
        </w:rPr>
      </w:pPr>
      <w:r w:rsidRPr="002C3E19">
        <w:rPr>
          <w:rFonts w:eastAsia="Times New Roman" w:cs="Arial"/>
          <w:color w:val="000000"/>
          <w:lang w:eastAsia="bg-BG"/>
        </w:rPr>
        <w:t xml:space="preserve">Тоталния системен клирънс на диклофенак от плазмата е 263 ±56 </w:t>
      </w:r>
      <w:r w:rsidRPr="002C3E19">
        <w:rPr>
          <w:rFonts w:eastAsia="Times New Roman" w:cs="Arial"/>
          <w:color w:val="000000"/>
          <w:lang w:val="en-US"/>
        </w:rPr>
        <w:t xml:space="preserve">ml/min </w:t>
      </w:r>
      <w:r w:rsidRPr="002C3E19">
        <w:rPr>
          <w:rFonts w:eastAsia="Times New Roman" w:cs="Arial"/>
          <w:color w:val="000000"/>
          <w:lang w:eastAsia="bg-BG"/>
        </w:rPr>
        <w:t xml:space="preserve">(средна стойност ± </w:t>
      </w:r>
      <w:r w:rsidRPr="002C3E19">
        <w:rPr>
          <w:rFonts w:eastAsia="Times New Roman" w:cs="Arial"/>
          <w:color w:val="000000"/>
          <w:lang w:val="en-US"/>
        </w:rPr>
        <w:t xml:space="preserve">SD). </w:t>
      </w:r>
      <w:r w:rsidRPr="002C3E19">
        <w:rPr>
          <w:rFonts w:eastAsia="Times New Roman" w:cs="Arial"/>
          <w:color w:val="000000"/>
          <w:lang w:eastAsia="bg-BG"/>
        </w:rPr>
        <w:t xml:space="preserve">Крайният полуживот в плазмата е 1-2 часа. Четири от метаболитите, включително двата активни, също имат кратък плазмен полуживот от 1 до 3 часа. Един от метаболитите, 3'- </w:t>
      </w:r>
      <w:r w:rsidRPr="002C3E19">
        <w:rPr>
          <w:rFonts w:eastAsia="Times New Roman" w:cs="Arial"/>
          <w:color w:val="000000"/>
          <w:lang w:val="en-US"/>
        </w:rPr>
        <w:t xml:space="preserve">hydroxy-4-methoxy-diclofenac, </w:t>
      </w:r>
      <w:r w:rsidRPr="002C3E19">
        <w:rPr>
          <w:rFonts w:eastAsia="Times New Roman" w:cs="Arial"/>
          <w:color w:val="000000"/>
          <w:lang w:eastAsia="bg-BG"/>
        </w:rPr>
        <w:t>има много по-дълъг плазмен полуживот. Този метаболит, обаче, е практически неактивен.</w:t>
      </w:r>
    </w:p>
    <w:p w14:paraId="7CDBCED7" w14:textId="77777777" w:rsidR="002C3E19" w:rsidRPr="002C3E19" w:rsidRDefault="002C3E19" w:rsidP="002C3E19">
      <w:pPr>
        <w:rPr>
          <w:rFonts w:eastAsia="Times New Roman" w:cs="Arial"/>
          <w:color w:val="000000"/>
          <w:lang w:eastAsia="bg-BG"/>
        </w:rPr>
      </w:pPr>
    </w:p>
    <w:p w14:paraId="00AE157C" w14:textId="21B376A8" w:rsidR="002C3E19" w:rsidRPr="002C3E19" w:rsidRDefault="002C3E19" w:rsidP="002C3E19">
      <w:pPr>
        <w:rPr>
          <w:rFonts w:eastAsia="Times New Roman" w:cs="Arial"/>
          <w:color w:val="000000"/>
          <w:lang w:eastAsia="bg-BG"/>
        </w:rPr>
      </w:pPr>
      <w:r w:rsidRPr="002C3E19">
        <w:rPr>
          <w:rFonts w:eastAsia="Times New Roman" w:cs="Arial"/>
          <w:color w:val="000000"/>
          <w:lang w:eastAsia="bg-BG"/>
        </w:rPr>
        <w:t>Около 60% от приетата доза се излъчва с урината като глюкуронови конюгати на интактната молекула и като метаболнти, повечето от които също се превръщат в глюкуронови конюгати По-малко от 1% се излъчва като непроменено вещество. Останалата част от дозата се елиминира под формата на метаболита чрез жлъчния сок в изпражненията.</w:t>
      </w:r>
    </w:p>
    <w:p w14:paraId="2EF7471C" w14:textId="77777777" w:rsidR="002C3E19" w:rsidRPr="002C3E19" w:rsidRDefault="002C3E19" w:rsidP="002C3E19">
      <w:pPr>
        <w:rPr>
          <w:rFonts w:eastAsia="Times New Roman" w:cs="Arial"/>
          <w:color w:val="000000"/>
          <w:lang w:eastAsia="bg-BG"/>
        </w:rPr>
      </w:pPr>
    </w:p>
    <w:p w14:paraId="5643DF52" w14:textId="77777777" w:rsidR="002C3E19" w:rsidRPr="002C3E19" w:rsidRDefault="002C3E19" w:rsidP="002C3E19">
      <w:pPr>
        <w:spacing w:line="240" w:lineRule="auto"/>
        <w:rPr>
          <w:rFonts w:eastAsia="Times New Roman" w:cs="Arial"/>
          <w:sz w:val="36"/>
          <w:szCs w:val="36"/>
          <w:lang w:eastAsia="bg-BG"/>
        </w:rPr>
      </w:pPr>
      <w:r w:rsidRPr="002C3E19">
        <w:rPr>
          <w:rFonts w:eastAsia="Times New Roman" w:cs="Arial"/>
          <w:color w:val="000000"/>
          <w:lang w:eastAsia="bg-BG"/>
        </w:rPr>
        <w:t>Линейност/ нелинейност</w:t>
      </w:r>
    </w:p>
    <w:p w14:paraId="04DB3D69" w14:textId="77777777" w:rsidR="002C3E19" w:rsidRPr="002C3E19" w:rsidRDefault="002C3E19" w:rsidP="002C3E19">
      <w:pPr>
        <w:spacing w:line="240" w:lineRule="auto"/>
        <w:rPr>
          <w:rFonts w:eastAsia="Times New Roman" w:cs="Arial"/>
          <w:sz w:val="36"/>
          <w:szCs w:val="36"/>
          <w:lang w:eastAsia="bg-BG"/>
        </w:rPr>
      </w:pPr>
      <w:r w:rsidRPr="002C3E19">
        <w:rPr>
          <w:rFonts w:eastAsia="Times New Roman" w:cs="Arial"/>
          <w:color w:val="000000"/>
          <w:lang w:eastAsia="bg-BG"/>
        </w:rPr>
        <w:t>Резорбираното количество е в линейна зависимост от големината на приложената доза.</w:t>
      </w:r>
    </w:p>
    <w:p w14:paraId="02774EAB" w14:textId="77777777" w:rsidR="002C3E19" w:rsidRPr="002C3E19" w:rsidRDefault="002C3E19" w:rsidP="002C3E19">
      <w:pPr>
        <w:spacing w:line="240" w:lineRule="auto"/>
        <w:rPr>
          <w:rFonts w:eastAsia="Times New Roman" w:cs="Arial"/>
          <w:color w:val="000000"/>
          <w:lang w:eastAsia="bg-BG"/>
        </w:rPr>
      </w:pPr>
    </w:p>
    <w:p w14:paraId="69CF98D8" w14:textId="63A66B82" w:rsidR="002C3E19" w:rsidRPr="002C3E19" w:rsidRDefault="002C3E19" w:rsidP="002C3E19">
      <w:pPr>
        <w:spacing w:line="240" w:lineRule="auto"/>
        <w:rPr>
          <w:rFonts w:eastAsia="Times New Roman" w:cs="Arial"/>
          <w:sz w:val="36"/>
          <w:szCs w:val="36"/>
          <w:lang w:eastAsia="bg-BG"/>
        </w:rPr>
      </w:pPr>
      <w:r w:rsidRPr="002C3E19">
        <w:rPr>
          <w:rFonts w:eastAsia="Times New Roman" w:cs="Arial"/>
          <w:color w:val="000000"/>
          <w:lang w:eastAsia="bg-BG"/>
        </w:rPr>
        <w:t>Специални групи пациенти</w:t>
      </w:r>
    </w:p>
    <w:p w14:paraId="5C277D0B" w14:textId="77777777" w:rsidR="002C3E19" w:rsidRPr="002C3E19" w:rsidRDefault="002C3E19" w:rsidP="002C3E19">
      <w:pPr>
        <w:spacing w:line="240" w:lineRule="auto"/>
        <w:rPr>
          <w:rFonts w:eastAsia="Times New Roman" w:cs="Arial"/>
          <w:sz w:val="36"/>
          <w:szCs w:val="36"/>
          <w:lang w:eastAsia="bg-BG"/>
        </w:rPr>
      </w:pPr>
      <w:r w:rsidRPr="002C3E19">
        <w:rPr>
          <w:rFonts w:eastAsia="Times New Roman" w:cs="Arial"/>
          <w:color w:val="000000"/>
          <w:lang w:eastAsia="bg-BG"/>
        </w:rPr>
        <w:t>Не са наблюдавани значими различия в резорбцията, метаболизма или излъчването на медикамента в зависимост от възрастта.</w:t>
      </w:r>
    </w:p>
    <w:p w14:paraId="6030D268" w14:textId="77777777" w:rsidR="002C3E19" w:rsidRPr="002C3E19" w:rsidRDefault="002C3E19" w:rsidP="002C3E19">
      <w:pPr>
        <w:spacing w:line="240" w:lineRule="auto"/>
        <w:rPr>
          <w:rFonts w:eastAsia="Times New Roman" w:cs="Arial"/>
          <w:color w:val="000000"/>
          <w:lang w:eastAsia="bg-BG"/>
        </w:rPr>
      </w:pPr>
    </w:p>
    <w:p w14:paraId="71F50262" w14:textId="3611B3F0" w:rsidR="002C3E19" w:rsidRPr="002C3E19" w:rsidRDefault="002C3E19" w:rsidP="002C3E19">
      <w:pPr>
        <w:spacing w:line="240" w:lineRule="auto"/>
        <w:rPr>
          <w:rFonts w:eastAsia="Times New Roman" w:cs="Arial"/>
          <w:sz w:val="36"/>
          <w:szCs w:val="36"/>
          <w:lang w:eastAsia="bg-BG"/>
        </w:rPr>
      </w:pPr>
      <w:r w:rsidRPr="002C3E19">
        <w:rPr>
          <w:rFonts w:eastAsia="Times New Roman" w:cs="Arial"/>
          <w:color w:val="000000"/>
          <w:lang w:eastAsia="bg-BG"/>
        </w:rPr>
        <w:t xml:space="preserve">При пациенти, страдащи от нарушение на бъбречната функция, от кинетиката на единична доза не могат да се направят изводи за кумулиране на непроменено активно вещество, при използване на обичайните терапевтични схеми. При креатининов клирънс по-малък от 10 </w:t>
      </w:r>
      <w:r w:rsidRPr="002C3E19">
        <w:rPr>
          <w:rFonts w:eastAsia="Times New Roman" w:cs="Arial"/>
          <w:color w:val="000000"/>
          <w:lang w:val="en-US"/>
        </w:rPr>
        <w:t xml:space="preserve">ml/min </w:t>
      </w:r>
      <w:r w:rsidRPr="002C3E19">
        <w:rPr>
          <w:rFonts w:eastAsia="Times New Roman" w:cs="Arial"/>
          <w:color w:val="000000"/>
          <w:lang w:eastAsia="bg-BG"/>
        </w:rPr>
        <w:t>изчисленото равновесно състояние на плазмените нива на хидрокси-метаболитите е около 4 пъти по-висок отколкото при нормалните пациенти. В тези случай обаче, метаболитите се елиминират чрез жлъчката.</w:t>
      </w:r>
    </w:p>
    <w:p w14:paraId="70B5C7DD" w14:textId="77777777" w:rsidR="002C3E19" w:rsidRPr="002C3E19" w:rsidRDefault="002C3E19" w:rsidP="002C3E19">
      <w:pPr>
        <w:rPr>
          <w:rFonts w:eastAsia="Times New Roman" w:cs="Arial"/>
          <w:color w:val="000000"/>
          <w:lang w:eastAsia="bg-BG"/>
        </w:rPr>
      </w:pPr>
    </w:p>
    <w:p w14:paraId="5F988B45" w14:textId="4C04D6EB" w:rsidR="002C3E19" w:rsidRPr="002C3E19" w:rsidRDefault="002C3E19" w:rsidP="002C3E19">
      <w:pPr>
        <w:rPr>
          <w:rFonts w:eastAsia="Times New Roman" w:cs="Arial"/>
          <w:color w:val="000000"/>
          <w:lang w:eastAsia="bg-BG"/>
        </w:rPr>
      </w:pPr>
      <w:r w:rsidRPr="002C3E19">
        <w:rPr>
          <w:rFonts w:eastAsia="Times New Roman" w:cs="Arial"/>
          <w:color w:val="000000"/>
          <w:lang w:eastAsia="bg-BG"/>
        </w:rPr>
        <w:t>При пациенти с хроничен хепатит или компенсирана чернодробна цироза кинетиката и метаболизма на диклофенак са същите, както при пациенти без чернодробно заболяване.</w:t>
      </w:r>
    </w:p>
    <w:p w14:paraId="7EE492FC" w14:textId="77777777" w:rsidR="002C3E19" w:rsidRPr="002C3E19" w:rsidRDefault="002C3E19" w:rsidP="002C3E19"/>
    <w:p w14:paraId="6925FEB0" w14:textId="4B32C19A" w:rsidR="00F62E44" w:rsidRDefault="002C50EE" w:rsidP="00387A66">
      <w:pPr>
        <w:pStyle w:val="Heading2"/>
      </w:pPr>
      <w:r>
        <w:t>5.3. Предклинични данни за безопасност</w:t>
      </w:r>
    </w:p>
    <w:p w14:paraId="2B7DBFE6" w14:textId="77777777" w:rsidR="002C3E19" w:rsidRDefault="002C3E19" w:rsidP="002C3E19"/>
    <w:p w14:paraId="26B656AF" w14:textId="77777777" w:rsidR="002C3E19" w:rsidRPr="002C3E19" w:rsidRDefault="002C3E19" w:rsidP="002C3E19">
      <w:pPr>
        <w:rPr>
          <w:sz w:val="24"/>
          <w:szCs w:val="24"/>
          <w:lang w:eastAsia="bg-BG"/>
        </w:rPr>
      </w:pPr>
      <w:r w:rsidRPr="002C3E19">
        <w:rPr>
          <w:lang w:eastAsia="bg-BG"/>
        </w:rPr>
        <w:t>Предклиничните данни от проучвания за токсичност с единична и повтарящи се дози, както и от проучванията за генотоксичност, мутагенност и карциногенност с диклофенак не показват риск за хората при определената терапевтична доза.</w:t>
      </w:r>
    </w:p>
    <w:p w14:paraId="4B7EB9C4" w14:textId="77777777" w:rsidR="002C3E19" w:rsidRDefault="002C3E19" w:rsidP="002C3E19">
      <w:pPr>
        <w:rPr>
          <w:lang w:eastAsia="bg-BG"/>
        </w:rPr>
      </w:pPr>
    </w:p>
    <w:p w14:paraId="3C283192" w14:textId="06BE3EE0" w:rsidR="002C3E19" w:rsidRPr="002C3E19" w:rsidRDefault="002C3E19" w:rsidP="002C3E19">
      <w:pPr>
        <w:rPr>
          <w:sz w:val="24"/>
          <w:szCs w:val="24"/>
          <w:lang w:eastAsia="bg-BG"/>
        </w:rPr>
      </w:pPr>
      <w:r w:rsidRPr="002C3E19">
        <w:rPr>
          <w:lang w:eastAsia="bg-BG"/>
        </w:rPr>
        <w:t>За повече информация вижте точка 4.6 Фертилитет, бременност и кърмене.</w:t>
      </w:r>
    </w:p>
    <w:p w14:paraId="7B335957" w14:textId="77777777" w:rsidR="002C3E19" w:rsidRPr="002C3E19" w:rsidRDefault="002C3E19" w:rsidP="002C3E19"/>
    <w:p w14:paraId="357049A8" w14:textId="6CD46E4B" w:rsidR="00BB22B4" w:rsidRDefault="002C50EE" w:rsidP="00471F10">
      <w:pPr>
        <w:pStyle w:val="Heading1"/>
      </w:pPr>
      <w:r>
        <w:t>7. ПРИТЕЖАТЕЛ НА РАЗРЕШЕНИЕТО ЗА УПОТРЕБА</w:t>
      </w:r>
    </w:p>
    <w:p w14:paraId="6E8367FF" w14:textId="77777777" w:rsidR="002C3E19" w:rsidRDefault="002C3E19" w:rsidP="002C3E19"/>
    <w:p w14:paraId="0A9CB2AA" w14:textId="77777777" w:rsidR="002C3E19" w:rsidRPr="002C3E19" w:rsidRDefault="002C3E19" w:rsidP="002C3E19">
      <w:pPr>
        <w:rPr>
          <w:sz w:val="24"/>
          <w:szCs w:val="24"/>
          <w:lang w:val="en-US" w:eastAsia="bg-BG"/>
        </w:rPr>
      </w:pPr>
      <w:r w:rsidRPr="002C3E19">
        <w:rPr>
          <w:lang w:val="en-US"/>
        </w:rPr>
        <w:t>Novartis Pharma GmbH</w:t>
      </w:r>
    </w:p>
    <w:p w14:paraId="387EE1E0" w14:textId="77777777" w:rsidR="002C3E19" w:rsidRPr="002C3E19" w:rsidRDefault="002C3E19" w:rsidP="002C3E19">
      <w:pPr>
        <w:rPr>
          <w:sz w:val="24"/>
          <w:szCs w:val="24"/>
          <w:lang w:val="en-US" w:eastAsia="bg-BG"/>
        </w:rPr>
      </w:pPr>
      <w:proofErr w:type="spellStart"/>
      <w:r w:rsidRPr="002C3E19">
        <w:rPr>
          <w:lang w:val="en-US"/>
        </w:rPr>
        <w:t>Roonstrasse</w:t>
      </w:r>
      <w:proofErr w:type="spellEnd"/>
      <w:r w:rsidRPr="002C3E19">
        <w:rPr>
          <w:lang w:val="en-US"/>
        </w:rPr>
        <w:t xml:space="preserve"> 25</w:t>
      </w:r>
    </w:p>
    <w:p w14:paraId="76AC181A" w14:textId="77777777" w:rsidR="002C3E19" w:rsidRPr="002C3E19" w:rsidRDefault="002C3E19" w:rsidP="002C3E19">
      <w:pPr>
        <w:rPr>
          <w:sz w:val="24"/>
          <w:szCs w:val="24"/>
          <w:lang w:val="en-US" w:eastAsia="bg-BG"/>
        </w:rPr>
      </w:pPr>
      <w:r w:rsidRPr="002C3E19">
        <w:rPr>
          <w:lang w:val="en-US"/>
        </w:rPr>
        <w:t xml:space="preserve">90429 </w:t>
      </w:r>
      <w:proofErr w:type="spellStart"/>
      <w:r w:rsidRPr="002C3E19">
        <w:rPr>
          <w:lang w:val="en-US"/>
        </w:rPr>
        <w:t>Nuernberg</w:t>
      </w:r>
      <w:proofErr w:type="spellEnd"/>
    </w:p>
    <w:p w14:paraId="36AF561D" w14:textId="43259375" w:rsidR="002C3E19" w:rsidRPr="002C3E19" w:rsidRDefault="002C3E19" w:rsidP="002C3E19">
      <w:r w:rsidRPr="002C3E19">
        <w:rPr>
          <w:lang w:eastAsia="bg-BG"/>
        </w:rPr>
        <w:t>Германия</w:t>
      </w:r>
    </w:p>
    <w:p w14:paraId="0A53321D" w14:textId="74FBD4FB" w:rsidR="00EE6C97" w:rsidRDefault="00936AD0" w:rsidP="00A93499">
      <w:pPr>
        <w:pStyle w:val="Heading1"/>
      </w:pPr>
      <w:r>
        <w:t>8.</w:t>
      </w:r>
      <w:r w:rsidR="002C50EE">
        <w:t>НОМЕР НА РАЗРЕШЕНИЕТО ЗА УПОТРЕБА</w:t>
      </w:r>
    </w:p>
    <w:p w14:paraId="57E4D5EB" w14:textId="77777777" w:rsidR="002C3E19" w:rsidRDefault="002C3E19" w:rsidP="002C3E19"/>
    <w:p w14:paraId="602A1F2F" w14:textId="50526D54" w:rsidR="002C3E19" w:rsidRPr="002C3E19" w:rsidRDefault="002C3E19" w:rsidP="002C3E19">
      <w:pPr>
        <w:rPr>
          <w:sz w:val="24"/>
          <w:szCs w:val="24"/>
          <w:lang w:eastAsia="bg-BG"/>
        </w:rPr>
      </w:pPr>
      <w:r w:rsidRPr="002C3E19">
        <w:rPr>
          <w:lang w:val="en-US"/>
        </w:rPr>
        <w:t>20020738</w:t>
      </w:r>
      <w:r>
        <w:rPr>
          <w:lang w:val="en-US"/>
        </w:rPr>
        <w:t xml:space="preserve"> </w:t>
      </w:r>
      <w:r w:rsidRPr="002C3E19">
        <w:rPr>
          <w:lang w:eastAsia="bg-BG"/>
        </w:rPr>
        <w:t xml:space="preserve">(Волтарен 50 </w:t>
      </w:r>
      <w:r w:rsidRPr="002C3E19">
        <w:rPr>
          <w:lang w:val="en-US"/>
        </w:rPr>
        <w:t xml:space="preserve">mg </w:t>
      </w:r>
      <w:r w:rsidRPr="002C3E19">
        <w:rPr>
          <w:lang w:eastAsia="bg-BG"/>
        </w:rPr>
        <w:t>супозитории)</w:t>
      </w:r>
    </w:p>
    <w:p w14:paraId="7CE65452" w14:textId="76964BD5" w:rsidR="002C3E19" w:rsidRPr="002C3E19" w:rsidRDefault="002C3E19" w:rsidP="002C3E19">
      <w:r w:rsidRPr="002C3E19">
        <w:rPr>
          <w:lang w:eastAsia="bg-BG"/>
        </w:rPr>
        <w:t>20020739</w:t>
      </w:r>
      <w:r>
        <w:rPr>
          <w:lang w:val="en-US" w:eastAsia="bg-BG"/>
        </w:rPr>
        <w:t xml:space="preserve"> </w:t>
      </w:r>
      <w:r w:rsidRPr="002C3E19">
        <w:rPr>
          <w:lang w:eastAsia="bg-BG"/>
        </w:rPr>
        <w:t xml:space="preserve">(Волтарен 100 </w:t>
      </w:r>
      <w:r w:rsidRPr="002C3E19">
        <w:rPr>
          <w:lang w:val="en-US"/>
        </w:rPr>
        <w:t xml:space="preserve">mg </w:t>
      </w:r>
      <w:r w:rsidRPr="002C3E19">
        <w:rPr>
          <w:lang w:eastAsia="bg-BG"/>
        </w:rPr>
        <w:t>супозитории)</w:t>
      </w:r>
    </w:p>
    <w:p w14:paraId="7C2688F5" w14:textId="6D610EDF" w:rsidR="00F62E44" w:rsidRDefault="00F62E44" w:rsidP="00F62E44"/>
    <w:p w14:paraId="00481C21" w14:textId="753A12CC" w:rsidR="00F62E44" w:rsidRDefault="002C50EE" w:rsidP="00387A66">
      <w:pPr>
        <w:pStyle w:val="Heading1"/>
      </w:pPr>
      <w:r>
        <w:t>9. ДАТА НА ПЪРВО РАЗРЕШАВАНЕ/ПОДНОВЯВАНЕ НА РАЗРЕШЕНИЕТО ЗА УПОТРЕБА</w:t>
      </w:r>
    </w:p>
    <w:p w14:paraId="2BDEA611" w14:textId="77777777" w:rsidR="002C3E19" w:rsidRDefault="002C3E19" w:rsidP="002C3E19"/>
    <w:p w14:paraId="1121BABB" w14:textId="77777777" w:rsidR="002C3E19" w:rsidRPr="002C3E19" w:rsidRDefault="002C3E19" w:rsidP="002C3E19">
      <w:pPr>
        <w:rPr>
          <w:sz w:val="24"/>
          <w:szCs w:val="24"/>
          <w:lang w:eastAsia="bg-BG"/>
        </w:rPr>
      </w:pPr>
      <w:r w:rsidRPr="002C3E19">
        <w:rPr>
          <w:lang w:eastAsia="bg-BG"/>
        </w:rPr>
        <w:t>Дата на първо разрешаване: 16 февруари 1981 г.</w:t>
      </w:r>
    </w:p>
    <w:p w14:paraId="56054291" w14:textId="77777777" w:rsidR="002C3E19" w:rsidRPr="002C3E19" w:rsidRDefault="002C3E19" w:rsidP="002C3E19">
      <w:pPr>
        <w:rPr>
          <w:sz w:val="24"/>
          <w:szCs w:val="24"/>
          <w:lang w:eastAsia="bg-BG"/>
        </w:rPr>
      </w:pPr>
      <w:r w:rsidRPr="002C3E19">
        <w:rPr>
          <w:lang w:eastAsia="bg-BG"/>
        </w:rPr>
        <w:t>Дата на последно подновяване: 27 септември 2007 г.</w:t>
      </w:r>
    </w:p>
    <w:p w14:paraId="633F251C" w14:textId="77777777" w:rsidR="002C3E19" w:rsidRPr="002C3E19" w:rsidRDefault="002C3E19" w:rsidP="002C3E19"/>
    <w:p w14:paraId="43FB38A2" w14:textId="0C18A683" w:rsidR="007C605B" w:rsidRDefault="002C50EE" w:rsidP="005726E3">
      <w:pPr>
        <w:pStyle w:val="Heading1"/>
      </w:pPr>
      <w:r>
        <w:t>10. ДАТА НА АКТУАЛИЗИРАНЕ НА ТЕКСТА</w:t>
      </w:r>
      <w:bookmarkEnd w:id="0"/>
    </w:p>
    <w:p w14:paraId="472617BD" w14:textId="31C6BBBD" w:rsidR="00BB22B4" w:rsidRPr="00BB22B4" w:rsidRDefault="002C3E19" w:rsidP="002C3E19">
      <w:r>
        <w:t>08 септември 2022 г.</w:t>
      </w:r>
    </w:p>
    <w:sectPr w:rsidR="00BB22B4" w:rsidRPr="00BB2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9304D31"/>
    <w:multiLevelType w:val="hybridMultilevel"/>
    <w:tmpl w:val="558E93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C62E48"/>
    <w:multiLevelType w:val="hybridMultilevel"/>
    <w:tmpl w:val="7018B0F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6D37A7"/>
    <w:multiLevelType w:val="hybridMultilevel"/>
    <w:tmpl w:val="46CC86F0"/>
    <w:lvl w:ilvl="0" w:tplc="D1263D3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5"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5D7B25"/>
    <w:multiLevelType w:val="hybridMultilevel"/>
    <w:tmpl w:val="BF06EA66"/>
    <w:lvl w:ilvl="0" w:tplc="71BCBED6">
      <w:start w:val="4"/>
      <w:numFmt w:val="bullet"/>
      <w:lvlText w:val="-"/>
      <w:lvlJc w:val="left"/>
      <w:pPr>
        <w:ind w:left="720" w:hanging="360"/>
      </w:pPr>
      <w:rPr>
        <w:rFonts w:ascii="Times New Roman" w:eastAsia="Times New Roman" w:hAnsi="Times New Roman" w:cs="Times New Roman" w:hint="default"/>
        <w:b/>
        <w:color w:val="000000"/>
        <w:sz w:val="17"/>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6913BD"/>
    <w:multiLevelType w:val="hybridMultilevel"/>
    <w:tmpl w:val="F974588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E06251"/>
    <w:multiLevelType w:val="hybridMultilevel"/>
    <w:tmpl w:val="1090AE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1574118384">
    <w:abstractNumId w:val="32"/>
  </w:num>
  <w:num w:numId="2" w16cid:durableId="1612932146">
    <w:abstractNumId w:val="0"/>
  </w:num>
  <w:num w:numId="3" w16cid:durableId="1810323821">
    <w:abstractNumId w:val="15"/>
  </w:num>
  <w:num w:numId="4" w16cid:durableId="2135319613">
    <w:abstractNumId w:val="3"/>
  </w:num>
  <w:num w:numId="5" w16cid:durableId="740105516">
    <w:abstractNumId w:val="1"/>
  </w:num>
  <w:num w:numId="6" w16cid:durableId="1668363208">
    <w:abstractNumId w:val="20"/>
  </w:num>
  <w:num w:numId="7" w16cid:durableId="1241988161">
    <w:abstractNumId w:val="12"/>
  </w:num>
  <w:num w:numId="8" w16cid:durableId="2102022361">
    <w:abstractNumId w:val="19"/>
  </w:num>
  <w:num w:numId="9" w16cid:durableId="1154613663">
    <w:abstractNumId w:val="2"/>
  </w:num>
  <w:num w:numId="10" w16cid:durableId="1733848127">
    <w:abstractNumId w:val="4"/>
  </w:num>
  <w:num w:numId="11" w16cid:durableId="1861704680">
    <w:abstractNumId w:val="35"/>
  </w:num>
  <w:num w:numId="12" w16cid:durableId="1434934028">
    <w:abstractNumId w:val="17"/>
  </w:num>
  <w:num w:numId="13" w16cid:durableId="479157895">
    <w:abstractNumId w:val="23"/>
  </w:num>
  <w:num w:numId="14" w16cid:durableId="1670476636">
    <w:abstractNumId w:val="14"/>
  </w:num>
  <w:num w:numId="15" w16cid:durableId="1000155783">
    <w:abstractNumId w:val="34"/>
  </w:num>
  <w:num w:numId="16" w16cid:durableId="2056420707">
    <w:abstractNumId w:val="11"/>
  </w:num>
  <w:num w:numId="17" w16cid:durableId="1787119182">
    <w:abstractNumId w:val="28"/>
  </w:num>
  <w:num w:numId="18" w16cid:durableId="722945139">
    <w:abstractNumId w:val="8"/>
  </w:num>
  <w:num w:numId="19" w16cid:durableId="1678728408">
    <w:abstractNumId w:val="30"/>
  </w:num>
  <w:num w:numId="20" w16cid:durableId="1970816657">
    <w:abstractNumId w:val="27"/>
  </w:num>
  <w:num w:numId="21" w16cid:durableId="1531146514">
    <w:abstractNumId w:val="21"/>
  </w:num>
  <w:num w:numId="22" w16cid:durableId="1276465">
    <w:abstractNumId w:val="29"/>
  </w:num>
  <w:num w:numId="23" w16cid:durableId="1624310558">
    <w:abstractNumId w:val="22"/>
  </w:num>
  <w:num w:numId="24" w16cid:durableId="1692877547">
    <w:abstractNumId w:val="9"/>
  </w:num>
  <w:num w:numId="25" w16cid:durableId="50930855">
    <w:abstractNumId w:val="26"/>
  </w:num>
  <w:num w:numId="26" w16cid:durableId="176701536">
    <w:abstractNumId w:val="25"/>
  </w:num>
  <w:num w:numId="27" w16cid:durableId="2050564750">
    <w:abstractNumId w:val="37"/>
  </w:num>
  <w:num w:numId="28" w16cid:durableId="1820733422">
    <w:abstractNumId w:val="6"/>
  </w:num>
  <w:num w:numId="29" w16cid:durableId="973678124">
    <w:abstractNumId w:val="24"/>
  </w:num>
  <w:num w:numId="30" w16cid:durableId="154884452">
    <w:abstractNumId w:val="41"/>
  </w:num>
  <w:num w:numId="31" w16cid:durableId="1053964910">
    <w:abstractNumId w:val="5"/>
  </w:num>
  <w:num w:numId="32" w16cid:durableId="2073575793">
    <w:abstractNumId w:val="39"/>
  </w:num>
  <w:num w:numId="33" w16cid:durableId="1566643170">
    <w:abstractNumId w:val="33"/>
  </w:num>
  <w:num w:numId="34" w16cid:durableId="2060787732">
    <w:abstractNumId w:val="38"/>
  </w:num>
  <w:num w:numId="35" w16cid:durableId="34161354">
    <w:abstractNumId w:val="7"/>
  </w:num>
  <w:num w:numId="36" w16cid:durableId="1976908676">
    <w:abstractNumId w:val="10"/>
  </w:num>
  <w:num w:numId="37" w16cid:durableId="758528303">
    <w:abstractNumId w:val="18"/>
  </w:num>
  <w:num w:numId="38" w16cid:durableId="178396561">
    <w:abstractNumId w:val="40"/>
  </w:num>
  <w:num w:numId="39" w16cid:durableId="934825996">
    <w:abstractNumId w:val="13"/>
  </w:num>
  <w:num w:numId="40" w16cid:durableId="76026486">
    <w:abstractNumId w:val="36"/>
  </w:num>
  <w:num w:numId="41" w16cid:durableId="845366464">
    <w:abstractNumId w:val="16"/>
  </w:num>
  <w:num w:numId="42" w16cid:durableId="200766065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185A46"/>
    <w:rsid w:val="001915B6"/>
    <w:rsid w:val="001A6EBD"/>
    <w:rsid w:val="001D095A"/>
    <w:rsid w:val="001D1B23"/>
    <w:rsid w:val="002B3C38"/>
    <w:rsid w:val="002B4DBB"/>
    <w:rsid w:val="002C3E19"/>
    <w:rsid w:val="002C50EE"/>
    <w:rsid w:val="00340A0A"/>
    <w:rsid w:val="00340E8D"/>
    <w:rsid w:val="00365AAD"/>
    <w:rsid w:val="003765DC"/>
    <w:rsid w:val="00387A66"/>
    <w:rsid w:val="00395555"/>
    <w:rsid w:val="003E3126"/>
    <w:rsid w:val="00426E5F"/>
    <w:rsid w:val="00471F10"/>
    <w:rsid w:val="004A448E"/>
    <w:rsid w:val="004D4D6B"/>
    <w:rsid w:val="004F1CE7"/>
    <w:rsid w:val="004F498A"/>
    <w:rsid w:val="00517A5B"/>
    <w:rsid w:val="005726E3"/>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75EEC"/>
    <w:rsid w:val="00893B92"/>
    <w:rsid w:val="008A6AF2"/>
    <w:rsid w:val="008C70A2"/>
    <w:rsid w:val="008F7F23"/>
    <w:rsid w:val="00936AD0"/>
    <w:rsid w:val="00954129"/>
    <w:rsid w:val="009773E4"/>
    <w:rsid w:val="009B171C"/>
    <w:rsid w:val="009F1313"/>
    <w:rsid w:val="009F77A4"/>
    <w:rsid w:val="00A20351"/>
    <w:rsid w:val="00A428B7"/>
    <w:rsid w:val="00A65A81"/>
    <w:rsid w:val="00A71DCF"/>
    <w:rsid w:val="00A93499"/>
    <w:rsid w:val="00AA23EC"/>
    <w:rsid w:val="00AC63CE"/>
    <w:rsid w:val="00AE2107"/>
    <w:rsid w:val="00B275A8"/>
    <w:rsid w:val="00B6672E"/>
    <w:rsid w:val="00BA5B74"/>
    <w:rsid w:val="00BB22B4"/>
    <w:rsid w:val="00BF2600"/>
    <w:rsid w:val="00C0049F"/>
    <w:rsid w:val="00C07B84"/>
    <w:rsid w:val="00C33464"/>
    <w:rsid w:val="00C40420"/>
    <w:rsid w:val="00C809A7"/>
    <w:rsid w:val="00C83063"/>
    <w:rsid w:val="00C87E90"/>
    <w:rsid w:val="00CA1B57"/>
    <w:rsid w:val="00CF77F7"/>
    <w:rsid w:val="00D86297"/>
    <w:rsid w:val="00DB32D3"/>
    <w:rsid w:val="00DD466D"/>
    <w:rsid w:val="00E42D7B"/>
    <w:rsid w:val="00E9184E"/>
    <w:rsid w:val="00EB6364"/>
    <w:rsid w:val="00EE6C97"/>
    <w:rsid w:val="00F37B64"/>
    <w:rsid w:val="00F53FB7"/>
    <w:rsid w:val="00F62E44"/>
    <w:rsid w:val="00FD69E8"/>
    <w:rsid w:val="00FF7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18</Pages>
  <Words>6347</Words>
  <Characters>36183</Characters>
  <Application>Microsoft Office Word</Application>
  <DocSecurity>0</DocSecurity>
  <Lines>301</Lines>
  <Paragraphs>84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2023-06-03T21:21:00Z</dcterms:created>
  <dcterms:modified xsi:type="dcterms:W3CDTF">2023-06-03T21:21:00Z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