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0A9EBC20" w14:textId="0308FB46" w:rsidR="009F77A4" w:rsidRDefault="00DD466D" w:rsidP="00387A66">
      <w:pPr>
        <w:pStyle w:val="Heading1"/>
      </w:pPr>
      <w:r>
        <w:t>1.ИМЕ НА ЛЕКАРСТВЕНИЯ ПРОДУКТ</w:t>
      </w:r>
    </w:p>
    <w:p w14:paraId="77E09422" w14:textId="77777777" w:rsidR="00CC565E" w:rsidRDefault="00CC565E" w:rsidP="00CC565E"/>
    <w:p w14:paraId="378B31A6" w14:textId="77777777" w:rsidR="00CC565E" w:rsidRDefault="00CC565E" w:rsidP="00CC565E">
      <w:pPr>
        <w:rPr>
          <w:lang w:eastAsia="bg-BG"/>
        </w:rPr>
      </w:pPr>
      <w:r w:rsidRPr="00CC565E">
        <w:rPr>
          <w:lang w:eastAsia="bg-BG"/>
        </w:rPr>
        <w:t>Ксалатан 50 микрограма</w:t>
      </w:r>
      <w:r w:rsidRPr="00CC565E">
        <w:rPr>
          <w:lang w:val="en-US"/>
        </w:rPr>
        <w:t xml:space="preserve">/ml </w:t>
      </w:r>
      <w:r w:rsidRPr="00CC565E">
        <w:rPr>
          <w:lang w:eastAsia="bg-BG"/>
        </w:rPr>
        <w:t xml:space="preserve">капки за очи, разтвор </w:t>
      </w:r>
    </w:p>
    <w:p w14:paraId="16098E1C" w14:textId="7954714B" w:rsidR="00CC565E" w:rsidRPr="00CC565E" w:rsidRDefault="00CC565E" w:rsidP="00CC565E">
      <w:pPr>
        <w:rPr>
          <w:sz w:val="24"/>
          <w:szCs w:val="24"/>
          <w:lang w:eastAsia="bg-BG"/>
        </w:rPr>
      </w:pPr>
      <w:r w:rsidRPr="00CC565E">
        <w:rPr>
          <w:lang w:val="en-US"/>
        </w:rPr>
        <w:t xml:space="preserve">Xalatan </w:t>
      </w:r>
      <w:r w:rsidRPr="00CC565E">
        <w:rPr>
          <w:lang w:eastAsia="bg-BG"/>
        </w:rPr>
        <w:t xml:space="preserve">50 </w:t>
      </w:r>
      <w:r w:rsidRPr="00CC565E">
        <w:rPr>
          <w:lang w:val="en-US"/>
        </w:rPr>
        <w:t>micrograms/ml eye drops, solution</w:t>
      </w:r>
    </w:p>
    <w:p w14:paraId="751CF086" w14:textId="77777777" w:rsidR="00CC565E" w:rsidRPr="00CC565E" w:rsidRDefault="00CC565E" w:rsidP="00CC565E"/>
    <w:p w14:paraId="0DF202EC" w14:textId="10882A08" w:rsidR="00F53FB7" w:rsidRDefault="00DD466D" w:rsidP="00A93499">
      <w:pPr>
        <w:pStyle w:val="Heading1"/>
      </w:pPr>
      <w:r>
        <w:t>2. КАЧЕСТВЕН И КОЛИЧЕСТВЕН СЪСТАВ</w:t>
      </w:r>
    </w:p>
    <w:p w14:paraId="4907EF44" w14:textId="77777777" w:rsidR="00CC565E" w:rsidRDefault="00CC565E" w:rsidP="00CC565E"/>
    <w:p w14:paraId="738ACD17" w14:textId="67A478E5"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 xml:space="preserve">1 </w:t>
      </w:r>
      <w:r w:rsidRPr="00CC565E">
        <w:rPr>
          <w:rFonts w:eastAsia="Times New Roman" w:cs="Arial"/>
          <w:color w:val="000000"/>
          <w:lang w:val="en-US"/>
        </w:rPr>
        <w:t xml:space="preserve">ml </w:t>
      </w:r>
      <w:r w:rsidRPr="00CC565E">
        <w:rPr>
          <w:rFonts w:eastAsia="Times New Roman" w:cs="Arial"/>
          <w:color w:val="000000"/>
          <w:lang w:eastAsia="bg-BG"/>
        </w:rPr>
        <w:t xml:space="preserve">капки за очи, разтвор съдържат 50 микрограма латанопрост </w:t>
      </w:r>
      <w:r w:rsidRPr="00CC565E">
        <w:rPr>
          <w:rFonts w:eastAsia="Times New Roman" w:cs="Arial"/>
          <w:i/>
          <w:iCs/>
          <w:color w:val="000000"/>
          <w:lang w:val="en-US"/>
        </w:rPr>
        <w:t>(latanoprost).</w:t>
      </w:r>
    </w:p>
    <w:p w14:paraId="48C69F6A" w14:textId="77777777" w:rsidR="00CC565E" w:rsidRPr="00CC565E" w:rsidRDefault="00CC565E" w:rsidP="00CC565E">
      <w:pPr>
        <w:spacing w:line="240" w:lineRule="auto"/>
        <w:rPr>
          <w:rFonts w:eastAsia="Times New Roman" w:cs="Arial"/>
          <w:color w:val="000000"/>
          <w:lang w:eastAsia="bg-BG"/>
        </w:rPr>
      </w:pPr>
    </w:p>
    <w:p w14:paraId="2EEAD8FA" w14:textId="52A2C0AD"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Една капка съдържа около 1,5 микрограма латанопрост.</w:t>
      </w:r>
    </w:p>
    <w:p w14:paraId="11A7A653" w14:textId="77777777" w:rsidR="00CC565E" w:rsidRPr="00CC565E" w:rsidRDefault="00CC565E" w:rsidP="00CC565E">
      <w:pPr>
        <w:spacing w:line="240" w:lineRule="auto"/>
        <w:rPr>
          <w:rFonts w:eastAsia="Times New Roman" w:cs="Arial"/>
          <w:color w:val="000000"/>
          <w:u w:val="single"/>
          <w:lang w:eastAsia="bg-BG"/>
        </w:rPr>
      </w:pPr>
    </w:p>
    <w:p w14:paraId="0292BEC6" w14:textId="0986C106"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u w:val="single"/>
          <w:lang w:eastAsia="bg-BG"/>
        </w:rPr>
        <w:t>Помощни вещества с известно действие</w:t>
      </w:r>
    </w:p>
    <w:p w14:paraId="52AD5E23" w14:textId="77777777"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 xml:space="preserve">Бензалкониев хлорид 0,2 </w:t>
      </w:r>
      <w:r w:rsidRPr="00CC565E">
        <w:rPr>
          <w:rFonts w:eastAsia="Times New Roman" w:cs="Arial"/>
          <w:color w:val="000000"/>
          <w:lang w:val="en-US"/>
        </w:rPr>
        <w:t xml:space="preserve">mg/ml </w:t>
      </w:r>
      <w:r w:rsidRPr="00CC565E">
        <w:rPr>
          <w:rFonts w:eastAsia="Times New Roman" w:cs="Arial"/>
          <w:color w:val="000000"/>
          <w:lang w:eastAsia="bg-BG"/>
        </w:rPr>
        <w:t>е включен като консервант.</w:t>
      </w:r>
    </w:p>
    <w:p w14:paraId="60014500" w14:textId="77777777"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 xml:space="preserve">Натриев дихидрогенфосфат монохидрат </w:t>
      </w:r>
      <w:r w:rsidRPr="00CC565E">
        <w:rPr>
          <w:rFonts w:eastAsia="Times New Roman" w:cs="Arial"/>
          <w:color w:val="000000"/>
          <w:lang w:val="en-US"/>
        </w:rPr>
        <w:t xml:space="preserve">(E339i) </w:t>
      </w:r>
      <w:r w:rsidRPr="00CC565E">
        <w:rPr>
          <w:rFonts w:eastAsia="Times New Roman" w:cs="Arial"/>
          <w:color w:val="000000"/>
          <w:lang w:eastAsia="bg-BG"/>
        </w:rPr>
        <w:t xml:space="preserve">7,70 </w:t>
      </w:r>
      <w:r w:rsidRPr="00CC565E">
        <w:rPr>
          <w:rFonts w:eastAsia="Times New Roman" w:cs="Arial"/>
          <w:color w:val="000000"/>
          <w:lang w:val="en-US"/>
        </w:rPr>
        <w:t>mg/ml.</w:t>
      </w:r>
    </w:p>
    <w:p w14:paraId="62D201D8" w14:textId="2BC0EB24" w:rsidR="00CC565E" w:rsidRPr="00CC565E" w:rsidRDefault="00CC565E" w:rsidP="00CC565E">
      <w:pPr>
        <w:rPr>
          <w:rFonts w:cs="Arial"/>
          <w:sz w:val="24"/>
          <w:szCs w:val="24"/>
        </w:rPr>
      </w:pPr>
      <w:r w:rsidRPr="00CC565E">
        <w:rPr>
          <w:rFonts w:eastAsia="Times New Roman" w:cs="Arial"/>
          <w:color w:val="000000"/>
          <w:lang w:eastAsia="bg-BG"/>
        </w:rPr>
        <w:t xml:space="preserve">Динатриев фосфат, безводен (Е339Н) 1,55 </w:t>
      </w:r>
      <w:r w:rsidRPr="00CC565E">
        <w:rPr>
          <w:rFonts w:eastAsia="Times New Roman" w:cs="Arial"/>
          <w:color w:val="000000"/>
          <w:lang w:val="en-US"/>
        </w:rPr>
        <w:t>mg/ml.</w:t>
      </w:r>
    </w:p>
    <w:p w14:paraId="4CABB9ED" w14:textId="2740FB4D" w:rsidR="00F53FB7" w:rsidRDefault="00DD466D" w:rsidP="00A93499">
      <w:pPr>
        <w:pStyle w:val="Heading1"/>
      </w:pPr>
      <w:r>
        <w:t>3. ЛЕКАРСТВЕНА ФОРМА</w:t>
      </w:r>
    </w:p>
    <w:p w14:paraId="23483562" w14:textId="77777777" w:rsidR="00CC565E" w:rsidRDefault="00CC565E" w:rsidP="00CC565E"/>
    <w:p w14:paraId="1A37A8FA" w14:textId="77777777" w:rsidR="00CC565E" w:rsidRPr="00CC565E" w:rsidRDefault="00CC565E" w:rsidP="00CC565E">
      <w:pPr>
        <w:rPr>
          <w:sz w:val="24"/>
          <w:szCs w:val="24"/>
          <w:lang w:eastAsia="bg-BG"/>
        </w:rPr>
      </w:pPr>
      <w:r w:rsidRPr="00CC565E">
        <w:rPr>
          <w:lang w:eastAsia="bg-BG"/>
        </w:rPr>
        <w:t>Капки за очи, разтвор.</w:t>
      </w:r>
    </w:p>
    <w:p w14:paraId="426222CE" w14:textId="77777777" w:rsidR="00CC565E" w:rsidRDefault="00CC565E" w:rsidP="00CC565E">
      <w:pPr>
        <w:rPr>
          <w:lang w:eastAsia="bg-BG"/>
        </w:rPr>
      </w:pPr>
    </w:p>
    <w:p w14:paraId="645A2BB3" w14:textId="16A13B06" w:rsidR="00CC565E" w:rsidRPr="00CC565E" w:rsidRDefault="00CC565E" w:rsidP="00CC565E">
      <w:pPr>
        <w:rPr>
          <w:sz w:val="24"/>
          <w:szCs w:val="24"/>
          <w:lang w:eastAsia="bg-BG"/>
        </w:rPr>
      </w:pPr>
      <w:r w:rsidRPr="00CC565E">
        <w:rPr>
          <w:lang w:eastAsia="bg-BG"/>
        </w:rPr>
        <w:t>Разтворът е прозрачна, безцветна течност.</w:t>
      </w:r>
    </w:p>
    <w:p w14:paraId="13537BC2" w14:textId="77777777" w:rsidR="00CC565E" w:rsidRPr="00CC565E" w:rsidRDefault="00CC565E" w:rsidP="00CC565E"/>
    <w:p w14:paraId="490FC2C4" w14:textId="6899DE43" w:rsidR="002C50EE" w:rsidRDefault="002C50EE" w:rsidP="002C50EE">
      <w:pPr>
        <w:pStyle w:val="Heading1"/>
      </w:pPr>
      <w:r>
        <w:t>4. КЛИНИЧНИ ДАННИ</w:t>
      </w:r>
    </w:p>
    <w:p w14:paraId="461901E4" w14:textId="0A9C51D3" w:rsidR="009F77A4" w:rsidRDefault="002C50EE" w:rsidP="00387A66">
      <w:pPr>
        <w:pStyle w:val="Heading2"/>
      </w:pPr>
      <w:r>
        <w:t>4.1. Терапевтични показания</w:t>
      </w:r>
    </w:p>
    <w:p w14:paraId="2542B80E" w14:textId="77777777" w:rsidR="00CC565E" w:rsidRDefault="00CC565E" w:rsidP="00CC565E"/>
    <w:p w14:paraId="42C89227" w14:textId="77777777" w:rsidR="00CC565E" w:rsidRPr="00CC565E" w:rsidRDefault="00CC565E" w:rsidP="00CC565E">
      <w:pPr>
        <w:rPr>
          <w:sz w:val="24"/>
          <w:szCs w:val="24"/>
          <w:lang w:eastAsia="bg-BG"/>
        </w:rPr>
      </w:pPr>
      <w:r w:rsidRPr="00CC565E">
        <w:rPr>
          <w:lang w:eastAsia="bg-BG"/>
        </w:rPr>
        <w:t>Намаляване на повишено вътреочно налягане (ВОН) при пациенти с откритоъгьлна глаукома и очна хипертония при възрастни (включително пациенти в старческа възраст).</w:t>
      </w:r>
    </w:p>
    <w:p w14:paraId="365EF320" w14:textId="77777777" w:rsidR="00CC565E" w:rsidRDefault="00CC565E" w:rsidP="00CC565E">
      <w:pPr>
        <w:rPr>
          <w:lang w:eastAsia="bg-BG"/>
        </w:rPr>
      </w:pPr>
    </w:p>
    <w:p w14:paraId="239BC4C7" w14:textId="67EE271A" w:rsidR="00CC565E" w:rsidRPr="00CC565E" w:rsidRDefault="00CC565E" w:rsidP="00CC565E">
      <w:pPr>
        <w:rPr>
          <w:sz w:val="24"/>
          <w:szCs w:val="24"/>
          <w:lang w:eastAsia="bg-BG"/>
        </w:rPr>
      </w:pPr>
      <w:r w:rsidRPr="00CC565E">
        <w:rPr>
          <w:lang w:eastAsia="bg-BG"/>
        </w:rPr>
        <w:t>Намаляване на повишено ВОН при педиатрични пациенти с повишено ВОН и глаукома в детска възраст.</w:t>
      </w:r>
    </w:p>
    <w:p w14:paraId="7040D4BC" w14:textId="77777777" w:rsidR="00CC565E" w:rsidRPr="00CC565E" w:rsidRDefault="00CC565E" w:rsidP="00CC565E"/>
    <w:p w14:paraId="31744E5A" w14:textId="29FBB145" w:rsidR="009F77A4" w:rsidRDefault="002C50EE" w:rsidP="00387A66">
      <w:pPr>
        <w:pStyle w:val="Heading2"/>
      </w:pPr>
      <w:r>
        <w:t>4.2. Дозировка и начин на приложение</w:t>
      </w:r>
    </w:p>
    <w:p w14:paraId="7C002BCE" w14:textId="77777777" w:rsidR="00CC565E" w:rsidRDefault="00CC565E" w:rsidP="00CC565E"/>
    <w:p w14:paraId="58BBBF24" w14:textId="77777777" w:rsidR="00CC565E" w:rsidRPr="00CC565E" w:rsidRDefault="00CC565E" w:rsidP="00CC565E">
      <w:pPr>
        <w:pStyle w:val="Heading3"/>
        <w:rPr>
          <w:rFonts w:eastAsia="Times New Roman"/>
          <w:sz w:val="28"/>
          <w:szCs w:val="28"/>
          <w:u w:val="single"/>
          <w:lang w:eastAsia="bg-BG"/>
        </w:rPr>
      </w:pPr>
      <w:r w:rsidRPr="00CC565E">
        <w:rPr>
          <w:rFonts w:eastAsia="Times New Roman"/>
          <w:u w:val="single"/>
          <w:lang w:eastAsia="bg-BG"/>
        </w:rPr>
        <w:t>Дозировка</w:t>
      </w:r>
    </w:p>
    <w:p w14:paraId="25768BBD" w14:textId="77777777" w:rsidR="00CC565E" w:rsidRPr="00CC565E" w:rsidRDefault="00CC565E" w:rsidP="00CC565E">
      <w:pPr>
        <w:spacing w:line="240" w:lineRule="auto"/>
        <w:rPr>
          <w:rFonts w:eastAsia="Times New Roman" w:cs="Arial"/>
          <w:i/>
          <w:iCs/>
          <w:color w:val="000000"/>
          <w:lang w:eastAsia="bg-BG"/>
        </w:rPr>
      </w:pPr>
    </w:p>
    <w:p w14:paraId="35A0B51A" w14:textId="2D18A4C9" w:rsidR="00CC565E" w:rsidRPr="00CC565E" w:rsidRDefault="00CC565E" w:rsidP="00CC565E">
      <w:pPr>
        <w:spacing w:line="240" w:lineRule="auto"/>
        <w:rPr>
          <w:rFonts w:eastAsia="Times New Roman" w:cs="Arial"/>
          <w:sz w:val="28"/>
          <w:szCs w:val="28"/>
          <w:lang w:eastAsia="bg-BG"/>
        </w:rPr>
      </w:pPr>
      <w:r w:rsidRPr="00CC565E">
        <w:rPr>
          <w:rFonts w:eastAsia="Times New Roman" w:cs="Arial"/>
          <w:i/>
          <w:iCs/>
          <w:color w:val="000000"/>
          <w:lang w:eastAsia="bg-BG"/>
        </w:rPr>
        <w:t>Възрастни (включително пациенти в старческа възраст)</w:t>
      </w:r>
    </w:p>
    <w:p w14:paraId="33EB5D40" w14:textId="77777777" w:rsidR="00CC565E" w:rsidRPr="00CC565E" w:rsidRDefault="00CC565E" w:rsidP="00CC565E">
      <w:pPr>
        <w:spacing w:line="240" w:lineRule="auto"/>
        <w:rPr>
          <w:rFonts w:eastAsia="Times New Roman" w:cs="Arial"/>
          <w:color w:val="000000"/>
          <w:lang w:eastAsia="bg-BG"/>
        </w:rPr>
      </w:pPr>
    </w:p>
    <w:p w14:paraId="715064EF" w14:textId="4FDB8788"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Препоръчителното лечение е една капка в засегнатото око (очи) веднъж дневно. Оптимален ефект се постига, ако Ксалатан се прилага вечер.</w:t>
      </w:r>
    </w:p>
    <w:p w14:paraId="2EDD33C6" w14:textId="77777777" w:rsidR="00CC565E" w:rsidRPr="00CC565E" w:rsidRDefault="00CC565E" w:rsidP="00CC565E">
      <w:pPr>
        <w:spacing w:line="240" w:lineRule="auto"/>
        <w:rPr>
          <w:rFonts w:eastAsia="Times New Roman" w:cs="Arial"/>
          <w:color w:val="000000"/>
          <w:lang w:eastAsia="bg-BG"/>
        </w:rPr>
      </w:pPr>
    </w:p>
    <w:p w14:paraId="343D1165" w14:textId="676528DA"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lastRenderedPageBreak/>
        <w:t>Ксалатан не трябва да се прилага повече от един път дневно, тъй като е доказано, че по-честото приложение намалява ефекта на понижаване на ВОН.</w:t>
      </w:r>
    </w:p>
    <w:p w14:paraId="6EEE4769" w14:textId="77777777" w:rsidR="00CC565E" w:rsidRPr="00CC565E" w:rsidRDefault="00CC565E" w:rsidP="00CC565E">
      <w:pPr>
        <w:spacing w:line="240" w:lineRule="auto"/>
        <w:rPr>
          <w:rFonts w:eastAsia="Times New Roman" w:cs="Arial"/>
          <w:color w:val="000000"/>
          <w:lang w:eastAsia="bg-BG"/>
        </w:rPr>
      </w:pPr>
    </w:p>
    <w:p w14:paraId="25D1312D" w14:textId="77180114"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Ако бъде пропусната доза, лечението следва да продължи нормално, с приложение на следващата доза.</w:t>
      </w:r>
    </w:p>
    <w:p w14:paraId="338343A2" w14:textId="77777777" w:rsidR="00CC565E" w:rsidRPr="00CC565E" w:rsidRDefault="00CC565E" w:rsidP="00CC565E">
      <w:pPr>
        <w:spacing w:line="240" w:lineRule="auto"/>
        <w:rPr>
          <w:rFonts w:eastAsia="Times New Roman" w:cs="Arial"/>
          <w:i/>
          <w:iCs/>
          <w:color w:val="000000"/>
          <w:lang w:eastAsia="bg-BG"/>
        </w:rPr>
      </w:pPr>
    </w:p>
    <w:p w14:paraId="65584AE3" w14:textId="46367DC2" w:rsidR="00CC565E" w:rsidRPr="00CC565E" w:rsidRDefault="00CC565E" w:rsidP="00CC565E">
      <w:pPr>
        <w:spacing w:line="240" w:lineRule="auto"/>
        <w:rPr>
          <w:rFonts w:eastAsia="Times New Roman" w:cs="Arial"/>
          <w:sz w:val="28"/>
          <w:szCs w:val="28"/>
          <w:lang w:eastAsia="bg-BG"/>
        </w:rPr>
      </w:pPr>
      <w:r w:rsidRPr="00CC565E">
        <w:rPr>
          <w:rFonts w:eastAsia="Times New Roman" w:cs="Arial"/>
          <w:i/>
          <w:iCs/>
          <w:color w:val="000000"/>
          <w:lang w:eastAsia="bg-BG"/>
        </w:rPr>
        <w:t>Педиатрична популация</w:t>
      </w:r>
    </w:p>
    <w:p w14:paraId="5174B846" w14:textId="77777777" w:rsidR="00CC565E" w:rsidRPr="00CC565E" w:rsidRDefault="00CC565E" w:rsidP="00CC565E">
      <w:pPr>
        <w:spacing w:line="240" w:lineRule="auto"/>
        <w:rPr>
          <w:rFonts w:eastAsia="Times New Roman" w:cs="Arial"/>
          <w:color w:val="000000"/>
          <w:lang w:eastAsia="bg-BG"/>
        </w:rPr>
      </w:pPr>
    </w:p>
    <w:p w14:paraId="583B2638" w14:textId="77777777" w:rsidR="00CC565E" w:rsidRPr="00CC565E" w:rsidRDefault="00CC565E" w:rsidP="00CC565E">
      <w:pPr>
        <w:rPr>
          <w:rFonts w:eastAsia="Times New Roman" w:cs="Arial"/>
          <w:sz w:val="28"/>
          <w:szCs w:val="28"/>
          <w:lang w:eastAsia="bg-BG"/>
        </w:rPr>
      </w:pPr>
      <w:r w:rsidRPr="00CC565E">
        <w:rPr>
          <w:rFonts w:eastAsia="Times New Roman" w:cs="Arial"/>
          <w:color w:val="000000"/>
          <w:lang w:eastAsia="bg-BG"/>
        </w:rPr>
        <w:t>Ксалатан капки за очи, разтвор може да се прилага при педиатрични пациенти със същата дозировка, както при възрастни. Липсват данни при недоносени деца (родени преди</w:t>
      </w:r>
      <w:r w:rsidRPr="00CC565E">
        <w:rPr>
          <w:rFonts w:eastAsia="Times New Roman" w:cs="Arial"/>
          <w:color w:val="000000"/>
          <w:lang w:val="en-US" w:eastAsia="bg-BG"/>
        </w:rPr>
        <w:t xml:space="preserve"> </w:t>
      </w:r>
      <w:r w:rsidRPr="00CC565E">
        <w:rPr>
          <w:rFonts w:eastAsia="Times New Roman" w:cs="Arial"/>
          <w:color w:val="000000"/>
          <w:lang w:eastAsia="bg-BG"/>
        </w:rPr>
        <w:t>36 гестационна седмица). Данните при възрастовата група &lt;1 година (4 пациенти) са ограничени (вж. точка 5.1).</w:t>
      </w:r>
    </w:p>
    <w:p w14:paraId="1344DBA6" w14:textId="77777777" w:rsidR="00CC565E" w:rsidRPr="00CC565E" w:rsidRDefault="00CC565E" w:rsidP="00CC565E">
      <w:pPr>
        <w:spacing w:line="240" w:lineRule="auto"/>
        <w:rPr>
          <w:rFonts w:eastAsia="Times New Roman" w:cs="Arial"/>
          <w:color w:val="000000"/>
          <w:u w:val="single"/>
          <w:lang w:eastAsia="bg-BG"/>
        </w:rPr>
      </w:pPr>
    </w:p>
    <w:p w14:paraId="70362342" w14:textId="391C71C1" w:rsidR="00CC565E" w:rsidRPr="00CC565E" w:rsidRDefault="00CC565E" w:rsidP="00CC565E">
      <w:pPr>
        <w:pStyle w:val="Heading3"/>
        <w:rPr>
          <w:rFonts w:eastAsia="Times New Roman"/>
          <w:sz w:val="28"/>
          <w:szCs w:val="28"/>
          <w:u w:val="single"/>
          <w:lang w:eastAsia="bg-BG"/>
        </w:rPr>
      </w:pPr>
      <w:r w:rsidRPr="00CC565E">
        <w:rPr>
          <w:rFonts w:eastAsia="Times New Roman"/>
          <w:u w:val="single"/>
          <w:lang w:eastAsia="bg-BG"/>
        </w:rPr>
        <w:t>Начин на приложение</w:t>
      </w:r>
    </w:p>
    <w:p w14:paraId="67F390E9" w14:textId="77777777"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Както при всички капки за очи, за да се намали възможната системна абсорбция, се препоръчва лакрималният сак да бъде притиснат за една минута във вътрешния ъгъл на окото (точково затваряне). Това трябва да се направи веднага след приложение на всяка капка.</w:t>
      </w:r>
    </w:p>
    <w:p w14:paraId="66904DC4" w14:textId="77777777" w:rsidR="00CC565E" w:rsidRPr="00CC565E" w:rsidRDefault="00CC565E" w:rsidP="00CC565E">
      <w:pPr>
        <w:spacing w:line="240" w:lineRule="auto"/>
        <w:rPr>
          <w:rFonts w:eastAsia="Times New Roman" w:cs="Arial"/>
          <w:color w:val="000000"/>
          <w:lang w:eastAsia="bg-BG"/>
        </w:rPr>
      </w:pPr>
    </w:p>
    <w:p w14:paraId="060B3741" w14:textId="53AB1D4F"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Контактните лещи трябва да се свалят преди приложение на капките за очи и могат да се поставят отново след 15 минути.</w:t>
      </w:r>
    </w:p>
    <w:p w14:paraId="45C64AB4" w14:textId="77777777" w:rsidR="00CC565E" w:rsidRPr="00CC565E" w:rsidRDefault="00CC565E" w:rsidP="00CC565E">
      <w:pPr>
        <w:spacing w:line="240" w:lineRule="auto"/>
        <w:rPr>
          <w:rFonts w:eastAsia="Times New Roman" w:cs="Arial"/>
          <w:color w:val="000000"/>
          <w:lang w:eastAsia="bg-BG"/>
        </w:rPr>
      </w:pPr>
    </w:p>
    <w:p w14:paraId="77536EB5" w14:textId="490451E3"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Ако се употребява повече от един лекарствен продукт за локално приложение в очите, лекарствените продукти трябва да бъдат прилагани през интервал от минимум пет минути.</w:t>
      </w:r>
    </w:p>
    <w:p w14:paraId="0C7508C4" w14:textId="77777777" w:rsidR="00CC565E" w:rsidRPr="00CC565E" w:rsidRDefault="00CC565E" w:rsidP="00CC565E"/>
    <w:p w14:paraId="5D9E65DA" w14:textId="37CC7594" w:rsidR="009F77A4" w:rsidRDefault="002C50EE" w:rsidP="00387A66">
      <w:pPr>
        <w:pStyle w:val="Heading2"/>
      </w:pPr>
      <w:r>
        <w:t>4.3. Противопоказания</w:t>
      </w:r>
    </w:p>
    <w:p w14:paraId="4265ABF8" w14:textId="77777777" w:rsidR="00CC565E" w:rsidRDefault="00CC565E" w:rsidP="00CC565E"/>
    <w:p w14:paraId="2DDD4823" w14:textId="6B61037D" w:rsidR="00CC565E" w:rsidRDefault="00CC565E" w:rsidP="00CC565E">
      <w:pPr>
        <w:rPr>
          <w:lang w:eastAsia="bg-BG"/>
        </w:rPr>
      </w:pPr>
      <w:r w:rsidRPr="00CC565E">
        <w:rPr>
          <w:lang w:eastAsia="bg-BG"/>
        </w:rPr>
        <w:t>Свръхчувствителност към латанопрост или към някое от помощните вещества, изброени в точка 6.1.</w:t>
      </w:r>
    </w:p>
    <w:p w14:paraId="1B75F06F" w14:textId="77777777" w:rsidR="00CC565E" w:rsidRPr="00CC565E" w:rsidRDefault="00CC565E" w:rsidP="00CC565E">
      <w:pPr>
        <w:rPr>
          <w:sz w:val="24"/>
          <w:szCs w:val="24"/>
          <w:lang w:eastAsia="bg-BG"/>
        </w:rPr>
      </w:pPr>
    </w:p>
    <w:p w14:paraId="1C27CE53" w14:textId="39C79156" w:rsidR="009F77A4" w:rsidRDefault="002C50EE" w:rsidP="00387A66">
      <w:pPr>
        <w:pStyle w:val="Heading2"/>
      </w:pPr>
      <w:r>
        <w:t>4.4. Специални предупреждения и предпазни мерки при употреба</w:t>
      </w:r>
    </w:p>
    <w:p w14:paraId="0223B0AC" w14:textId="77777777" w:rsidR="00CC565E" w:rsidRDefault="00CC565E" w:rsidP="00CC565E"/>
    <w:p w14:paraId="2E3F1773" w14:textId="77777777"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Ксалатан може постепенно да предизвика промяна в цвета на окото чрез увеличаване на количеството на кафявия пигмент в ириса. Преди назначаване на лечението пациентите трябва да бъдат информирани за възможността от постоянна промяна на цвета на окото.</w:t>
      </w:r>
    </w:p>
    <w:p w14:paraId="45736693" w14:textId="2B751B0A"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Едностранното лечение може да доведе до трайна хетерохромия.</w:t>
      </w:r>
    </w:p>
    <w:p w14:paraId="6E386CF3" w14:textId="77777777" w:rsidR="00CC565E" w:rsidRPr="00CC565E" w:rsidRDefault="00CC565E" w:rsidP="00CC565E">
      <w:pPr>
        <w:spacing w:line="240" w:lineRule="auto"/>
        <w:rPr>
          <w:rFonts w:eastAsia="Times New Roman" w:cs="Arial"/>
          <w:color w:val="000000"/>
          <w:lang w:eastAsia="bg-BG"/>
        </w:rPr>
      </w:pPr>
    </w:p>
    <w:p w14:paraId="77330066" w14:textId="474CF3F9"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 xml:space="preserve">Тази промяна в цвета на очите е била наблюдавана предимно при пациенти със смесен цвят на ирисите, т.е. синьо-кафяв, сиво-кафяв, жълто-кафяв и зелено-кафяв. В проучвания с латанопрост, началото на промяната настъпва обикновено в рамките на първите 8 месеца от лечението, рядко през втората или третата година и не е наблюдавано след четвъртата година от лечението. Степента на прогресия на пигментация на ириса намалява с времето и се стабилизира за пет години. Ефектът на увеличена пигментация след пет години не е оценен. В открито 5-годишно проучване за безопасността на латанопрост, 33% от пациентите са развили пигментация на ириса (вж. точка 4.8). Промяната в цвета на ириса в повечето случаи е лека и често не е наблюдавана клинично. Честотата при пациенти с ириси със смесен цвят варира от 7 до 85% с най-висока честота при жълто-кафявите ириси. Не е наблюдавана промяна при </w:t>
      </w:r>
      <w:r w:rsidRPr="00CC565E">
        <w:rPr>
          <w:rFonts w:eastAsia="Times New Roman" w:cs="Arial"/>
          <w:color w:val="000000"/>
          <w:lang w:eastAsia="bg-BG"/>
        </w:rPr>
        <w:lastRenderedPageBreak/>
        <w:t>пациенти с хомогенно сини очи, а при пациенти с хомогенно сиви, зелени или кафяви очи промяната е наблюдавана рядко.</w:t>
      </w:r>
    </w:p>
    <w:p w14:paraId="138A9FE4" w14:textId="77777777" w:rsidR="00CC565E" w:rsidRPr="00CC565E" w:rsidRDefault="00CC565E" w:rsidP="00CC565E">
      <w:pPr>
        <w:spacing w:line="240" w:lineRule="auto"/>
        <w:rPr>
          <w:rFonts w:eastAsia="Times New Roman" w:cs="Arial"/>
          <w:color w:val="000000"/>
          <w:lang w:eastAsia="bg-BG"/>
        </w:rPr>
      </w:pPr>
    </w:p>
    <w:p w14:paraId="7AA33194" w14:textId="05B889C9"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Промяната в цвета се дължи на повишено съдържание на меланин в меланоцитите на ирисната строма и не се дължи на увеличаване броя на меланоцитите. В типичните случаи кафявата пигментация около зеницата се разпространява концентрично към периферията на засегнатите очи, но целият ирис или части от него могат да станат по-кафеникави. Не е наблюдавано по</w:t>
      </w:r>
      <w:r w:rsidRPr="00CC565E">
        <w:rPr>
          <w:rFonts w:eastAsia="Times New Roman" w:cs="Arial"/>
          <w:color w:val="000000"/>
          <w:lang w:eastAsia="bg-BG"/>
        </w:rPr>
        <w:softHyphen/>
        <w:t>нататъшно увеличение на кафявия пигмент на ириса след спиране на лечението. Тя не е била свързана с някакъв симптом или патологични промени в клиничните проучвания, проведени досега.</w:t>
      </w:r>
    </w:p>
    <w:p w14:paraId="410D9658" w14:textId="77777777" w:rsidR="00CC565E" w:rsidRPr="00CC565E" w:rsidRDefault="00CC565E" w:rsidP="00CC565E">
      <w:pPr>
        <w:spacing w:line="240" w:lineRule="auto"/>
        <w:rPr>
          <w:rFonts w:eastAsia="Times New Roman" w:cs="Arial"/>
          <w:color w:val="000000"/>
          <w:lang w:eastAsia="bg-BG"/>
        </w:rPr>
      </w:pPr>
    </w:p>
    <w:p w14:paraId="61B1E397" w14:textId="4824A653" w:rsidR="00CC565E" w:rsidRPr="00CC565E" w:rsidRDefault="00CC565E" w:rsidP="00CC565E">
      <w:pPr>
        <w:spacing w:line="240" w:lineRule="auto"/>
        <w:rPr>
          <w:rFonts w:eastAsia="Times New Roman" w:cs="Arial"/>
          <w:color w:val="000000"/>
          <w:lang w:eastAsia="bg-BG"/>
        </w:rPr>
      </w:pPr>
      <w:r w:rsidRPr="00CC565E">
        <w:rPr>
          <w:rFonts w:eastAsia="Times New Roman" w:cs="Arial"/>
          <w:color w:val="000000"/>
          <w:lang w:eastAsia="bg-BG"/>
        </w:rPr>
        <w:t>Невусите или точиците върху ириса не се повлияват от лечението. В клинични проучвания не е наблюдавано натрупване на пигмент в трабекуларната мрежа или на други места в предната очна камера. Петгодишният клиничен опит показва, че увеличената пигментация на ириса няма никакво негативно клинично последствие и приложението на Ксалатан може да бъде продължено, ако се появи пигментиране на ириса. Въпреки това пациентите трябва да бъде редовно проследявани и ако клиничната ситуация го изисква, лечението с Ксалатан може да бъде спряно.</w:t>
      </w:r>
    </w:p>
    <w:p w14:paraId="552C4FB5" w14:textId="77777777" w:rsidR="00CC565E" w:rsidRPr="00CC565E" w:rsidRDefault="00CC565E" w:rsidP="00CC565E">
      <w:pPr>
        <w:spacing w:line="240" w:lineRule="auto"/>
        <w:rPr>
          <w:rFonts w:eastAsia="Times New Roman" w:cs="Arial"/>
          <w:color w:val="000000"/>
          <w:lang w:eastAsia="bg-BG"/>
        </w:rPr>
      </w:pPr>
    </w:p>
    <w:p w14:paraId="10F266C7" w14:textId="77777777"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Има ограничен опит с Ксалатан при хронична закритоъгълна глаукома, откритоъгълна глаукома при пациенти с псевдоафакия и при пигментна глаукома. Няма опит с Ксалатан при възпалителна и неоваскуларна глаукома, възпалителни очни състояния или вродена глаукома. Ксалатан няма или има минимален ефект върху зеницата, но липсва опит при острите пристъпи на закритоъгълна глаукома. Поради това се препоръчва повишено внимание при приложение на Ксалатан при тези забелязания до натрупване на повече опит.</w:t>
      </w:r>
    </w:p>
    <w:p w14:paraId="5DFFAB4D" w14:textId="77777777" w:rsidR="00CC565E" w:rsidRPr="00CC565E" w:rsidRDefault="00CC565E" w:rsidP="00CC565E">
      <w:pPr>
        <w:spacing w:line="240" w:lineRule="auto"/>
        <w:rPr>
          <w:rFonts w:eastAsia="Times New Roman" w:cs="Arial"/>
          <w:color w:val="000000"/>
          <w:lang w:eastAsia="bg-BG"/>
        </w:rPr>
      </w:pPr>
    </w:p>
    <w:p w14:paraId="3E5D9558" w14:textId="455160E9"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Има ограничени данни от проучвания за употребата на Ксалатан през периоперативния период при операция на катаракта. Ксалатан трябва да бъде използван внимателно при тези пациенти,</w:t>
      </w:r>
    </w:p>
    <w:p w14:paraId="3787E249" w14:textId="77777777" w:rsidR="00CC565E" w:rsidRPr="00CC565E" w:rsidRDefault="00CC565E" w:rsidP="00CC565E">
      <w:pPr>
        <w:spacing w:line="240" w:lineRule="auto"/>
        <w:rPr>
          <w:rFonts w:eastAsia="Times New Roman" w:cs="Arial"/>
          <w:color w:val="000000"/>
          <w:lang w:eastAsia="bg-BG"/>
        </w:rPr>
      </w:pPr>
    </w:p>
    <w:p w14:paraId="27371B86" w14:textId="345B8EF3"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Ксалатан трябва да бъде използван внимателно при пациенти с анамнеза за херпетичен кератит и трябва да се избягва в случаи на активен херпес симплекс кератит и при пациенти с анамнеза за рецидивиращ херпетичен кератит, конкретно свързан с простагландинови аналози.</w:t>
      </w:r>
    </w:p>
    <w:p w14:paraId="01E40A84" w14:textId="77777777" w:rsidR="00CC565E" w:rsidRPr="00CC565E" w:rsidRDefault="00CC565E" w:rsidP="00CC565E">
      <w:pPr>
        <w:spacing w:line="240" w:lineRule="auto"/>
        <w:rPr>
          <w:rFonts w:eastAsia="Times New Roman" w:cs="Arial"/>
          <w:color w:val="000000"/>
          <w:lang w:eastAsia="bg-BG"/>
        </w:rPr>
      </w:pPr>
    </w:p>
    <w:p w14:paraId="1440E628" w14:textId="77777777" w:rsidR="00CC565E" w:rsidRPr="00CC565E" w:rsidRDefault="00CC565E" w:rsidP="00CC565E">
      <w:pPr>
        <w:spacing w:line="240" w:lineRule="auto"/>
        <w:rPr>
          <w:rFonts w:eastAsia="Times New Roman" w:cs="Arial"/>
          <w:color w:val="000000"/>
          <w:lang w:eastAsia="bg-BG"/>
        </w:rPr>
      </w:pPr>
      <w:r w:rsidRPr="00CC565E">
        <w:rPr>
          <w:rFonts w:eastAsia="Times New Roman" w:cs="Arial"/>
          <w:color w:val="000000"/>
          <w:lang w:eastAsia="bg-BG"/>
        </w:rPr>
        <w:t xml:space="preserve">Съобщения за макулен едем (вж. точка </w:t>
      </w:r>
      <w:r w:rsidRPr="00CC565E">
        <w:rPr>
          <w:rFonts w:eastAsia="Times New Roman" w:cs="Arial"/>
          <w:i/>
          <w:iCs/>
          <w:color w:val="000000"/>
          <w:lang w:eastAsia="bg-BG"/>
        </w:rPr>
        <w:t>4.8)</w:t>
      </w:r>
      <w:r w:rsidRPr="00CC565E">
        <w:rPr>
          <w:rFonts w:eastAsia="Times New Roman" w:cs="Arial"/>
          <w:color w:val="000000"/>
          <w:lang w:eastAsia="bg-BG"/>
        </w:rPr>
        <w:t xml:space="preserve"> настъпил главно при пациенти с афакия, пациенти с псевдоафакия с разкъсана задна капсула на лещата или предно-камерни лещи, или при пациенти с известни рискови фактори за кистозен макулен едем (като диабетна ретинопатия и ретинална венозна оклузия). </w:t>
      </w:r>
    </w:p>
    <w:p w14:paraId="24C69EB7" w14:textId="77777777" w:rsidR="00CC565E" w:rsidRPr="00CC565E" w:rsidRDefault="00CC565E" w:rsidP="00CC565E">
      <w:pPr>
        <w:spacing w:line="240" w:lineRule="auto"/>
        <w:rPr>
          <w:rFonts w:eastAsia="Times New Roman" w:cs="Arial"/>
          <w:color w:val="000000"/>
          <w:lang w:eastAsia="bg-BG"/>
        </w:rPr>
      </w:pPr>
    </w:p>
    <w:p w14:paraId="0827B342" w14:textId="18CA525E"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Препоръчва се повишено внимание при приложение на Ксалатан при пациенти с афакия, пациенти с псевдоафакия с разкъсана задна капсула на лещата или предно-камерни лещи или при пациенти с известни рискови фактори за кистозен макулен едем.</w:t>
      </w:r>
    </w:p>
    <w:p w14:paraId="55D0CD51" w14:textId="77777777" w:rsidR="00CC565E" w:rsidRPr="00CC565E" w:rsidRDefault="00CC565E" w:rsidP="00CC565E">
      <w:pPr>
        <w:spacing w:line="240" w:lineRule="auto"/>
        <w:rPr>
          <w:rFonts w:eastAsia="Times New Roman" w:cs="Arial"/>
          <w:color w:val="000000"/>
          <w:lang w:eastAsia="bg-BG"/>
        </w:rPr>
      </w:pPr>
    </w:p>
    <w:p w14:paraId="76149AB4" w14:textId="72C39FA7"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При пациенти с известни предразполагащи рискови фактори за ирит/увеит Ксалатан може да бъде използван внимателно.</w:t>
      </w:r>
    </w:p>
    <w:p w14:paraId="24D796CF" w14:textId="77777777" w:rsidR="00CC565E" w:rsidRPr="00CC565E" w:rsidRDefault="00CC565E" w:rsidP="00CC565E">
      <w:pPr>
        <w:spacing w:line="240" w:lineRule="auto"/>
        <w:rPr>
          <w:rFonts w:eastAsia="Times New Roman" w:cs="Arial"/>
          <w:color w:val="000000"/>
          <w:lang w:eastAsia="bg-BG"/>
        </w:rPr>
      </w:pPr>
    </w:p>
    <w:p w14:paraId="0F7FE048" w14:textId="46617BCF"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 xml:space="preserve">Има ограничен опит при пациенти с астма, но има съобщения за случаи на обостряне на астма и/или диепнея през постмаркетинговото наблюдение. Следователно пациентите с </w:t>
      </w:r>
      <w:r w:rsidRPr="00CC565E">
        <w:rPr>
          <w:rFonts w:eastAsia="Times New Roman" w:cs="Arial"/>
          <w:color w:val="000000"/>
          <w:lang w:eastAsia="bg-BG"/>
        </w:rPr>
        <w:lastRenderedPageBreak/>
        <w:t>астма трябва да бъдат лекувани внимателно до натрупването на достатъчно опит. Вж. също точка 4.8.</w:t>
      </w:r>
    </w:p>
    <w:p w14:paraId="7894D9EE" w14:textId="77777777" w:rsidR="00CC565E" w:rsidRPr="00CC565E" w:rsidRDefault="00CC565E" w:rsidP="00CC565E">
      <w:pPr>
        <w:spacing w:line="240" w:lineRule="auto"/>
        <w:rPr>
          <w:rFonts w:eastAsia="Times New Roman" w:cs="Arial"/>
          <w:color w:val="000000"/>
          <w:lang w:eastAsia="bg-BG"/>
        </w:rPr>
      </w:pPr>
    </w:p>
    <w:p w14:paraId="37CBEB6B" w14:textId="7DC1382C"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Наблюдавана е промяна в цвета на кожата около очите, като повечето съобщения са били при японски пациенти. Опитът до момента показва, че периорбиталната промяна в цвета на кожата не е трайна и в някои случаи е изчезнала с продължаване на лечението с Ксалатан.</w:t>
      </w:r>
    </w:p>
    <w:p w14:paraId="2C3D78DA" w14:textId="77777777" w:rsidR="00CC565E" w:rsidRPr="00CC565E" w:rsidRDefault="00CC565E" w:rsidP="00CC565E">
      <w:pPr>
        <w:spacing w:line="240" w:lineRule="auto"/>
        <w:rPr>
          <w:rFonts w:eastAsia="Times New Roman" w:cs="Arial"/>
          <w:color w:val="000000"/>
          <w:lang w:eastAsia="bg-BG"/>
        </w:rPr>
      </w:pPr>
    </w:p>
    <w:p w14:paraId="251349BB" w14:textId="017979AC"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Латанопрост може постепенно да измени миглите и околоочния мъх (</w:t>
      </w:r>
      <w:r w:rsidRPr="00CC565E">
        <w:rPr>
          <w:rFonts w:eastAsia="Times New Roman" w:cs="Arial"/>
          <w:color w:val="000000"/>
          <w:lang w:val="en-US"/>
        </w:rPr>
        <w:t>vellus</w:t>
      </w:r>
      <w:r w:rsidRPr="00CC565E">
        <w:rPr>
          <w:rFonts w:eastAsia="Times New Roman" w:cs="Arial"/>
          <w:i/>
          <w:iCs/>
          <w:color w:val="000000"/>
          <w:lang w:val="en-US"/>
        </w:rPr>
        <w:t>)</w:t>
      </w:r>
      <w:r w:rsidRPr="00CC565E">
        <w:rPr>
          <w:rFonts w:eastAsia="Times New Roman" w:cs="Arial"/>
          <w:color w:val="000000"/>
          <w:lang w:val="en-US"/>
        </w:rPr>
        <w:t xml:space="preserve"> </w:t>
      </w:r>
      <w:r w:rsidRPr="00CC565E">
        <w:rPr>
          <w:rFonts w:eastAsia="Times New Roman" w:cs="Arial"/>
          <w:color w:val="000000"/>
          <w:lang w:eastAsia="bg-BG"/>
        </w:rPr>
        <w:t>на третираното око и околоочните участъци; тези промени включват увеличаване на дължината, гъстотата, пигментацията, броя на миглите и косъмчетата и растеж на миглите в неправилна посока. Промените в миглите са обратими при прекратяване на лечението.</w:t>
      </w:r>
    </w:p>
    <w:p w14:paraId="60D4EF17" w14:textId="77777777" w:rsidR="00CC565E" w:rsidRPr="00CC565E" w:rsidRDefault="00CC565E" w:rsidP="00CC565E">
      <w:pPr>
        <w:spacing w:line="240" w:lineRule="auto"/>
        <w:rPr>
          <w:rFonts w:eastAsia="Times New Roman" w:cs="Arial"/>
          <w:color w:val="000000"/>
          <w:u w:val="single"/>
          <w:lang w:eastAsia="bg-BG"/>
        </w:rPr>
      </w:pPr>
    </w:p>
    <w:p w14:paraId="700046F3" w14:textId="4D5213F8"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u w:val="single"/>
          <w:lang w:eastAsia="bg-BG"/>
        </w:rPr>
        <w:t>Консервант</w:t>
      </w:r>
    </w:p>
    <w:p w14:paraId="55AEC512" w14:textId="77777777"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Ксалатан съдържа бензалкониев хлорид, който обикновено се използва като консервант в офталмологичните продукти. От наличните ограничени данни не се наблюдава разлика в профила на нежеланите събития при деца, в сравнение с възрастни. По принцип обаче при очите на деца се наблюдава по-силна реакция за даден стимул, отколкото при очите на възрастни. Дразненето може да има негативен ефект върху придържането към лечението при деца. Има съобщения, че бензалкониевият хлорид причинява очно дразнене, симптоми на сухота в очите и може да засегне слъзния филм и повърхността на роговицата. Трябва да се използва с повишено внимание при пациенти със сухота в очите и при пациенти, при които роговицата може да е нарушена. Пациентите трябва да се проследяват в случай на продължителна употреба.</w:t>
      </w:r>
    </w:p>
    <w:p w14:paraId="6A09DA64" w14:textId="77777777" w:rsidR="00CC565E" w:rsidRPr="00CC565E" w:rsidRDefault="00CC565E" w:rsidP="00CC565E">
      <w:pPr>
        <w:spacing w:line="240" w:lineRule="auto"/>
        <w:rPr>
          <w:rFonts w:eastAsia="Times New Roman" w:cs="Arial"/>
          <w:color w:val="000000"/>
          <w:u w:val="single"/>
          <w:lang w:eastAsia="bg-BG"/>
        </w:rPr>
      </w:pPr>
    </w:p>
    <w:p w14:paraId="2CCB39DA" w14:textId="63E52D5B"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u w:val="single"/>
          <w:lang w:eastAsia="bg-BG"/>
        </w:rPr>
        <w:t>Контактни лещи</w:t>
      </w:r>
    </w:p>
    <w:p w14:paraId="0B7732C5" w14:textId="77777777"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Контактните лещи могат да абсорбират бензалкониевия хлорид и трябва да се свалят преди прилагане на Ксалатан, но могат да се поставят отново след 15 минути (вж. точка</w:t>
      </w:r>
      <w:r w:rsidRPr="00CC565E">
        <w:rPr>
          <w:rFonts w:eastAsia="Times New Roman" w:cs="Arial"/>
          <w:color w:val="000000"/>
          <w:lang w:val="en-US"/>
        </w:rPr>
        <w:t xml:space="preserve"> 4.2).</w:t>
      </w:r>
    </w:p>
    <w:p w14:paraId="718214F2" w14:textId="77777777" w:rsidR="00CC565E" w:rsidRPr="00CC565E" w:rsidRDefault="00CC565E" w:rsidP="00CC565E">
      <w:pPr>
        <w:spacing w:line="240" w:lineRule="auto"/>
        <w:rPr>
          <w:rFonts w:eastAsia="Times New Roman" w:cs="Arial"/>
          <w:sz w:val="28"/>
          <w:szCs w:val="28"/>
          <w:lang w:eastAsia="bg-BG"/>
        </w:rPr>
      </w:pPr>
    </w:p>
    <w:p w14:paraId="088CBF03" w14:textId="77777777" w:rsidR="00CC565E" w:rsidRPr="00CC565E" w:rsidRDefault="00CC565E" w:rsidP="00CC565E">
      <w:pPr>
        <w:spacing w:line="240" w:lineRule="auto"/>
        <w:rPr>
          <w:rFonts w:eastAsia="Times New Roman" w:cs="Arial"/>
          <w:sz w:val="28"/>
          <w:szCs w:val="28"/>
          <w:lang w:eastAsia="bg-BG"/>
        </w:rPr>
      </w:pPr>
      <w:r w:rsidRPr="00CC565E">
        <w:rPr>
          <w:rFonts w:eastAsia="Times New Roman" w:cs="Arial"/>
          <w:i/>
          <w:iCs/>
          <w:color w:val="000000"/>
          <w:lang w:eastAsia="bg-BG"/>
        </w:rPr>
        <w:t>Педиатрична популация</w:t>
      </w:r>
    </w:p>
    <w:p w14:paraId="1A889C86" w14:textId="77777777"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Данните за ефикасност и безопасност при възрастовата група &lt;1 година (4 пациенти) са много ограничени (вж. точка 5.1). Липсват данни при недоносени деца (родени преди 36 гестационна седмица).</w:t>
      </w:r>
    </w:p>
    <w:p w14:paraId="11437D6D" w14:textId="77777777" w:rsidR="00CC565E" w:rsidRPr="00CC565E" w:rsidRDefault="00CC565E" w:rsidP="00CC565E">
      <w:pPr>
        <w:spacing w:line="240" w:lineRule="auto"/>
        <w:rPr>
          <w:rFonts w:eastAsia="Times New Roman" w:cs="Arial"/>
          <w:color w:val="000000"/>
          <w:lang w:eastAsia="bg-BG"/>
        </w:rPr>
      </w:pPr>
    </w:p>
    <w:p w14:paraId="05E990A2" w14:textId="3F072C83"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 xml:space="preserve">При деца от 0 до &lt;3 години, които страдат основно от първична вродена глаукома </w:t>
      </w:r>
      <w:r w:rsidRPr="00CC565E">
        <w:rPr>
          <w:rFonts w:eastAsia="Times New Roman" w:cs="Arial"/>
          <w:color w:val="000000"/>
          <w:lang w:val="en-US"/>
        </w:rPr>
        <w:t xml:space="preserve">(primary congenital glaucoma, PCG), </w:t>
      </w:r>
      <w:r w:rsidRPr="00CC565E">
        <w:rPr>
          <w:rFonts w:eastAsia="Times New Roman" w:cs="Arial"/>
          <w:color w:val="000000"/>
          <w:lang w:eastAsia="bg-BG"/>
        </w:rPr>
        <w:t>хирургичното лечение (напр. трабекулотомия/гониотомия) остава лечение от първа линия.</w:t>
      </w:r>
    </w:p>
    <w:p w14:paraId="6A0C9F7E" w14:textId="77777777" w:rsidR="00CC565E" w:rsidRPr="00CC565E" w:rsidRDefault="00CC565E" w:rsidP="00CC565E">
      <w:pPr>
        <w:spacing w:line="240" w:lineRule="auto"/>
        <w:rPr>
          <w:rFonts w:eastAsia="Times New Roman" w:cs="Arial"/>
          <w:color w:val="000000"/>
          <w:lang w:eastAsia="bg-BG"/>
        </w:rPr>
      </w:pPr>
    </w:p>
    <w:p w14:paraId="6C5E430F" w14:textId="652F7E49"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Дългосрочната безопасност при деца все още не е установена.</w:t>
      </w:r>
    </w:p>
    <w:p w14:paraId="47931DE6" w14:textId="77777777" w:rsidR="00CC565E" w:rsidRPr="00CC565E" w:rsidRDefault="00CC565E" w:rsidP="00CC565E"/>
    <w:p w14:paraId="1DA47448" w14:textId="381F54E1" w:rsidR="009F77A4" w:rsidRDefault="002C50EE" w:rsidP="00387A66">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051479AF" w14:textId="77777777" w:rsidR="00CC565E" w:rsidRDefault="00CC565E" w:rsidP="00CC565E"/>
    <w:p w14:paraId="18A2A131" w14:textId="77777777"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Липсват сигурни данни за взаимодействия с други лекарства.</w:t>
      </w:r>
    </w:p>
    <w:p w14:paraId="406CEA10" w14:textId="77777777" w:rsidR="00CC565E" w:rsidRPr="00CC565E" w:rsidRDefault="00CC565E" w:rsidP="00CC565E">
      <w:pPr>
        <w:spacing w:line="240" w:lineRule="auto"/>
        <w:rPr>
          <w:rFonts w:eastAsia="Times New Roman" w:cs="Arial"/>
          <w:color w:val="000000"/>
          <w:lang w:eastAsia="bg-BG"/>
        </w:rPr>
      </w:pPr>
    </w:p>
    <w:p w14:paraId="320E88A7" w14:textId="581533B1"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 xml:space="preserve">Има съобщения за парадоксално повишение на ВОН вследствие едновременната офталмологична употреба на два простагландинови аналога. Поради това не се </w:t>
      </w:r>
      <w:r w:rsidRPr="00CC565E">
        <w:rPr>
          <w:rFonts w:eastAsia="Times New Roman" w:cs="Arial"/>
          <w:color w:val="000000"/>
          <w:lang w:eastAsia="bg-BG"/>
        </w:rPr>
        <w:lastRenderedPageBreak/>
        <w:t>препоръчва употребата на два или повече простагландина, простагландинови аналози и простагландинови производни.</w:t>
      </w:r>
    </w:p>
    <w:p w14:paraId="4691BDE0" w14:textId="77777777" w:rsidR="00CC565E" w:rsidRPr="00CC565E" w:rsidRDefault="00CC565E" w:rsidP="00CC565E">
      <w:pPr>
        <w:spacing w:line="240" w:lineRule="auto"/>
        <w:rPr>
          <w:rFonts w:eastAsia="Times New Roman" w:cs="Arial"/>
          <w:i/>
          <w:iCs/>
          <w:color w:val="000000"/>
          <w:lang w:eastAsia="bg-BG"/>
        </w:rPr>
      </w:pPr>
    </w:p>
    <w:p w14:paraId="729D3CD1" w14:textId="2D5C3CB5" w:rsidR="00CC565E" w:rsidRPr="00CC565E" w:rsidRDefault="00CC565E" w:rsidP="00CC565E">
      <w:pPr>
        <w:spacing w:line="240" w:lineRule="auto"/>
        <w:rPr>
          <w:rFonts w:eastAsia="Times New Roman" w:cs="Arial"/>
          <w:sz w:val="28"/>
          <w:szCs w:val="28"/>
          <w:lang w:eastAsia="bg-BG"/>
        </w:rPr>
      </w:pPr>
      <w:r w:rsidRPr="00CC565E">
        <w:rPr>
          <w:rFonts w:eastAsia="Times New Roman" w:cs="Arial"/>
          <w:i/>
          <w:iCs/>
          <w:color w:val="000000"/>
          <w:lang w:eastAsia="bg-BG"/>
        </w:rPr>
        <w:t>Педиатрична популация</w:t>
      </w:r>
    </w:p>
    <w:p w14:paraId="15330914" w14:textId="77777777"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Проучвания за взаимодействията са провеждани само при възрастни.</w:t>
      </w:r>
    </w:p>
    <w:p w14:paraId="1FD48964" w14:textId="77777777" w:rsidR="00CC565E" w:rsidRPr="00CC565E" w:rsidRDefault="00CC565E" w:rsidP="00CC565E"/>
    <w:p w14:paraId="48846BBA" w14:textId="2507FDE7" w:rsidR="009F77A4" w:rsidRDefault="002C50EE" w:rsidP="00387A66">
      <w:pPr>
        <w:pStyle w:val="Heading2"/>
      </w:pPr>
      <w:r>
        <w:t>4.6. Фертилитет, бременност и кърмене</w:t>
      </w:r>
    </w:p>
    <w:p w14:paraId="467175A6" w14:textId="77777777" w:rsidR="00CC565E" w:rsidRDefault="00CC565E" w:rsidP="00CC565E"/>
    <w:p w14:paraId="52B1D8F4" w14:textId="77777777" w:rsidR="00CC565E" w:rsidRPr="00CC565E" w:rsidRDefault="00CC565E" w:rsidP="00CC565E">
      <w:pPr>
        <w:pStyle w:val="Heading3"/>
        <w:rPr>
          <w:rFonts w:eastAsia="Times New Roman"/>
          <w:sz w:val="28"/>
          <w:szCs w:val="28"/>
          <w:u w:val="single"/>
          <w:lang w:eastAsia="bg-BG"/>
        </w:rPr>
      </w:pPr>
      <w:r w:rsidRPr="00CC565E">
        <w:rPr>
          <w:rFonts w:eastAsia="Times New Roman"/>
          <w:u w:val="single"/>
          <w:lang w:eastAsia="bg-BG"/>
        </w:rPr>
        <w:t>Бременност</w:t>
      </w:r>
    </w:p>
    <w:p w14:paraId="0BDCDD8A" w14:textId="77777777"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Безопасността на този лекарствен продукт при употреба по време на бременност не е установена при хора. Той има потенциални рискови фармакологични ефекти по отношение на периода на бременността, на нероденото или новороденото дете. Поради това Ксалатан не трябва да бъде използван по време на бременност.</w:t>
      </w:r>
    </w:p>
    <w:p w14:paraId="20AEBC9A" w14:textId="77777777" w:rsidR="00CC565E" w:rsidRPr="00CC565E" w:rsidRDefault="00CC565E" w:rsidP="00CC565E">
      <w:pPr>
        <w:spacing w:line="240" w:lineRule="auto"/>
        <w:rPr>
          <w:rFonts w:eastAsia="Times New Roman" w:cs="Arial"/>
          <w:color w:val="000000"/>
          <w:u w:val="single"/>
          <w:lang w:eastAsia="bg-BG"/>
        </w:rPr>
      </w:pPr>
    </w:p>
    <w:p w14:paraId="332BA2E4" w14:textId="7CE2B7B6" w:rsidR="00CC565E" w:rsidRPr="00CC565E" w:rsidRDefault="00CC565E" w:rsidP="00CC565E">
      <w:pPr>
        <w:pStyle w:val="Heading3"/>
        <w:rPr>
          <w:rFonts w:eastAsia="Times New Roman"/>
          <w:sz w:val="28"/>
          <w:szCs w:val="28"/>
          <w:u w:val="single"/>
          <w:lang w:eastAsia="bg-BG"/>
        </w:rPr>
      </w:pPr>
      <w:r w:rsidRPr="00CC565E">
        <w:rPr>
          <w:rFonts w:eastAsia="Times New Roman"/>
          <w:u w:val="single"/>
          <w:lang w:eastAsia="bg-BG"/>
        </w:rPr>
        <w:t>Кърмене</w:t>
      </w:r>
    </w:p>
    <w:p w14:paraId="2C14E1AA" w14:textId="77777777"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Латанопрост и неговите метаболити могат да преминат в майчиното мляко и следователно Ксалатан не трябва да бъде използван при кърмещи жени или кърменето трябва да бъде спряно.</w:t>
      </w:r>
    </w:p>
    <w:p w14:paraId="35A10251" w14:textId="77777777" w:rsidR="00CC565E" w:rsidRPr="00CC565E" w:rsidRDefault="00CC565E" w:rsidP="00CC565E">
      <w:pPr>
        <w:spacing w:line="240" w:lineRule="auto"/>
        <w:rPr>
          <w:rFonts w:eastAsia="Times New Roman" w:cs="Arial"/>
          <w:color w:val="000000"/>
          <w:u w:val="single"/>
          <w:lang w:eastAsia="bg-BG"/>
        </w:rPr>
      </w:pPr>
    </w:p>
    <w:p w14:paraId="3822129F" w14:textId="43CD4A1D" w:rsidR="00CC565E" w:rsidRPr="00CC565E" w:rsidRDefault="00CC565E" w:rsidP="00CC565E">
      <w:pPr>
        <w:pStyle w:val="Heading3"/>
        <w:rPr>
          <w:rFonts w:eastAsia="Times New Roman"/>
          <w:sz w:val="28"/>
          <w:szCs w:val="28"/>
          <w:u w:val="single"/>
          <w:lang w:eastAsia="bg-BG"/>
        </w:rPr>
      </w:pPr>
      <w:r w:rsidRPr="00CC565E">
        <w:rPr>
          <w:rFonts w:eastAsia="Times New Roman"/>
          <w:u w:val="single"/>
          <w:lang w:eastAsia="bg-BG"/>
        </w:rPr>
        <w:t>Фертилитет</w:t>
      </w:r>
    </w:p>
    <w:p w14:paraId="0E312BC4" w14:textId="77777777"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Не е установен ефект на латанопрост върху мъжкия или женския фертилитет при проучвания върху животни (вж. точка 5.3)</w:t>
      </w:r>
    </w:p>
    <w:p w14:paraId="6EF58AD1" w14:textId="77777777" w:rsidR="00CC565E" w:rsidRPr="00CC565E" w:rsidRDefault="00CC565E" w:rsidP="00CC565E"/>
    <w:p w14:paraId="321AAB00" w14:textId="3EA4494E" w:rsidR="009F77A4" w:rsidRDefault="002C50EE" w:rsidP="00387A66">
      <w:pPr>
        <w:pStyle w:val="Heading2"/>
      </w:pPr>
      <w:r>
        <w:t>4.7. Ефекти върху способността за шофиране и работа с машини</w:t>
      </w:r>
    </w:p>
    <w:p w14:paraId="20B9E85E" w14:textId="77777777" w:rsidR="00CC565E" w:rsidRDefault="00CC565E" w:rsidP="00CC565E"/>
    <w:p w14:paraId="7C2248AF" w14:textId="5FFE1EA4" w:rsidR="00CC565E" w:rsidRDefault="00CC565E" w:rsidP="00CC565E">
      <w:r>
        <w:t>Ксалатан повлиява в малка степен способността за шофиране и работа с машини. Подобно на други очни препарати, приложението на очни капки може да предизвика временно замъгляване на зрението. Докато това не отмине, пациентите не трябва да шофират или работят с машини.</w:t>
      </w:r>
    </w:p>
    <w:p w14:paraId="6D19D067" w14:textId="77777777" w:rsidR="00CC565E" w:rsidRPr="00CC565E" w:rsidRDefault="00CC565E" w:rsidP="00CC565E"/>
    <w:p w14:paraId="136C86B8" w14:textId="3F9D0CA1" w:rsidR="009F77A4" w:rsidRDefault="002C50EE" w:rsidP="00387A66">
      <w:pPr>
        <w:pStyle w:val="Heading2"/>
      </w:pPr>
      <w:r>
        <w:t>4.8. Нежелани лекарствени реакции</w:t>
      </w:r>
    </w:p>
    <w:p w14:paraId="28C99011" w14:textId="77777777" w:rsidR="00CC565E" w:rsidRDefault="00CC565E" w:rsidP="00CC565E"/>
    <w:p w14:paraId="16396760" w14:textId="4BFB703A" w:rsidR="00CC565E" w:rsidRPr="00CC565E" w:rsidRDefault="00CC565E" w:rsidP="00CC565E">
      <w:pPr>
        <w:spacing w:line="240" w:lineRule="auto"/>
        <w:rPr>
          <w:rFonts w:eastAsia="Times New Roman" w:cs="Arial"/>
          <w:color w:val="000000"/>
          <w:u w:val="single"/>
          <w:lang w:eastAsia="bg-BG"/>
        </w:rPr>
      </w:pPr>
      <w:r w:rsidRPr="00CC565E">
        <w:rPr>
          <w:rFonts w:eastAsia="Times New Roman" w:cs="Arial"/>
          <w:color w:val="000000"/>
          <w:u w:val="single"/>
          <w:lang w:val="en-US" w:eastAsia="bg-BG"/>
        </w:rPr>
        <w:t xml:space="preserve">a. </w:t>
      </w:r>
      <w:r w:rsidRPr="00CC565E">
        <w:rPr>
          <w:rFonts w:eastAsia="Times New Roman" w:cs="Arial"/>
          <w:color w:val="000000"/>
          <w:u w:val="single"/>
          <w:lang w:eastAsia="bg-BG"/>
        </w:rPr>
        <w:t>Резюме на профила на безопасност</w:t>
      </w:r>
    </w:p>
    <w:p w14:paraId="640CE0F4" w14:textId="77777777" w:rsidR="00CC565E" w:rsidRPr="00CC565E" w:rsidRDefault="00CC565E" w:rsidP="00CC565E">
      <w:pPr>
        <w:rPr>
          <w:rFonts w:eastAsia="Times New Roman" w:cs="Arial"/>
          <w:color w:val="000000"/>
          <w:lang w:eastAsia="bg-BG"/>
        </w:rPr>
      </w:pPr>
    </w:p>
    <w:p w14:paraId="79EC1C35" w14:textId="1128C4A6" w:rsidR="00CC565E" w:rsidRPr="00CC565E" w:rsidRDefault="00CC565E" w:rsidP="00CC565E">
      <w:pPr>
        <w:rPr>
          <w:rFonts w:eastAsia="Times New Roman" w:cs="Arial"/>
          <w:color w:val="000000"/>
          <w:lang w:eastAsia="bg-BG"/>
        </w:rPr>
      </w:pPr>
      <w:r w:rsidRPr="00CC565E">
        <w:rPr>
          <w:rFonts w:eastAsia="Times New Roman" w:cs="Arial"/>
          <w:color w:val="000000"/>
          <w:lang w:eastAsia="bg-BG"/>
        </w:rPr>
        <w:t>Повечето нежелани реакции са свързани със зрителната система. В открито 5-годишно проучване за безопасността на латанопрост, 33% от пациентите са развили пигменатация  ириса (вж. точка 4.4). Другите нежелани реакции, свързани със зрението, по принцип с преходни и възникват при приложение на дозата.</w:t>
      </w:r>
    </w:p>
    <w:p w14:paraId="0CF324A6" w14:textId="77777777" w:rsidR="00CC565E" w:rsidRPr="00CC565E" w:rsidRDefault="00CC565E" w:rsidP="00CC565E">
      <w:pPr>
        <w:rPr>
          <w:rFonts w:eastAsia="Times New Roman" w:cs="Arial"/>
          <w:color w:val="000000"/>
          <w:lang w:eastAsia="bg-BG"/>
        </w:rPr>
      </w:pPr>
    </w:p>
    <w:p w14:paraId="1116E4A1" w14:textId="5B074B0A"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u w:val="single"/>
          <w:lang w:eastAsia="bg-BG"/>
        </w:rPr>
        <w:t>б,</w:t>
      </w:r>
      <w:r w:rsidRPr="00CC565E">
        <w:rPr>
          <w:rFonts w:eastAsia="Times New Roman" w:cs="Arial"/>
          <w:color w:val="000000"/>
          <w:u w:val="single"/>
          <w:lang w:val="en-US" w:eastAsia="bg-BG"/>
        </w:rPr>
        <w:t xml:space="preserve"> </w:t>
      </w:r>
      <w:r w:rsidRPr="00CC565E">
        <w:rPr>
          <w:rFonts w:eastAsia="Times New Roman" w:cs="Arial"/>
          <w:color w:val="000000"/>
          <w:u w:val="single"/>
          <w:lang w:eastAsia="bg-BG"/>
        </w:rPr>
        <w:t>Табличен списък на нежеланите лекарствени реакции</w:t>
      </w:r>
    </w:p>
    <w:p w14:paraId="63EB85DD" w14:textId="77777777" w:rsidR="00CC565E" w:rsidRPr="00CC565E" w:rsidRDefault="00CC565E" w:rsidP="00CC565E">
      <w:pPr>
        <w:spacing w:line="240" w:lineRule="auto"/>
        <w:rPr>
          <w:rFonts w:eastAsia="Times New Roman" w:cs="Arial"/>
          <w:color w:val="000000"/>
          <w:lang w:eastAsia="bg-BG"/>
        </w:rPr>
      </w:pPr>
    </w:p>
    <w:p w14:paraId="364D9FA6" w14:textId="41D6AE5A"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Нежеланите реакции са категоризирани по честота, както следва: много чести (≥1/10), чести (≥1/100 до &lt;1/10), нечести (≥1/1 000 до &lt;1/100), редки (≥1/10 000 до &lt;1/1 000), много редки (&lt;1/10 000), с неизвестна честота (от наличните данни не може да бъде направена оценка).</w:t>
      </w:r>
    </w:p>
    <w:p w14:paraId="16C4D6CF" w14:textId="77777777" w:rsidR="00CC565E" w:rsidRDefault="00CC565E" w:rsidP="00CC565E"/>
    <w:tbl>
      <w:tblPr>
        <w:tblStyle w:val="TableGrid"/>
        <w:tblW w:w="0" w:type="auto"/>
        <w:tblLook w:val="04A0" w:firstRow="1" w:lastRow="0" w:firstColumn="1" w:lastColumn="0" w:noHBand="0" w:noVBand="1"/>
      </w:tblPr>
      <w:tblGrid>
        <w:gridCol w:w="1611"/>
        <w:gridCol w:w="1577"/>
        <w:gridCol w:w="1530"/>
        <w:gridCol w:w="1438"/>
        <w:gridCol w:w="1593"/>
        <w:gridCol w:w="1601"/>
      </w:tblGrid>
      <w:tr w:rsidR="00CC565E" w14:paraId="2735CD00" w14:textId="77777777" w:rsidTr="00CC565E">
        <w:tc>
          <w:tcPr>
            <w:tcW w:w="1651" w:type="dxa"/>
          </w:tcPr>
          <w:p w14:paraId="1266A818" w14:textId="4E8B4AA0" w:rsidR="00CC565E" w:rsidRPr="00CC565E" w:rsidRDefault="00CC565E" w:rsidP="00CC565E">
            <w:pPr>
              <w:rPr>
                <w:rFonts w:cs="Arial"/>
              </w:rPr>
            </w:pPr>
            <w:r w:rsidRPr="00CC565E">
              <w:rPr>
                <w:rFonts w:cs="Arial"/>
                <w:b/>
                <w:bCs/>
              </w:rPr>
              <w:t xml:space="preserve">Системо- </w:t>
            </w:r>
            <w:r w:rsidRPr="00CC565E">
              <w:rPr>
                <w:rFonts w:cs="Arial"/>
                <w:b/>
                <w:bCs/>
              </w:rPr>
              <w:lastRenderedPageBreak/>
              <w:t>органен клас</w:t>
            </w:r>
          </w:p>
        </w:tc>
        <w:tc>
          <w:tcPr>
            <w:tcW w:w="1615" w:type="dxa"/>
          </w:tcPr>
          <w:p w14:paraId="50BAAEEC" w14:textId="77777777" w:rsidR="00CC565E" w:rsidRPr="00CC565E" w:rsidRDefault="00CC565E" w:rsidP="00CC565E">
            <w:pPr>
              <w:rPr>
                <w:rFonts w:cs="Arial"/>
              </w:rPr>
            </w:pPr>
            <w:r w:rsidRPr="00CC565E">
              <w:rPr>
                <w:rFonts w:cs="Arial"/>
                <w:b/>
                <w:bCs/>
              </w:rPr>
              <w:lastRenderedPageBreak/>
              <w:t>Много чести</w:t>
            </w:r>
          </w:p>
          <w:p w14:paraId="074B5B77" w14:textId="24D56290" w:rsidR="00CC565E" w:rsidRPr="00CC565E" w:rsidRDefault="00CC565E" w:rsidP="00CC565E">
            <w:pPr>
              <w:rPr>
                <w:rFonts w:cs="Arial"/>
              </w:rPr>
            </w:pPr>
            <w:r w:rsidRPr="00CC565E">
              <w:rPr>
                <w:rFonts w:cs="Arial"/>
                <w:b/>
                <w:bCs/>
              </w:rPr>
              <w:lastRenderedPageBreak/>
              <w:t>≥1/10</w:t>
            </w:r>
          </w:p>
        </w:tc>
        <w:tc>
          <w:tcPr>
            <w:tcW w:w="1567" w:type="dxa"/>
          </w:tcPr>
          <w:p w14:paraId="2932E516" w14:textId="77777777" w:rsidR="00CC565E" w:rsidRPr="00CC565E" w:rsidRDefault="00CC565E" w:rsidP="00CC565E">
            <w:pPr>
              <w:rPr>
                <w:rFonts w:cs="Arial"/>
              </w:rPr>
            </w:pPr>
            <w:r w:rsidRPr="00CC565E">
              <w:rPr>
                <w:rFonts w:cs="Arial"/>
                <w:b/>
                <w:bCs/>
              </w:rPr>
              <w:lastRenderedPageBreak/>
              <w:t>Чести</w:t>
            </w:r>
          </w:p>
          <w:p w14:paraId="7100A74A" w14:textId="208B4E5E" w:rsidR="00CC565E" w:rsidRPr="00CC565E" w:rsidRDefault="00CC565E" w:rsidP="00CC565E">
            <w:pPr>
              <w:rPr>
                <w:rFonts w:cs="Arial"/>
              </w:rPr>
            </w:pPr>
            <w:r w:rsidRPr="00CC565E">
              <w:rPr>
                <w:rFonts w:cs="Arial"/>
                <w:b/>
                <w:bCs/>
              </w:rPr>
              <w:lastRenderedPageBreak/>
              <w:t>ю≥1/100 до &lt;1/10</w:t>
            </w:r>
          </w:p>
        </w:tc>
        <w:tc>
          <w:tcPr>
            <w:tcW w:w="1472" w:type="dxa"/>
          </w:tcPr>
          <w:p w14:paraId="1B4A29AB" w14:textId="77777777" w:rsidR="00CC565E" w:rsidRPr="00CC565E" w:rsidRDefault="00CC565E" w:rsidP="00CC565E">
            <w:pPr>
              <w:rPr>
                <w:rFonts w:cs="Arial"/>
              </w:rPr>
            </w:pPr>
            <w:r w:rsidRPr="00CC565E">
              <w:rPr>
                <w:rFonts w:cs="Arial"/>
                <w:b/>
                <w:bCs/>
              </w:rPr>
              <w:lastRenderedPageBreak/>
              <w:t>Нечести</w:t>
            </w:r>
          </w:p>
          <w:p w14:paraId="411EB187" w14:textId="072D3D79" w:rsidR="00CC565E" w:rsidRPr="00CC565E" w:rsidRDefault="00CC565E" w:rsidP="00CC565E">
            <w:pPr>
              <w:rPr>
                <w:rFonts w:cs="Arial"/>
              </w:rPr>
            </w:pPr>
            <w:r w:rsidRPr="00CC565E">
              <w:rPr>
                <w:rFonts w:cs="Arial"/>
                <w:b/>
                <w:bCs/>
              </w:rPr>
              <w:lastRenderedPageBreak/>
              <w:t>≥1/1 000 до &lt;1/100</w:t>
            </w:r>
          </w:p>
        </w:tc>
        <w:tc>
          <w:tcPr>
            <w:tcW w:w="1631" w:type="dxa"/>
          </w:tcPr>
          <w:p w14:paraId="6D9BEED8" w14:textId="77777777" w:rsidR="00CC565E" w:rsidRPr="00CC565E" w:rsidRDefault="00CC565E" w:rsidP="00CC565E">
            <w:pPr>
              <w:rPr>
                <w:rFonts w:cs="Arial"/>
              </w:rPr>
            </w:pPr>
            <w:r w:rsidRPr="00CC565E">
              <w:rPr>
                <w:rFonts w:cs="Arial"/>
                <w:b/>
                <w:bCs/>
              </w:rPr>
              <w:lastRenderedPageBreak/>
              <w:t>Редки</w:t>
            </w:r>
          </w:p>
          <w:p w14:paraId="518D5465" w14:textId="1226D4E6" w:rsidR="00CC565E" w:rsidRPr="00CC565E" w:rsidRDefault="00CC565E" w:rsidP="00CC565E">
            <w:pPr>
              <w:rPr>
                <w:rFonts w:cs="Arial"/>
              </w:rPr>
            </w:pPr>
            <w:r w:rsidRPr="00CC565E">
              <w:rPr>
                <w:rFonts w:cs="Arial"/>
                <w:b/>
                <w:bCs/>
              </w:rPr>
              <w:lastRenderedPageBreak/>
              <w:t>≥1/10 000 до &lt;1/1 000</w:t>
            </w:r>
          </w:p>
        </w:tc>
        <w:tc>
          <w:tcPr>
            <w:tcW w:w="1640" w:type="dxa"/>
          </w:tcPr>
          <w:p w14:paraId="35EB840E" w14:textId="76C23BEA" w:rsidR="00CC565E" w:rsidRPr="00CC565E" w:rsidRDefault="00CC565E" w:rsidP="00CC565E">
            <w:pPr>
              <w:rPr>
                <w:rFonts w:cs="Arial"/>
              </w:rPr>
            </w:pPr>
            <w:r w:rsidRPr="00CC565E">
              <w:rPr>
                <w:rFonts w:cs="Arial"/>
                <w:b/>
                <w:bCs/>
              </w:rPr>
              <w:lastRenderedPageBreak/>
              <w:t xml:space="preserve">Много редки </w:t>
            </w:r>
            <w:r w:rsidRPr="00CC565E">
              <w:rPr>
                <w:rFonts w:cs="Arial"/>
                <w:b/>
                <w:bCs/>
              </w:rPr>
              <w:lastRenderedPageBreak/>
              <w:t>&lt;1/10 000</w:t>
            </w:r>
          </w:p>
        </w:tc>
      </w:tr>
      <w:tr w:rsidR="00CC565E" w14:paraId="2BEF8A74" w14:textId="77777777" w:rsidTr="00CC565E">
        <w:tc>
          <w:tcPr>
            <w:tcW w:w="1651" w:type="dxa"/>
          </w:tcPr>
          <w:p w14:paraId="56065084" w14:textId="14818156" w:rsidR="00CC565E" w:rsidRPr="00CC565E" w:rsidRDefault="00CC565E" w:rsidP="00CC565E">
            <w:pPr>
              <w:rPr>
                <w:rFonts w:cs="Arial"/>
              </w:rPr>
            </w:pPr>
            <w:r w:rsidRPr="00CC565E">
              <w:rPr>
                <w:rFonts w:cs="Arial"/>
              </w:rPr>
              <w:lastRenderedPageBreak/>
              <w:t>Инфекции и инфестации</w:t>
            </w:r>
          </w:p>
        </w:tc>
        <w:tc>
          <w:tcPr>
            <w:tcW w:w="1615" w:type="dxa"/>
          </w:tcPr>
          <w:p w14:paraId="4B4BB7C9" w14:textId="77777777" w:rsidR="00CC565E" w:rsidRPr="00CC565E" w:rsidRDefault="00CC565E" w:rsidP="00CC565E">
            <w:pPr>
              <w:rPr>
                <w:rFonts w:cs="Arial"/>
              </w:rPr>
            </w:pPr>
          </w:p>
        </w:tc>
        <w:tc>
          <w:tcPr>
            <w:tcW w:w="1567" w:type="dxa"/>
          </w:tcPr>
          <w:p w14:paraId="32D68013" w14:textId="77777777" w:rsidR="00CC565E" w:rsidRPr="00CC565E" w:rsidRDefault="00CC565E" w:rsidP="00CC565E">
            <w:pPr>
              <w:rPr>
                <w:rFonts w:cs="Arial"/>
              </w:rPr>
            </w:pPr>
          </w:p>
        </w:tc>
        <w:tc>
          <w:tcPr>
            <w:tcW w:w="1472" w:type="dxa"/>
          </w:tcPr>
          <w:p w14:paraId="69FC1B83" w14:textId="77777777" w:rsidR="00CC565E" w:rsidRPr="00CC565E" w:rsidRDefault="00CC565E" w:rsidP="00CC565E">
            <w:pPr>
              <w:rPr>
                <w:rFonts w:cs="Arial"/>
              </w:rPr>
            </w:pPr>
          </w:p>
        </w:tc>
        <w:tc>
          <w:tcPr>
            <w:tcW w:w="1631" w:type="dxa"/>
          </w:tcPr>
          <w:p w14:paraId="07B85CCA" w14:textId="474B8780" w:rsidR="00CC565E" w:rsidRPr="00CC565E" w:rsidRDefault="00CC565E" w:rsidP="00CC565E">
            <w:pPr>
              <w:rPr>
                <w:rFonts w:cs="Arial"/>
              </w:rPr>
            </w:pPr>
            <w:r w:rsidRPr="00CC565E">
              <w:rPr>
                <w:rFonts w:cs="Arial"/>
              </w:rPr>
              <w:t>Херпетичен кератит*</w:t>
            </w:r>
            <w:r w:rsidRPr="00CC565E">
              <w:rPr>
                <w:rFonts w:cs="Arial"/>
                <w:vertAlign w:val="superscript"/>
              </w:rPr>
              <w:t>§</w:t>
            </w:r>
          </w:p>
        </w:tc>
        <w:tc>
          <w:tcPr>
            <w:tcW w:w="1640" w:type="dxa"/>
          </w:tcPr>
          <w:p w14:paraId="46CC6FF3" w14:textId="77777777" w:rsidR="00CC565E" w:rsidRPr="00CC565E" w:rsidRDefault="00CC565E" w:rsidP="00CC565E">
            <w:pPr>
              <w:rPr>
                <w:rFonts w:cs="Arial"/>
              </w:rPr>
            </w:pPr>
          </w:p>
        </w:tc>
      </w:tr>
      <w:tr w:rsidR="00CC565E" w14:paraId="33E0ACDD" w14:textId="77777777" w:rsidTr="00CC565E">
        <w:tc>
          <w:tcPr>
            <w:tcW w:w="1651" w:type="dxa"/>
          </w:tcPr>
          <w:p w14:paraId="1F9F616E" w14:textId="379A0960" w:rsidR="00CC565E" w:rsidRPr="00CC565E" w:rsidRDefault="00CC565E" w:rsidP="00CC565E">
            <w:pPr>
              <w:rPr>
                <w:rFonts w:cs="Arial"/>
              </w:rPr>
            </w:pPr>
            <w:r w:rsidRPr="00CC565E">
              <w:rPr>
                <w:rFonts w:cs="Arial"/>
              </w:rPr>
              <w:t>Нарушения на нервната система</w:t>
            </w:r>
          </w:p>
        </w:tc>
        <w:tc>
          <w:tcPr>
            <w:tcW w:w="1615" w:type="dxa"/>
          </w:tcPr>
          <w:p w14:paraId="406971E8" w14:textId="77777777" w:rsidR="00CC565E" w:rsidRPr="00CC565E" w:rsidRDefault="00CC565E" w:rsidP="00CC565E">
            <w:pPr>
              <w:rPr>
                <w:rFonts w:cs="Arial"/>
              </w:rPr>
            </w:pPr>
          </w:p>
        </w:tc>
        <w:tc>
          <w:tcPr>
            <w:tcW w:w="1567" w:type="dxa"/>
          </w:tcPr>
          <w:p w14:paraId="2843ACEC" w14:textId="77777777" w:rsidR="00CC565E" w:rsidRPr="00CC565E" w:rsidRDefault="00CC565E" w:rsidP="00CC565E">
            <w:pPr>
              <w:rPr>
                <w:rFonts w:cs="Arial"/>
              </w:rPr>
            </w:pPr>
          </w:p>
        </w:tc>
        <w:tc>
          <w:tcPr>
            <w:tcW w:w="1472" w:type="dxa"/>
          </w:tcPr>
          <w:p w14:paraId="474D92D4" w14:textId="2B66737B" w:rsidR="00CC565E" w:rsidRPr="00CC565E" w:rsidRDefault="00CC565E" w:rsidP="00CC565E">
            <w:pPr>
              <w:rPr>
                <w:rFonts w:cs="Arial"/>
              </w:rPr>
            </w:pPr>
            <w:r w:rsidRPr="00CC565E">
              <w:rPr>
                <w:rFonts w:cs="Arial"/>
              </w:rPr>
              <w:t>Главоболие*; замаяност*</w:t>
            </w:r>
          </w:p>
        </w:tc>
        <w:tc>
          <w:tcPr>
            <w:tcW w:w="1631" w:type="dxa"/>
          </w:tcPr>
          <w:p w14:paraId="0606B898" w14:textId="77777777" w:rsidR="00CC565E" w:rsidRPr="00CC565E" w:rsidRDefault="00CC565E" w:rsidP="00CC565E">
            <w:pPr>
              <w:rPr>
                <w:rFonts w:cs="Arial"/>
              </w:rPr>
            </w:pPr>
          </w:p>
        </w:tc>
        <w:tc>
          <w:tcPr>
            <w:tcW w:w="1640" w:type="dxa"/>
          </w:tcPr>
          <w:p w14:paraId="4AE45012" w14:textId="77777777" w:rsidR="00CC565E" w:rsidRPr="00CC565E" w:rsidRDefault="00CC565E" w:rsidP="00CC565E">
            <w:pPr>
              <w:rPr>
                <w:rFonts w:cs="Arial"/>
              </w:rPr>
            </w:pPr>
          </w:p>
        </w:tc>
      </w:tr>
      <w:tr w:rsidR="00CC565E" w14:paraId="26978B86" w14:textId="77777777" w:rsidTr="00CC565E">
        <w:tc>
          <w:tcPr>
            <w:tcW w:w="1651" w:type="dxa"/>
          </w:tcPr>
          <w:p w14:paraId="4D546A75" w14:textId="1468F3BA" w:rsidR="00CC565E" w:rsidRPr="00CC565E" w:rsidRDefault="00CC565E" w:rsidP="00CC565E">
            <w:pPr>
              <w:rPr>
                <w:rFonts w:cs="Arial"/>
              </w:rPr>
            </w:pPr>
            <w:r w:rsidRPr="00CC565E">
              <w:rPr>
                <w:rFonts w:cs="Arial"/>
              </w:rPr>
              <w:t>Нарушения на очите</w:t>
            </w:r>
          </w:p>
        </w:tc>
        <w:tc>
          <w:tcPr>
            <w:tcW w:w="1615" w:type="dxa"/>
          </w:tcPr>
          <w:p w14:paraId="3A84F1FB" w14:textId="195AE956" w:rsidR="00CC565E" w:rsidRPr="00CC565E" w:rsidRDefault="00CC565E" w:rsidP="00CC565E">
            <w:pPr>
              <w:rPr>
                <w:rFonts w:cs="Arial"/>
              </w:rPr>
            </w:pPr>
            <w:r w:rsidRPr="00CC565E">
              <w:rPr>
                <w:rFonts w:cs="Arial"/>
              </w:rPr>
              <w:t>Увеличена пигментация на ириса; лека до умерена конюнктивална хиперемия; очно дразнене (парене, усещане за „песъчинки”, сърбеж, бодеж и усещане за чуждо тяло); промени в миглите и околоочния мъх (увеличаване на дължината, гъстотата, пигментацията и броя на миглите)</w:t>
            </w:r>
          </w:p>
        </w:tc>
        <w:tc>
          <w:tcPr>
            <w:tcW w:w="1567" w:type="dxa"/>
          </w:tcPr>
          <w:p w14:paraId="1943FE1B" w14:textId="4FB635A6" w:rsidR="00CC565E" w:rsidRPr="00CC565E" w:rsidRDefault="00CC565E" w:rsidP="00CC565E">
            <w:pPr>
              <w:rPr>
                <w:rFonts w:cs="Arial"/>
              </w:rPr>
            </w:pPr>
            <w:r w:rsidRPr="00CC565E">
              <w:rPr>
                <w:rFonts w:cs="Arial"/>
              </w:rPr>
              <w:t>Точковиден кератит, най- често без симптоматика; блефарит; болка в окото; фотофобия; конюнктивит*</w:t>
            </w:r>
          </w:p>
        </w:tc>
        <w:tc>
          <w:tcPr>
            <w:tcW w:w="1472" w:type="dxa"/>
          </w:tcPr>
          <w:p w14:paraId="1C34FDFE" w14:textId="77777777" w:rsidR="00CC565E" w:rsidRPr="00CC565E" w:rsidRDefault="00CC565E" w:rsidP="00CC565E">
            <w:pPr>
              <w:rPr>
                <w:rFonts w:cs="Arial"/>
              </w:rPr>
            </w:pPr>
            <w:r w:rsidRPr="00CC565E">
              <w:rPr>
                <w:rFonts w:cs="Arial"/>
              </w:rPr>
              <w:t>Едем на клепачите; сухота в очите; кератит*;</w:t>
            </w:r>
          </w:p>
          <w:p w14:paraId="3800C733" w14:textId="77777777" w:rsidR="00CC565E" w:rsidRPr="00CC565E" w:rsidRDefault="00CC565E" w:rsidP="00CC565E">
            <w:pPr>
              <w:rPr>
                <w:rFonts w:cs="Arial"/>
              </w:rPr>
            </w:pPr>
            <w:r w:rsidRPr="00CC565E">
              <w:rPr>
                <w:rFonts w:cs="Arial"/>
              </w:rPr>
              <w:t>замъглено зрение;</w:t>
            </w:r>
          </w:p>
          <w:p w14:paraId="10E6C5C6" w14:textId="77777777" w:rsidR="00CC565E" w:rsidRPr="00CC565E" w:rsidRDefault="00CC565E" w:rsidP="00CC565E">
            <w:pPr>
              <w:rPr>
                <w:rFonts w:cs="Arial"/>
              </w:rPr>
            </w:pPr>
            <w:r w:rsidRPr="00CC565E">
              <w:rPr>
                <w:rFonts w:cs="Arial"/>
              </w:rPr>
              <w:t>макулен едем, включително кистозен макулен едем*;</w:t>
            </w:r>
          </w:p>
          <w:p w14:paraId="60781611" w14:textId="003DF308" w:rsidR="00CC565E" w:rsidRPr="00CC565E" w:rsidRDefault="00CC565E" w:rsidP="00CC565E">
            <w:pPr>
              <w:rPr>
                <w:rFonts w:cs="Arial"/>
              </w:rPr>
            </w:pPr>
            <w:r w:rsidRPr="00CC565E">
              <w:rPr>
                <w:rFonts w:cs="Arial"/>
              </w:rPr>
              <w:t>увеит*</w:t>
            </w:r>
          </w:p>
        </w:tc>
        <w:tc>
          <w:tcPr>
            <w:tcW w:w="1631" w:type="dxa"/>
          </w:tcPr>
          <w:p w14:paraId="63A132ED" w14:textId="77777777" w:rsidR="00CC565E" w:rsidRPr="00CC565E" w:rsidRDefault="00CC565E" w:rsidP="00CC565E">
            <w:pPr>
              <w:rPr>
                <w:rFonts w:cs="Arial"/>
              </w:rPr>
            </w:pPr>
            <w:r w:rsidRPr="00CC565E">
              <w:rPr>
                <w:rFonts w:cs="Arial"/>
              </w:rPr>
              <w:t>Ирит*; едем на корнеята*;</w:t>
            </w:r>
          </w:p>
          <w:p w14:paraId="3A2B90B5" w14:textId="77777777" w:rsidR="00CC565E" w:rsidRPr="00CC565E" w:rsidRDefault="00CC565E" w:rsidP="00CC565E">
            <w:pPr>
              <w:rPr>
                <w:rFonts w:cs="Arial"/>
              </w:rPr>
            </w:pPr>
            <w:r w:rsidRPr="00CC565E">
              <w:rPr>
                <w:rFonts w:cs="Arial"/>
              </w:rPr>
              <w:t>ерозия на корнеята;</w:t>
            </w:r>
          </w:p>
          <w:p w14:paraId="345B331E" w14:textId="77777777" w:rsidR="00CC565E" w:rsidRPr="00CC565E" w:rsidRDefault="00CC565E" w:rsidP="00CC565E">
            <w:pPr>
              <w:rPr>
                <w:rFonts w:cs="Arial"/>
              </w:rPr>
            </w:pPr>
            <w:r w:rsidRPr="00CC565E">
              <w:rPr>
                <w:rFonts w:cs="Arial"/>
              </w:rPr>
              <w:t>периорбитален едем; трихиаза*;</w:t>
            </w:r>
          </w:p>
          <w:p w14:paraId="29C4C4B1" w14:textId="77777777" w:rsidR="00CC565E" w:rsidRPr="00CC565E" w:rsidRDefault="00CC565E" w:rsidP="00CC565E">
            <w:pPr>
              <w:rPr>
                <w:rFonts w:cs="Arial"/>
              </w:rPr>
            </w:pPr>
            <w:r w:rsidRPr="00CC565E">
              <w:rPr>
                <w:rFonts w:cs="Arial"/>
              </w:rPr>
              <w:t>дистихиаза;</w:t>
            </w:r>
          </w:p>
          <w:p w14:paraId="7CBA7604" w14:textId="77777777" w:rsidR="00CC565E" w:rsidRPr="00CC565E" w:rsidRDefault="00CC565E" w:rsidP="00CC565E">
            <w:pPr>
              <w:rPr>
                <w:rFonts w:cs="Arial"/>
              </w:rPr>
            </w:pPr>
            <w:r w:rsidRPr="00CC565E">
              <w:rPr>
                <w:rFonts w:cs="Arial"/>
              </w:rPr>
              <w:t>киста на ириса*</w:t>
            </w:r>
            <w:r w:rsidRPr="00CC565E">
              <w:rPr>
                <w:rFonts w:cs="Arial"/>
                <w:vertAlign w:val="superscript"/>
              </w:rPr>
              <w:t>§</w:t>
            </w:r>
            <w:r w:rsidRPr="00CC565E">
              <w:rPr>
                <w:rFonts w:cs="Arial"/>
              </w:rPr>
              <w:t>; локализирана кожна реакция на клепачите;</w:t>
            </w:r>
          </w:p>
          <w:p w14:paraId="184E6EBE" w14:textId="77777777" w:rsidR="00CC565E" w:rsidRPr="00CC565E" w:rsidRDefault="00CC565E" w:rsidP="00CC565E">
            <w:pPr>
              <w:rPr>
                <w:rFonts w:cs="Arial"/>
              </w:rPr>
            </w:pPr>
            <w:r w:rsidRPr="00CC565E">
              <w:rPr>
                <w:rFonts w:cs="Arial"/>
              </w:rPr>
              <w:t>потъмняване на</w:t>
            </w:r>
          </w:p>
          <w:p w14:paraId="13FB2919" w14:textId="77777777" w:rsidR="00CC565E" w:rsidRPr="00CC565E" w:rsidRDefault="00CC565E" w:rsidP="00CC565E">
            <w:pPr>
              <w:rPr>
                <w:rFonts w:cs="Arial"/>
              </w:rPr>
            </w:pPr>
            <w:r w:rsidRPr="00CC565E">
              <w:rPr>
                <w:rFonts w:cs="Arial"/>
              </w:rPr>
              <w:t>кожата на</w:t>
            </w:r>
          </w:p>
          <w:p w14:paraId="25644ECB" w14:textId="77777777" w:rsidR="00CC565E" w:rsidRPr="00CC565E" w:rsidRDefault="00CC565E" w:rsidP="00CC565E">
            <w:pPr>
              <w:rPr>
                <w:rFonts w:cs="Arial"/>
              </w:rPr>
            </w:pPr>
            <w:r w:rsidRPr="00CC565E">
              <w:rPr>
                <w:rFonts w:cs="Arial"/>
              </w:rPr>
              <w:t>клепачите;</w:t>
            </w:r>
          </w:p>
          <w:p w14:paraId="142F89C1" w14:textId="77777777" w:rsidR="00CC565E" w:rsidRPr="00CC565E" w:rsidRDefault="00CC565E" w:rsidP="00CC565E">
            <w:pPr>
              <w:rPr>
                <w:rFonts w:cs="Arial"/>
              </w:rPr>
            </w:pPr>
            <w:r w:rsidRPr="00CC565E">
              <w:rPr>
                <w:rFonts w:cs="Arial"/>
              </w:rPr>
              <w:t>псевдо- пемфигоид на очната</w:t>
            </w:r>
          </w:p>
          <w:p w14:paraId="79F37638" w14:textId="7EC479F1" w:rsidR="00CC565E" w:rsidRPr="00CC565E" w:rsidRDefault="00CC565E" w:rsidP="00CC565E">
            <w:pPr>
              <w:rPr>
                <w:rFonts w:cs="Arial"/>
              </w:rPr>
            </w:pPr>
            <w:r w:rsidRPr="00CC565E">
              <w:rPr>
                <w:rFonts w:cs="Arial"/>
              </w:rPr>
              <w:t>конюнктива*</w:t>
            </w:r>
            <w:r w:rsidRPr="00CC565E">
              <w:rPr>
                <w:rFonts w:cs="Arial"/>
                <w:vertAlign w:val="superscript"/>
              </w:rPr>
              <w:t>5</w:t>
            </w:r>
          </w:p>
        </w:tc>
        <w:tc>
          <w:tcPr>
            <w:tcW w:w="1640" w:type="dxa"/>
          </w:tcPr>
          <w:p w14:paraId="0C0B3FB4" w14:textId="528701AB" w:rsidR="00CC565E" w:rsidRPr="00CC565E" w:rsidRDefault="00CC565E" w:rsidP="00CC565E">
            <w:pPr>
              <w:rPr>
                <w:rFonts w:cs="Arial"/>
              </w:rPr>
            </w:pPr>
            <w:r w:rsidRPr="00CC565E">
              <w:rPr>
                <w:rFonts w:cs="Arial"/>
              </w:rPr>
              <w:t>Промени около орбитите и клепачите, водещи до задълбочаване на клепачната гънка</w:t>
            </w:r>
          </w:p>
        </w:tc>
      </w:tr>
      <w:tr w:rsidR="00CC565E" w14:paraId="45374F14" w14:textId="77777777" w:rsidTr="00CC565E">
        <w:tc>
          <w:tcPr>
            <w:tcW w:w="1651" w:type="dxa"/>
          </w:tcPr>
          <w:p w14:paraId="1ED050D3" w14:textId="2057E559" w:rsidR="00CC565E" w:rsidRPr="00CC565E" w:rsidRDefault="00CC565E" w:rsidP="00CC565E">
            <w:pPr>
              <w:rPr>
                <w:rFonts w:cs="Arial"/>
              </w:rPr>
            </w:pPr>
            <w:r w:rsidRPr="00CC565E">
              <w:rPr>
                <w:rFonts w:cs="Arial"/>
              </w:rPr>
              <w:t>Сърдечни нарушения</w:t>
            </w:r>
          </w:p>
        </w:tc>
        <w:tc>
          <w:tcPr>
            <w:tcW w:w="1615" w:type="dxa"/>
          </w:tcPr>
          <w:p w14:paraId="38B96A85" w14:textId="77777777" w:rsidR="00CC565E" w:rsidRPr="00CC565E" w:rsidRDefault="00CC565E" w:rsidP="00CC565E">
            <w:pPr>
              <w:rPr>
                <w:rFonts w:cs="Arial"/>
              </w:rPr>
            </w:pPr>
          </w:p>
        </w:tc>
        <w:tc>
          <w:tcPr>
            <w:tcW w:w="1567" w:type="dxa"/>
          </w:tcPr>
          <w:p w14:paraId="3C384F2D" w14:textId="77777777" w:rsidR="00CC565E" w:rsidRPr="00CC565E" w:rsidRDefault="00CC565E" w:rsidP="00CC565E">
            <w:pPr>
              <w:rPr>
                <w:rFonts w:cs="Arial"/>
              </w:rPr>
            </w:pPr>
          </w:p>
        </w:tc>
        <w:tc>
          <w:tcPr>
            <w:tcW w:w="1472" w:type="dxa"/>
          </w:tcPr>
          <w:p w14:paraId="5742498A" w14:textId="67065435" w:rsidR="00CC565E" w:rsidRPr="00CC565E" w:rsidRDefault="00CC565E" w:rsidP="00CC565E">
            <w:pPr>
              <w:rPr>
                <w:rFonts w:cs="Arial"/>
              </w:rPr>
            </w:pPr>
            <w:r w:rsidRPr="00CC565E">
              <w:rPr>
                <w:rFonts w:cs="Arial"/>
              </w:rPr>
              <w:t>Стенокардия; палпитации*</w:t>
            </w:r>
          </w:p>
        </w:tc>
        <w:tc>
          <w:tcPr>
            <w:tcW w:w="1631" w:type="dxa"/>
          </w:tcPr>
          <w:p w14:paraId="250C04F5" w14:textId="77777777" w:rsidR="00CC565E" w:rsidRPr="00CC565E" w:rsidRDefault="00CC565E" w:rsidP="00CC565E">
            <w:pPr>
              <w:rPr>
                <w:rFonts w:cs="Arial"/>
              </w:rPr>
            </w:pPr>
          </w:p>
        </w:tc>
        <w:tc>
          <w:tcPr>
            <w:tcW w:w="1640" w:type="dxa"/>
          </w:tcPr>
          <w:p w14:paraId="5926EBF7" w14:textId="78D95D07" w:rsidR="00CC565E" w:rsidRPr="00CC565E" w:rsidRDefault="00CC565E" w:rsidP="00CC565E">
            <w:pPr>
              <w:rPr>
                <w:rFonts w:cs="Arial"/>
              </w:rPr>
            </w:pPr>
            <w:r w:rsidRPr="00CC565E">
              <w:rPr>
                <w:rFonts w:cs="Arial"/>
              </w:rPr>
              <w:t>Нестабилна стенокардия</w:t>
            </w:r>
          </w:p>
        </w:tc>
      </w:tr>
      <w:tr w:rsidR="00CC565E" w14:paraId="2A490B64" w14:textId="77777777" w:rsidTr="00CC565E">
        <w:tc>
          <w:tcPr>
            <w:tcW w:w="1651" w:type="dxa"/>
          </w:tcPr>
          <w:p w14:paraId="75E17EC4" w14:textId="45D2C556" w:rsidR="00CC565E" w:rsidRPr="00CC565E" w:rsidRDefault="00CC565E" w:rsidP="00CC565E">
            <w:pPr>
              <w:rPr>
                <w:rFonts w:cs="Arial"/>
              </w:rPr>
            </w:pPr>
            <w:r w:rsidRPr="00CC565E">
              <w:rPr>
                <w:rFonts w:cs="Arial"/>
              </w:rPr>
              <w:t>Респираторни, гръдни и медиастинални нарушения</w:t>
            </w:r>
          </w:p>
        </w:tc>
        <w:tc>
          <w:tcPr>
            <w:tcW w:w="1615" w:type="dxa"/>
          </w:tcPr>
          <w:p w14:paraId="66C91080" w14:textId="77777777" w:rsidR="00CC565E" w:rsidRPr="00CC565E" w:rsidRDefault="00CC565E" w:rsidP="00CC565E">
            <w:pPr>
              <w:rPr>
                <w:rFonts w:cs="Arial"/>
              </w:rPr>
            </w:pPr>
          </w:p>
        </w:tc>
        <w:tc>
          <w:tcPr>
            <w:tcW w:w="1567" w:type="dxa"/>
          </w:tcPr>
          <w:p w14:paraId="4A8ADC89" w14:textId="77777777" w:rsidR="00CC565E" w:rsidRPr="00CC565E" w:rsidRDefault="00CC565E" w:rsidP="00CC565E">
            <w:pPr>
              <w:rPr>
                <w:rFonts w:cs="Arial"/>
              </w:rPr>
            </w:pPr>
          </w:p>
        </w:tc>
        <w:tc>
          <w:tcPr>
            <w:tcW w:w="1472" w:type="dxa"/>
          </w:tcPr>
          <w:p w14:paraId="4C3B4C09" w14:textId="41E94E62" w:rsidR="00CC565E" w:rsidRPr="00CC565E" w:rsidRDefault="00CC565E" w:rsidP="00CC565E">
            <w:pPr>
              <w:rPr>
                <w:rFonts w:cs="Arial"/>
              </w:rPr>
            </w:pPr>
            <w:r w:rsidRPr="00CC565E">
              <w:rPr>
                <w:rFonts w:cs="Arial"/>
              </w:rPr>
              <w:t>Астма*; диспнея*</w:t>
            </w:r>
          </w:p>
        </w:tc>
        <w:tc>
          <w:tcPr>
            <w:tcW w:w="1631" w:type="dxa"/>
          </w:tcPr>
          <w:p w14:paraId="19E0CE10" w14:textId="2E70CCC9" w:rsidR="00CC565E" w:rsidRPr="00CC565E" w:rsidRDefault="00CC565E" w:rsidP="00CC565E">
            <w:pPr>
              <w:rPr>
                <w:rFonts w:cs="Arial"/>
              </w:rPr>
            </w:pPr>
            <w:r w:rsidRPr="00CC565E">
              <w:rPr>
                <w:rFonts w:cs="Arial"/>
              </w:rPr>
              <w:t>Влошаване на астма</w:t>
            </w:r>
          </w:p>
        </w:tc>
        <w:tc>
          <w:tcPr>
            <w:tcW w:w="1640" w:type="dxa"/>
          </w:tcPr>
          <w:p w14:paraId="604DF8A7" w14:textId="77777777" w:rsidR="00CC565E" w:rsidRPr="00CC565E" w:rsidRDefault="00CC565E" w:rsidP="00CC565E">
            <w:pPr>
              <w:rPr>
                <w:rFonts w:cs="Arial"/>
              </w:rPr>
            </w:pPr>
          </w:p>
        </w:tc>
      </w:tr>
      <w:tr w:rsidR="00CC565E" w14:paraId="4D0AE6B1" w14:textId="77777777" w:rsidTr="00CC565E">
        <w:tc>
          <w:tcPr>
            <w:tcW w:w="1651" w:type="dxa"/>
          </w:tcPr>
          <w:p w14:paraId="4F46C44F" w14:textId="386D03ED" w:rsidR="00CC565E" w:rsidRPr="00CC565E" w:rsidRDefault="00CC565E" w:rsidP="00CC565E">
            <w:pPr>
              <w:rPr>
                <w:rFonts w:cs="Arial"/>
              </w:rPr>
            </w:pPr>
            <w:r w:rsidRPr="00CC565E">
              <w:rPr>
                <w:rFonts w:cs="Arial"/>
              </w:rPr>
              <w:t>Стомашно- чревни нарушения</w:t>
            </w:r>
          </w:p>
        </w:tc>
        <w:tc>
          <w:tcPr>
            <w:tcW w:w="1615" w:type="dxa"/>
          </w:tcPr>
          <w:p w14:paraId="68E5E164" w14:textId="77777777" w:rsidR="00CC565E" w:rsidRPr="00CC565E" w:rsidRDefault="00CC565E" w:rsidP="00CC565E">
            <w:pPr>
              <w:rPr>
                <w:rFonts w:cs="Arial"/>
              </w:rPr>
            </w:pPr>
          </w:p>
        </w:tc>
        <w:tc>
          <w:tcPr>
            <w:tcW w:w="1567" w:type="dxa"/>
          </w:tcPr>
          <w:p w14:paraId="5604993C" w14:textId="77777777" w:rsidR="00CC565E" w:rsidRPr="00CC565E" w:rsidRDefault="00CC565E" w:rsidP="00CC565E">
            <w:pPr>
              <w:rPr>
                <w:rFonts w:cs="Arial"/>
              </w:rPr>
            </w:pPr>
          </w:p>
        </w:tc>
        <w:tc>
          <w:tcPr>
            <w:tcW w:w="1472" w:type="dxa"/>
          </w:tcPr>
          <w:p w14:paraId="493C6AD2" w14:textId="77777777" w:rsidR="00CC565E" w:rsidRPr="00CC565E" w:rsidRDefault="00CC565E" w:rsidP="00CC565E">
            <w:pPr>
              <w:rPr>
                <w:rFonts w:cs="Arial"/>
              </w:rPr>
            </w:pPr>
            <w:r w:rsidRPr="00CC565E">
              <w:rPr>
                <w:rFonts w:cs="Arial"/>
              </w:rPr>
              <w:t>Гадене*;</w:t>
            </w:r>
          </w:p>
          <w:p w14:paraId="09777FD2" w14:textId="2DDADE52" w:rsidR="00CC565E" w:rsidRPr="00CC565E" w:rsidRDefault="00CC565E" w:rsidP="00CC565E">
            <w:pPr>
              <w:rPr>
                <w:rFonts w:cs="Arial"/>
              </w:rPr>
            </w:pPr>
            <w:r w:rsidRPr="00CC565E">
              <w:rPr>
                <w:rFonts w:cs="Arial"/>
              </w:rPr>
              <w:t>повръщане*</w:t>
            </w:r>
          </w:p>
        </w:tc>
        <w:tc>
          <w:tcPr>
            <w:tcW w:w="1631" w:type="dxa"/>
          </w:tcPr>
          <w:p w14:paraId="486F59C7" w14:textId="77777777" w:rsidR="00CC565E" w:rsidRPr="00CC565E" w:rsidRDefault="00CC565E" w:rsidP="00CC565E">
            <w:pPr>
              <w:rPr>
                <w:rFonts w:cs="Arial"/>
              </w:rPr>
            </w:pPr>
          </w:p>
        </w:tc>
        <w:tc>
          <w:tcPr>
            <w:tcW w:w="1640" w:type="dxa"/>
          </w:tcPr>
          <w:p w14:paraId="72D413DC" w14:textId="77777777" w:rsidR="00CC565E" w:rsidRPr="00CC565E" w:rsidRDefault="00CC565E" w:rsidP="00CC565E">
            <w:pPr>
              <w:rPr>
                <w:rFonts w:cs="Arial"/>
              </w:rPr>
            </w:pPr>
          </w:p>
        </w:tc>
      </w:tr>
      <w:tr w:rsidR="00CC565E" w14:paraId="572AE477" w14:textId="77777777" w:rsidTr="00CC565E">
        <w:tc>
          <w:tcPr>
            <w:tcW w:w="1651" w:type="dxa"/>
          </w:tcPr>
          <w:p w14:paraId="3640F33C" w14:textId="408FB612" w:rsidR="00CC565E" w:rsidRPr="00CC565E" w:rsidRDefault="00CC565E" w:rsidP="00CC565E">
            <w:pPr>
              <w:rPr>
                <w:rFonts w:cs="Arial"/>
              </w:rPr>
            </w:pPr>
            <w:r w:rsidRPr="00CC565E">
              <w:rPr>
                <w:rFonts w:cs="Arial"/>
              </w:rPr>
              <w:lastRenderedPageBreak/>
              <w:t>Нарушения на кожата и подкожната тъкан</w:t>
            </w:r>
          </w:p>
        </w:tc>
        <w:tc>
          <w:tcPr>
            <w:tcW w:w="1615" w:type="dxa"/>
          </w:tcPr>
          <w:p w14:paraId="74C023F4" w14:textId="77777777" w:rsidR="00CC565E" w:rsidRPr="00CC565E" w:rsidRDefault="00CC565E" w:rsidP="00CC565E">
            <w:pPr>
              <w:rPr>
                <w:rFonts w:cs="Arial"/>
              </w:rPr>
            </w:pPr>
          </w:p>
        </w:tc>
        <w:tc>
          <w:tcPr>
            <w:tcW w:w="1567" w:type="dxa"/>
          </w:tcPr>
          <w:p w14:paraId="0A303BB5" w14:textId="77777777" w:rsidR="00CC565E" w:rsidRPr="00CC565E" w:rsidRDefault="00CC565E" w:rsidP="00CC565E">
            <w:pPr>
              <w:rPr>
                <w:rFonts w:cs="Arial"/>
              </w:rPr>
            </w:pPr>
          </w:p>
        </w:tc>
        <w:tc>
          <w:tcPr>
            <w:tcW w:w="1472" w:type="dxa"/>
          </w:tcPr>
          <w:p w14:paraId="776F502A" w14:textId="6448B8EA" w:rsidR="00CC565E" w:rsidRPr="00CC565E" w:rsidRDefault="00CC565E" w:rsidP="00CC565E">
            <w:pPr>
              <w:rPr>
                <w:rFonts w:cs="Arial"/>
              </w:rPr>
            </w:pPr>
            <w:r w:rsidRPr="00CC565E">
              <w:rPr>
                <w:rFonts w:cs="Arial"/>
              </w:rPr>
              <w:t>Обрив</w:t>
            </w:r>
          </w:p>
        </w:tc>
        <w:tc>
          <w:tcPr>
            <w:tcW w:w="1631" w:type="dxa"/>
          </w:tcPr>
          <w:p w14:paraId="04634B0E" w14:textId="54EAC3D2" w:rsidR="00CC565E" w:rsidRPr="00CC565E" w:rsidRDefault="00CC565E" w:rsidP="00CC565E">
            <w:pPr>
              <w:rPr>
                <w:rFonts w:cs="Arial"/>
              </w:rPr>
            </w:pPr>
            <w:r w:rsidRPr="00CC565E">
              <w:rPr>
                <w:rFonts w:cs="Arial"/>
              </w:rPr>
              <w:t>Сърбеж</w:t>
            </w:r>
          </w:p>
        </w:tc>
        <w:tc>
          <w:tcPr>
            <w:tcW w:w="1640" w:type="dxa"/>
          </w:tcPr>
          <w:p w14:paraId="70430BDC" w14:textId="77777777" w:rsidR="00CC565E" w:rsidRPr="00CC565E" w:rsidRDefault="00CC565E" w:rsidP="00CC565E">
            <w:pPr>
              <w:rPr>
                <w:rFonts w:cs="Arial"/>
              </w:rPr>
            </w:pPr>
          </w:p>
        </w:tc>
      </w:tr>
      <w:tr w:rsidR="00CC565E" w14:paraId="66A3A17C" w14:textId="77777777" w:rsidTr="00CC565E">
        <w:tc>
          <w:tcPr>
            <w:tcW w:w="1651" w:type="dxa"/>
          </w:tcPr>
          <w:p w14:paraId="238B98A7" w14:textId="4D672ED2" w:rsidR="00CC565E" w:rsidRPr="00CC565E" w:rsidRDefault="00CC565E" w:rsidP="00CC565E">
            <w:pPr>
              <w:rPr>
                <w:rFonts w:cs="Arial"/>
              </w:rPr>
            </w:pPr>
            <w:r w:rsidRPr="00CC565E">
              <w:rPr>
                <w:rFonts w:cs="Arial"/>
              </w:rPr>
              <w:t>Нарушения на мускулно- скелетната система и съединителнат а тъкан</w:t>
            </w:r>
          </w:p>
        </w:tc>
        <w:tc>
          <w:tcPr>
            <w:tcW w:w="1615" w:type="dxa"/>
          </w:tcPr>
          <w:p w14:paraId="3D6BF5F7" w14:textId="77777777" w:rsidR="00CC565E" w:rsidRPr="00CC565E" w:rsidRDefault="00CC565E" w:rsidP="00CC565E">
            <w:pPr>
              <w:rPr>
                <w:rFonts w:cs="Arial"/>
              </w:rPr>
            </w:pPr>
          </w:p>
        </w:tc>
        <w:tc>
          <w:tcPr>
            <w:tcW w:w="1567" w:type="dxa"/>
          </w:tcPr>
          <w:p w14:paraId="71C7E084" w14:textId="77777777" w:rsidR="00CC565E" w:rsidRPr="00CC565E" w:rsidRDefault="00CC565E" w:rsidP="00CC565E">
            <w:pPr>
              <w:rPr>
                <w:rFonts w:cs="Arial"/>
              </w:rPr>
            </w:pPr>
          </w:p>
        </w:tc>
        <w:tc>
          <w:tcPr>
            <w:tcW w:w="1472" w:type="dxa"/>
          </w:tcPr>
          <w:p w14:paraId="1BFD155A" w14:textId="0A7C1ED6" w:rsidR="00CC565E" w:rsidRPr="00CC565E" w:rsidRDefault="00CC565E" w:rsidP="00CC565E">
            <w:pPr>
              <w:rPr>
                <w:rFonts w:cs="Arial"/>
              </w:rPr>
            </w:pPr>
            <w:r w:rsidRPr="00CC565E">
              <w:rPr>
                <w:rFonts w:cs="Arial"/>
              </w:rPr>
              <w:t>Миалгия*; артралгия*</w:t>
            </w:r>
          </w:p>
        </w:tc>
        <w:tc>
          <w:tcPr>
            <w:tcW w:w="1631" w:type="dxa"/>
          </w:tcPr>
          <w:p w14:paraId="5728D8AA" w14:textId="77777777" w:rsidR="00CC565E" w:rsidRPr="00CC565E" w:rsidRDefault="00CC565E" w:rsidP="00CC565E">
            <w:pPr>
              <w:rPr>
                <w:rFonts w:cs="Arial"/>
              </w:rPr>
            </w:pPr>
          </w:p>
        </w:tc>
        <w:tc>
          <w:tcPr>
            <w:tcW w:w="1640" w:type="dxa"/>
          </w:tcPr>
          <w:p w14:paraId="550CC9B9" w14:textId="77777777" w:rsidR="00CC565E" w:rsidRPr="00CC565E" w:rsidRDefault="00CC565E" w:rsidP="00CC565E">
            <w:pPr>
              <w:rPr>
                <w:rFonts w:cs="Arial"/>
              </w:rPr>
            </w:pPr>
          </w:p>
        </w:tc>
      </w:tr>
      <w:tr w:rsidR="00CC565E" w14:paraId="24FE76B4" w14:textId="77777777" w:rsidTr="00CC565E">
        <w:tc>
          <w:tcPr>
            <w:tcW w:w="1651" w:type="dxa"/>
          </w:tcPr>
          <w:p w14:paraId="2E7705BD" w14:textId="7E50CD5E" w:rsidR="00CC565E" w:rsidRDefault="00CC565E" w:rsidP="00CC565E">
            <w:r>
              <w:t>Общи нарушения и ефекти на мястото на приложение</w:t>
            </w:r>
          </w:p>
        </w:tc>
        <w:tc>
          <w:tcPr>
            <w:tcW w:w="1615" w:type="dxa"/>
          </w:tcPr>
          <w:p w14:paraId="2723E885" w14:textId="77777777" w:rsidR="00CC565E" w:rsidRDefault="00CC565E" w:rsidP="00CC565E"/>
        </w:tc>
        <w:tc>
          <w:tcPr>
            <w:tcW w:w="1567" w:type="dxa"/>
          </w:tcPr>
          <w:p w14:paraId="279C0D63" w14:textId="77777777" w:rsidR="00CC565E" w:rsidRDefault="00CC565E" w:rsidP="00CC565E"/>
        </w:tc>
        <w:tc>
          <w:tcPr>
            <w:tcW w:w="1472" w:type="dxa"/>
          </w:tcPr>
          <w:p w14:paraId="28BA44FD" w14:textId="7CE37B57" w:rsidR="00CC565E" w:rsidRDefault="00CC565E" w:rsidP="00CC565E">
            <w:r>
              <w:t>Болка в гърдите*</w:t>
            </w:r>
          </w:p>
        </w:tc>
        <w:tc>
          <w:tcPr>
            <w:tcW w:w="1631" w:type="dxa"/>
          </w:tcPr>
          <w:p w14:paraId="0CF57654" w14:textId="77777777" w:rsidR="00CC565E" w:rsidRDefault="00CC565E" w:rsidP="00CC565E"/>
        </w:tc>
        <w:tc>
          <w:tcPr>
            <w:tcW w:w="1640" w:type="dxa"/>
          </w:tcPr>
          <w:p w14:paraId="3FC934E1" w14:textId="77777777" w:rsidR="00CC565E" w:rsidRDefault="00CC565E" w:rsidP="00CC565E"/>
        </w:tc>
      </w:tr>
    </w:tbl>
    <w:p w14:paraId="0AE9C21F" w14:textId="77777777" w:rsidR="00CC565E" w:rsidRPr="00CC565E" w:rsidRDefault="00CC565E" w:rsidP="00CC565E">
      <w:pPr>
        <w:spacing w:line="240" w:lineRule="auto"/>
        <w:rPr>
          <w:rFonts w:eastAsia="Times New Roman" w:cs="Arial"/>
          <w:color w:val="000000"/>
          <w:lang w:eastAsia="bg-BG"/>
        </w:rPr>
      </w:pPr>
      <w:r w:rsidRPr="00CC565E">
        <w:rPr>
          <w:rFonts w:eastAsia="Times New Roman" w:cs="Arial"/>
          <w:color w:val="000000"/>
          <w:lang w:eastAsia="bg-BG"/>
        </w:rPr>
        <w:t>*НЛР, идентифицирана при постмаркетинговата употреба</w:t>
      </w:r>
    </w:p>
    <w:p w14:paraId="17ECD244" w14:textId="04F8C4CE" w:rsidR="00CC565E" w:rsidRPr="00CC565E" w:rsidRDefault="00CC565E" w:rsidP="00CC565E">
      <w:pPr>
        <w:spacing w:line="240" w:lineRule="auto"/>
        <w:rPr>
          <w:rFonts w:eastAsia="Times New Roman" w:cs="Arial"/>
          <w:lang w:eastAsia="bg-BG"/>
        </w:rPr>
      </w:pPr>
      <w:r w:rsidRPr="00CC565E">
        <w:rPr>
          <w:rFonts w:cs="Arial"/>
          <w:vertAlign w:val="superscript"/>
        </w:rPr>
        <w:t>§</w:t>
      </w:r>
      <w:r w:rsidRPr="00CC565E">
        <w:rPr>
          <w:rFonts w:eastAsia="Times New Roman" w:cs="Arial"/>
          <w:color w:val="000000"/>
          <w:lang w:eastAsia="bg-BG"/>
        </w:rPr>
        <w:t>Честотата на НЛР е определена с „Просто тройно правило“</w:t>
      </w:r>
    </w:p>
    <w:p w14:paraId="19D40B35" w14:textId="77777777" w:rsidR="00CC565E" w:rsidRPr="00CC565E" w:rsidRDefault="00CC565E" w:rsidP="00CC565E">
      <w:pPr>
        <w:spacing w:line="240" w:lineRule="auto"/>
        <w:rPr>
          <w:rFonts w:eastAsia="Times New Roman" w:cs="Arial"/>
          <w:color w:val="000000"/>
          <w:lang w:eastAsia="bg-BG"/>
        </w:rPr>
      </w:pPr>
    </w:p>
    <w:p w14:paraId="734B26D5" w14:textId="024485F7" w:rsidR="00CC565E" w:rsidRPr="00CC565E" w:rsidRDefault="00CC565E" w:rsidP="00CC565E">
      <w:pPr>
        <w:spacing w:line="240" w:lineRule="auto"/>
        <w:rPr>
          <w:rFonts w:eastAsia="Times New Roman" w:cs="Arial"/>
          <w:lang w:eastAsia="bg-BG"/>
        </w:rPr>
      </w:pPr>
      <w:r w:rsidRPr="00CC565E">
        <w:rPr>
          <w:rFonts w:eastAsia="Times New Roman" w:cs="Arial"/>
          <w:color w:val="000000"/>
          <w:lang w:eastAsia="bg-BG"/>
        </w:rPr>
        <w:t>Много рядко са съобщавани случаи на калцификация на роговицата при някои пациенти със значително увредени роговици във връзка с употребата на капки за очи, съдържащи фосфати.</w:t>
      </w:r>
    </w:p>
    <w:p w14:paraId="01F2D61A" w14:textId="77777777" w:rsidR="00CC565E" w:rsidRPr="00CC565E" w:rsidRDefault="00CC565E" w:rsidP="00CC565E">
      <w:pPr>
        <w:spacing w:line="240" w:lineRule="auto"/>
        <w:rPr>
          <w:rFonts w:eastAsia="Times New Roman" w:cs="Arial"/>
          <w:color w:val="000000"/>
          <w:u w:val="single"/>
          <w:lang w:eastAsia="bg-BG"/>
        </w:rPr>
      </w:pPr>
    </w:p>
    <w:p w14:paraId="251DB90F" w14:textId="349DC476" w:rsidR="00CC565E" w:rsidRPr="00CC565E" w:rsidRDefault="00CC565E" w:rsidP="00CC565E">
      <w:pPr>
        <w:spacing w:line="240" w:lineRule="auto"/>
        <w:rPr>
          <w:rFonts w:eastAsia="Times New Roman" w:cs="Arial"/>
          <w:lang w:eastAsia="bg-BG"/>
        </w:rPr>
      </w:pPr>
      <w:r w:rsidRPr="00CC565E">
        <w:rPr>
          <w:rFonts w:eastAsia="Times New Roman" w:cs="Arial"/>
          <w:color w:val="000000"/>
          <w:u w:val="single"/>
          <w:lang w:eastAsia="bg-BG"/>
        </w:rPr>
        <w:t>в.</w:t>
      </w:r>
      <w:r w:rsidRPr="00CC565E">
        <w:rPr>
          <w:rFonts w:eastAsia="Times New Roman" w:cs="Arial"/>
          <w:color w:val="000000"/>
          <w:u w:val="single"/>
          <w:lang w:val="en-US" w:eastAsia="bg-BG"/>
        </w:rPr>
        <w:t xml:space="preserve"> </w:t>
      </w:r>
      <w:r w:rsidRPr="00CC565E">
        <w:rPr>
          <w:rFonts w:eastAsia="Times New Roman" w:cs="Arial"/>
          <w:color w:val="000000"/>
          <w:u w:val="single"/>
          <w:lang w:eastAsia="bg-BG"/>
        </w:rPr>
        <w:t>Описание на избрани нежелани реакции</w:t>
      </w:r>
    </w:p>
    <w:p w14:paraId="00513BB6" w14:textId="77777777" w:rsidR="00CC565E" w:rsidRPr="00CC565E" w:rsidRDefault="00CC565E" w:rsidP="00CC565E">
      <w:pPr>
        <w:spacing w:line="240" w:lineRule="auto"/>
        <w:rPr>
          <w:rFonts w:eastAsia="Times New Roman" w:cs="Arial"/>
          <w:lang w:eastAsia="bg-BG"/>
        </w:rPr>
      </w:pPr>
      <w:r w:rsidRPr="00CC565E">
        <w:rPr>
          <w:rFonts w:eastAsia="Times New Roman" w:cs="Arial"/>
          <w:color w:val="000000"/>
          <w:lang w:eastAsia="bg-BG"/>
        </w:rPr>
        <w:t>Няма предоставена информация</w:t>
      </w:r>
    </w:p>
    <w:p w14:paraId="629FF430" w14:textId="77777777" w:rsidR="00CC565E" w:rsidRPr="00CC565E" w:rsidRDefault="00CC565E" w:rsidP="00CC565E">
      <w:pPr>
        <w:spacing w:line="240" w:lineRule="auto"/>
        <w:rPr>
          <w:rFonts w:eastAsia="Times New Roman" w:cs="Arial"/>
          <w:color w:val="000000"/>
          <w:u w:val="single"/>
          <w:lang w:eastAsia="bg-BG"/>
        </w:rPr>
      </w:pPr>
    </w:p>
    <w:p w14:paraId="476C5EA1" w14:textId="2386B7C3" w:rsidR="00CC565E" w:rsidRPr="00CC565E" w:rsidRDefault="00CC565E" w:rsidP="00CC565E">
      <w:pPr>
        <w:spacing w:line="240" w:lineRule="auto"/>
        <w:rPr>
          <w:rFonts w:eastAsia="Times New Roman" w:cs="Arial"/>
          <w:lang w:eastAsia="bg-BG"/>
        </w:rPr>
      </w:pPr>
      <w:r w:rsidRPr="00CC565E">
        <w:rPr>
          <w:rFonts w:eastAsia="Times New Roman" w:cs="Arial"/>
          <w:color w:val="000000"/>
          <w:u w:val="single"/>
          <w:lang w:eastAsia="bg-BG"/>
        </w:rPr>
        <w:t>г.</w:t>
      </w:r>
      <w:r w:rsidRPr="00CC565E">
        <w:rPr>
          <w:rFonts w:eastAsia="Times New Roman" w:cs="Arial"/>
          <w:color w:val="000000"/>
          <w:u w:val="single"/>
          <w:lang w:val="en-US" w:eastAsia="bg-BG"/>
        </w:rPr>
        <w:t xml:space="preserve"> </w:t>
      </w:r>
      <w:r w:rsidRPr="00CC565E">
        <w:rPr>
          <w:rFonts w:eastAsia="Times New Roman" w:cs="Arial"/>
          <w:color w:val="000000"/>
          <w:u w:val="single"/>
          <w:lang w:eastAsia="bg-BG"/>
        </w:rPr>
        <w:t>Педиатрична популация</w:t>
      </w:r>
    </w:p>
    <w:p w14:paraId="7913C321" w14:textId="77777777" w:rsidR="00CC565E" w:rsidRPr="00CC565E" w:rsidRDefault="00CC565E" w:rsidP="00CC565E">
      <w:pPr>
        <w:spacing w:line="240" w:lineRule="auto"/>
        <w:rPr>
          <w:rFonts w:eastAsia="Times New Roman" w:cs="Arial"/>
          <w:color w:val="000000"/>
          <w:lang w:eastAsia="bg-BG"/>
        </w:rPr>
      </w:pPr>
    </w:p>
    <w:p w14:paraId="016ADE0D" w14:textId="1BF3F53C" w:rsidR="00CC565E" w:rsidRPr="00CC565E" w:rsidRDefault="00CC565E" w:rsidP="00CC565E">
      <w:pPr>
        <w:spacing w:line="240" w:lineRule="auto"/>
        <w:rPr>
          <w:rFonts w:eastAsia="Times New Roman" w:cs="Arial"/>
          <w:color w:val="000000"/>
          <w:lang w:eastAsia="bg-BG"/>
        </w:rPr>
      </w:pPr>
      <w:r w:rsidRPr="00CC565E">
        <w:rPr>
          <w:rFonts w:eastAsia="Times New Roman" w:cs="Arial"/>
          <w:color w:val="000000"/>
          <w:lang w:eastAsia="bg-BG"/>
        </w:rPr>
        <w:t xml:space="preserve">При две краткосрочни клинични изпитвания (&lt;12 седмици), включващи 93 (25 и 68) педиатрични пациенти, профилът на безопасност е подобен на този при възрастни и не са идентифицирани нови нежелани събития. Краткосрочните данни за безопасност при различните педиатрични подгрупи също са сходни (вж. точка 5.1). </w:t>
      </w:r>
    </w:p>
    <w:p w14:paraId="23771218" w14:textId="2D67C7DB" w:rsidR="00CC565E" w:rsidRPr="00CC565E" w:rsidRDefault="00CC565E" w:rsidP="00CC565E">
      <w:pPr>
        <w:spacing w:line="240" w:lineRule="auto"/>
        <w:rPr>
          <w:rFonts w:eastAsia="Times New Roman" w:cs="Arial"/>
          <w:lang w:eastAsia="bg-BG"/>
        </w:rPr>
      </w:pPr>
      <w:r w:rsidRPr="00CC565E">
        <w:rPr>
          <w:rFonts w:eastAsia="Times New Roman" w:cs="Arial"/>
          <w:color w:val="000000"/>
          <w:lang w:eastAsia="bg-BG"/>
        </w:rPr>
        <w:t>Нежелани събития, наблюдавани по-често в педиатричната популация, в сравнение с възрастни са: назофарингит и пирексия.</w:t>
      </w:r>
    </w:p>
    <w:p w14:paraId="3F6EE27F" w14:textId="77777777" w:rsidR="00CC565E" w:rsidRPr="00CC565E" w:rsidRDefault="00CC565E" w:rsidP="00CC565E">
      <w:pPr>
        <w:spacing w:line="240" w:lineRule="auto"/>
        <w:rPr>
          <w:rFonts w:eastAsia="Times New Roman" w:cs="Arial"/>
          <w:color w:val="000000"/>
          <w:u w:val="single"/>
          <w:lang w:eastAsia="bg-BG"/>
        </w:rPr>
      </w:pPr>
    </w:p>
    <w:p w14:paraId="29FDEF26" w14:textId="7BD542C1" w:rsidR="00CC565E" w:rsidRPr="00CC565E" w:rsidRDefault="00CC565E" w:rsidP="00CC565E">
      <w:pPr>
        <w:spacing w:line="240" w:lineRule="auto"/>
        <w:rPr>
          <w:rFonts w:eastAsia="Times New Roman" w:cs="Arial"/>
          <w:lang w:eastAsia="bg-BG"/>
        </w:rPr>
      </w:pPr>
      <w:r w:rsidRPr="00CC565E">
        <w:rPr>
          <w:rFonts w:eastAsia="Times New Roman" w:cs="Arial"/>
          <w:color w:val="000000"/>
          <w:u w:val="single"/>
          <w:lang w:eastAsia="bg-BG"/>
        </w:rPr>
        <w:t>Съобщаване на подозирани нежелани реакции</w:t>
      </w:r>
    </w:p>
    <w:p w14:paraId="0DCC42C6" w14:textId="77777777" w:rsidR="00CC565E" w:rsidRPr="00CC565E" w:rsidRDefault="00CC565E" w:rsidP="00CC565E">
      <w:pPr>
        <w:spacing w:line="240" w:lineRule="auto"/>
        <w:rPr>
          <w:rFonts w:eastAsia="Times New Roman" w:cs="Arial"/>
          <w:lang w:eastAsia="bg-BG"/>
        </w:rPr>
      </w:pPr>
      <w:r w:rsidRPr="00CC565E">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+359 2 8903 417, уебсайт: </w:t>
      </w:r>
      <w:r w:rsidRPr="00CC565E">
        <w:rPr>
          <w:rFonts w:eastAsia="Times New Roman" w:cs="Arial"/>
          <w:lang w:eastAsia="bg-BG"/>
        </w:rPr>
        <w:fldChar w:fldCharType="begin"/>
      </w:r>
      <w:r w:rsidRPr="00CC565E">
        <w:rPr>
          <w:rFonts w:eastAsia="Times New Roman" w:cs="Arial"/>
          <w:lang w:eastAsia="bg-BG"/>
        </w:rPr>
        <w:instrText xml:space="preserve"> HYPERLINK "http://www.bda.bg" </w:instrText>
      </w:r>
      <w:r w:rsidRPr="00CC565E">
        <w:rPr>
          <w:rFonts w:eastAsia="Times New Roman" w:cs="Arial"/>
          <w:lang w:eastAsia="bg-BG"/>
        </w:rPr>
      </w:r>
      <w:r w:rsidRPr="00CC565E">
        <w:rPr>
          <w:rFonts w:eastAsia="Times New Roman" w:cs="Arial"/>
          <w:lang w:eastAsia="bg-BG"/>
        </w:rPr>
        <w:fldChar w:fldCharType="separate"/>
      </w:r>
      <w:r w:rsidRPr="00CC565E">
        <w:rPr>
          <w:rFonts w:eastAsia="Times New Roman" w:cs="Arial"/>
          <w:color w:val="000000"/>
          <w:lang w:val="en-US"/>
        </w:rPr>
        <w:t>www.bda.bg</w:t>
      </w:r>
      <w:r w:rsidRPr="00CC565E">
        <w:rPr>
          <w:rFonts w:eastAsia="Times New Roman" w:cs="Arial"/>
          <w:lang w:eastAsia="bg-BG"/>
        </w:rPr>
        <w:fldChar w:fldCharType="end"/>
      </w:r>
      <w:r w:rsidRPr="00CC565E">
        <w:rPr>
          <w:rFonts w:eastAsia="Times New Roman" w:cs="Arial"/>
          <w:color w:val="000000"/>
          <w:lang w:val="en-US"/>
        </w:rPr>
        <w:t>.</w:t>
      </w:r>
    </w:p>
    <w:p w14:paraId="3DB2DBD4" w14:textId="77777777" w:rsidR="00CC565E" w:rsidRPr="00CC565E" w:rsidRDefault="00CC565E" w:rsidP="00CC565E">
      <w:pPr>
        <w:rPr>
          <w:rFonts w:cs="Arial"/>
        </w:rPr>
      </w:pPr>
    </w:p>
    <w:p w14:paraId="378A0F20" w14:textId="65582394" w:rsidR="001D095A" w:rsidRDefault="002C50EE" w:rsidP="00340E8D">
      <w:pPr>
        <w:pStyle w:val="Heading2"/>
      </w:pPr>
      <w:r>
        <w:t>4.9. Предозиране</w:t>
      </w:r>
    </w:p>
    <w:p w14:paraId="16AABC77" w14:textId="77777777" w:rsidR="00CC565E" w:rsidRDefault="00CC565E" w:rsidP="00CC565E"/>
    <w:p w14:paraId="027DC611" w14:textId="77777777"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u w:val="single"/>
          <w:lang w:eastAsia="bg-BG"/>
        </w:rPr>
        <w:t>Симптоми</w:t>
      </w:r>
    </w:p>
    <w:p w14:paraId="2E242D0E" w14:textId="77777777"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Освен очно дразнене и конюнктивна хиперемия не са известни никакви други очни нежелани реакции при предозиране на Ксалатан.</w:t>
      </w:r>
    </w:p>
    <w:p w14:paraId="42B3732F" w14:textId="77777777" w:rsidR="00CC565E" w:rsidRPr="00CC565E" w:rsidRDefault="00CC565E" w:rsidP="00CC565E">
      <w:pPr>
        <w:spacing w:line="240" w:lineRule="auto"/>
        <w:rPr>
          <w:rFonts w:eastAsia="Times New Roman" w:cs="Arial"/>
          <w:color w:val="000000"/>
          <w:u w:val="single"/>
          <w:lang w:eastAsia="bg-BG"/>
        </w:rPr>
      </w:pPr>
    </w:p>
    <w:p w14:paraId="3CE13261" w14:textId="71436CD7"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u w:val="single"/>
          <w:lang w:eastAsia="bg-BG"/>
        </w:rPr>
        <w:t>Лечение</w:t>
      </w:r>
    </w:p>
    <w:p w14:paraId="265677E0" w14:textId="77777777"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lastRenderedPageBreak/>
        <w:t>Следната информация може да е от полза, ако Ксалатан бъде погълнат случайно: Една бутилка съдържа 125 микрограма латанопрост. Повече от 90% се метаболизира при първо преминаване през черния дроб. Интравенозна инфузия на 3 микрограма</w:t>
      </w:r>
      <w:r w:rsidRPr="00CC565E">
        <w:rPr>
          <w:rFonts w:eastAsia="Times New Roman" w:cs="Arial"/>
          <w:color w:val="000000"/>
          <w:lang w:val="en-US"/>
        </w:rPr>
        <w:t xml:space="preserve">/kg </w:t>
      </w:r>
      <w:r w:rsidRPr="00CC565E">
        <w:rPr>
          <w:rFonts w:eastAsia="Times New Roman" w:cs="Arial"/>
          <w:color w:val="000000"/>
          <w:lang w:eastAsia="bg-BG"/>
        </w:rPr>
        <w:t>при здрави доброволци не е предизвикала симптоми, но доза от 5,5-10 микрограма</w:t>
      </w:r>
      <w:r w:rsidRPr="00CC565E">
        <w:rPr>
          <w:rFonts w:eastAsia="Times New Roman" w:cs="Arial"/>
          <w:color w:val="000000"/>
          <w:lang w:val="en-US"/>
        </w:rPr>
        <w:t xml:space="preserve">/kg </w:t>
      </w:r>
      <w:r w:rsidRPr="00CC565E">
        <w:rPr>
          <w:rFonts w:eastAsia="Times New Roman" w:cs="Arial"/>
          <w:color w:val="000000"/>
          <w:lang w:eastAsia="bg-BG"/>
        </w:rPr>
        <w:t>е предизвикала гадене, коремна болка, виене на свят, отпадналост, топли вълни и потене. При маймуни латанопрост е бил прилаган като интравенозна инфузия в дози до 500 микрограма</w:t>
      </w:r>
      <w:r w:rsidRPr="00CC565E">
        <w:rPr>
          <w:rFonts w:eastAsia="Times New Roman" w:cs="Arial"/>
          <w:color w:val="000000"/>
          <w:lang w:val="en-US"/>
        </w:rPr>
        <w:t xml:space="preserve">/kg </w:t>
      </w:r>
      <w:r w:rsidRPr="00CC565E">
        <w:rPr>
          <w:rFonts w:eastAsia="Times New Roman" w:cs="Arial"/>
          <w:color w:val="000000"/>
          <w:lang w:eastAsia="bg-BG"/>
        </w:rPr>
        <w:t>без сериозни ефекти върху сърдечно-съдовата система.</w:t>
      </w:r>
    </w:p>
    <w:p w14:paraId="0D69FD8B" w14:textId="77777777" w:rsidR="00CC565E" w:rsidRPr="00CC565E" w:rsidRDefault="00CC565E" w:rsidP="00CC565E">
      <w:pPr>
        <w:rPr>
          <w:rFonts w:eastAsia="Times New Roman" w:cs="Arial"/>
          <w:color w:val="000000"/>
          <w:lang w:eastAsia="bg-BG"/>
        </w:rPr>
      </w:pPr>
    </w:p>
    <w:p w14:paraId="1B264B78" w14:textId="7956AE4F" w:rsidR="00CC565E" w:rsidRPr="00CC565E" w:rsidRDefault="00CC565E" w:rsidP="00CC565E">
      <w:pPr>
        <w:rPr>
          <w:rFonts w:eastAsia="Times New Roman" w:cs="Arial"/>
          <w:color w:val="000000"/>
          <w:lang w:eastAsia="bg-BG"/>
        </w:rPr>
      </w:pPr>
      <w:r w:rsidRPr="00CC565E">
        <w:rPr>
          <w:rFonts w:eastAsia="Times New Roman" w:cs="Arial"/>
          <w:color w:val="000000"/>
          <w:lang w:eastAsia="bg-BG"/>
        </w:rPr>
        <w:t>Интравенозното приложение на латанопрост при маймуни е било свързано с временна бронхоконстрикция. Въпреки това при пациенти с умерено тежка форма на бронхална астма латанопрост не е предизвикал бронхоконстрикция при локално приложение върху очите в доза седем пъти по-голяма от терапевтичната доза Ксалатан.</w:t>
      </w:r>
    </w:p>
    <w:p w14:paraId="7E9B2D66" w14:textId="77777777" w:rsidR="00CC565E" w:rsidRPr="00CC565E" w:rsidRDefault="00CC565E" w:rsidP="00CC565E">
      <w:pPr>
        <w:rPr>
          <w:rFonts w:eastAsia="Times New Roman" w:cs="Arial"/>
          <w:color w:val="000000"/>
          <w:lang w:eastAsia="bg-BG"/>
        </w:rPr>
      </w:pPr>
    </w:p>
    <w:p w14:paraId="2F45F220" w14:textId="3824DBD4" w:rsidR="00CC565E" w:rsidRDefault="00CC565E" w:rsidP="00CC565E">
      <w:pPr>
        <w:spacing w:line="240" w:lineRule="auto"/>
        <w:rPr>
          <w:rFonts w:ascii="Times New Roman" w:eastAsia="Times New Roman" w:hAnsi="Times New Roman" w:cs="Times New Roman"/>
          <w:sz w:val="24"/>
          <w:szCs w:val="24"/>
          <w:lang w:eastAsia="bg-BG"/>
        </w:rPr>
      </w:pPr>
      <w:r w:rsidRPr="00CC565E">
        <w:rPr>
          <w:rFonts w:eastAsia="Times New Roman" w:cs="Arial"/>
          <w:color w:val="000000"/>
          <w:lang w:eastAsia="bg-BG"/>
        </w:rPr>
        <w:t>При предозиране на Ксалатан лечението трябва да бъде симптоматично.</w:t>
      </w:r>
    </w:p>
    <w:p w14:paraId="45F244B6" w14:textId="77777777" w:rsidR="00CC565E" w:rsidRPr="00CC565E" w:rsidRDefault="00CC565E" w:rsidP="00CC565E">
      <w:pPr>
        <w:spacing w:line="240" w:lineRule="auto"/>
        <w:rPr>
          <w:rFonts w:ascii="Times New Roman" w:eastAsia="Times New Roman" w:hAnsi="Times New Roman" w:cs="Times New Roman"/>
          <w:sz w:val="24"/>
          <w:szCs w:val="24"/>
          <w:lang w:eastAsia="bg-BG"/>
        </w:rPr>
      </w:pPr>
    </w:p>
    <w:p w14:paraId="02081B24" w14:textId="36FE76F4" w:rsidR="00395555" w:rsidRPr="00395555" w:rsidRDefault="002C50EE" w:rsidP="008A6AF2">
      <w:pPr>
        <w:pStyle w:val="Heading1"/>
      </w:pPr>
      <w:r>
        <w:t>5. ФАРМАКОЛОГИЧНИ СВОЙСТВА</w:t>
      </w:r>
    </w:p>
    <w:p w14:paraId="7F6CC5E1" w14:textId="38E92AEC" w:rsidR="00F62E44" w:rsidRDefault="002C50EE" w:rsidP="00387A66">
      <w:pPr>
        <w:pStyle w:val="Heading2"/>
      </w:pPr>
      <w:r>
        <w:t>5.1. Фармакодинамични свойства</w:t>
      </w:r>
    </w:p>
    <w:p w14:paraId="19886E13" w14:textId="77777777" w:rsidR="00CC565E" w:rsidRDefault="00CC565E" w:rsidP="00CC565E"/>
    <w:p w14:paraId="7E8947BA" w14:textId="77777777" w:rsidR="00CC565E" w:rsidRPr="00CC565E" w:rsidRDefault="00CC565E" w:rsidP="00CC565E">
      <w:pPr>
        <w:spacing w:line="240" w:lineRule="auto"/>
        <w:rPr>
          <w:rFonts w:eastAsia="Times New Roman" w:cs="Arial"/>
          <w:color w:val="000000"/>
          <w:lang w:eastAsia="bg-BG"/>
        </w:rPr>
      </w:pPr>
      <w:r w:rsidRPr="00CC565E">
        <w:rPr>
          <w:rFonts w:eastAsia="Times New Roman" w:cs="Arial"/>
          <w:color w:val="000000"/>
          <w:lang w:eastAsia="bg-BG"/>
        </w:rPr>
        <w:t xml:space="preserve">Фармакотерапевтична група: Офталмологични средства; антиглаукомни препарати и миотици, </w:t>
      </w:r>
    </w:p>
    <w:p w14:paraId="71A83DB1" w14:textId="67212B5C"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 xml:space="preserve">простаглакдинови аналози, АТС код </w:t>
      </w:r>
      <w:r w:rsidRPr="00CC565E">
        <w:rPr>
          <w:rFonts w:eastAsia="Times New Roman" w:cs="Arial"/>
          <w:color w:val="000000"/>
          <w:lang w:val="en-US"/>
        </w:rPr>
        <w:t>S01EE01</w:t>
      </w:r>
    </w:p>
    <w:p w14:paraId="36963C93" w14:textId="77777777" w:rsidR="00CC565E" w:rsidRPr="00CC565E" w:rsidRDefault="00CC565E" w:rsidP="00CC565E">
      <w:pPr>
        <w:spacing w:line="240" w:lineRule="auto"/>
        <w:rPr>
          <w:rFonts w:eastAsia="Times New Roman" w:cs="Arial"/>
          <w:color w:val="000000"/>
          <w:u w:val="single"/>
          <w:lang w:eastAsia="bg-BG"/>
        </w:rPr>
      </w:pPr>
    </w:p>
    <w:p w14:paraId="5E5394AD" w14:textId="7391AC91"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u w:val="single"/>
          <w:lang w:eastAsia="bg-BG"/>
        </w:rPr>
        <w:t>Механизъм на действие</w:t>
      </w:r>
    </w:p>
    <w:p w14:paraId="477BA7E9" w14:textId="77777777"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 xml:space="preserve">Активното вещество латанопрост, аналог на простагландин </w:t>
      </w:r>
      <w:r w:rsidRPr="00CC565E">
        <w:rPr>
          <w:rFonts w:eastAsia="Times New Roman" w:cs="Arial"/>
          <w:color w:val="000000"/>
          <w:lang w:val="en-US"/>
        </w:rPr>
        <w:t>F</w:t>
      </w:r>
      <w:r w:rsidRPr="00CC565E">
        <w:rPr>
          <w:rFonts w:eastAsia="Times New Roman" w:cs="Arial"/>
          <w:color w:val="000000"/>
          <w:vertAlign w:val="subscript"/>
          <w:lang w:val="en-US"/>
        </w:rPr>
        <w:t>2</w:t>
      </w:r>
      <w:r w:rsidRPr="00CC565E">
        <w:rPr>
          <w:rFonts w:eastAsia="Times New Roman" w:cs="Arial"/>
          <w:color w:val="000000"/>
          <w:vertAlign w:val="subscript"/>
          <w:lang w:eastAsia="bg-BG"/>
        </w:rPr>
        <w:t>α</w:t>
      </w:r>
      <w:r w:rsidRPr="00CC565E">
        <w:rPr>
          <w:rFonts w:eastAsia="Times New Roman" w:cs="Arial"/>
          <w:color w:val="000000"/>
          <w:lang w:eastAsia="bg-BG"/>
        </w:rPr>
        <w:t>, е селективен простаноид</w:t>
      </w:r>
      <w:r w:rsidRPr="00CC565E">
        <w:rPr>
          <w:rFonts w:eastAsia="Times New Roman" w:cs="Arial"/>
          <w:color w:val="000000"/>
          <w:lang w:val="en-US"/>
        </w:rPr>
        <w:t xml:space="preserve">-FP- </w:t>
      </w:r>
      <w:r w:rsidRPr="00CC565E">
        <w:rPr>
          <w:rFonts w:eastAsia="Times New Roman" w:cs="Arial"/>
          <w:color w:val="000000"/>
          <w:lang w:eastAsia="bg-BG"/>
        </w:rPr>
        <w:t>рецепторен агонист, който понижава ВОН чрез засилване оттичането на вътреочна течност.</w:t>
      </w:r>
    </w:p>
    <w:p w14:paraId="2C131019" w14:textId="77777777" w:rsidR="00CC565E" w:rsidRPr="00CC565E" w:rsidRDefault="00CC565E" w:rsidP="00CC565E">
      <w:pPr>
        <w:spacing w:line="240" w:lineRule="auto"/>
        <w:rPr>
          <w:rFonts w:eastAsia="Times New Roman" w:cs="Arial"/>
          <w:color w:val="000000"/>
          <w:u w:val="single"/>
          <w:lang w:eastAsia="bg-BG"/>
        </w:rPr>
      </w:pPr>
    </w:p>
    <w:p w14:paraId="6DE5612B" w14:textId="3C9E9DA8"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u w:val="single"/>
          <w:lang w:eastAsia="bg-BG"/>
        </w:rPr>
        <w:t>Фармакодинамични ефекти</w:t>
      </w:r>
    </w:p>
    <w:p w14:paraId="13CDB26C" w14:textId="77777777"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Понижението на ВОН при хора започва три до четири часа след приложението, а максималният ефект се достига след осем до дванадесет часа. Понижението на налягането се запазва поне 24 часа.</w:t>
      </w:r>
    </w:p>
    <w:p w14:paraId="00B7E3A4" w14:textId="77777777" w:rsidR="00CC565E" w:rsidRPr="00CC565E" w:rsidRDefault="00CC565E" w:rsidP="00CC565E">
      <w:pPr>
        <w:spacing w:line="240" w:lineRule="auto"/>
        <w:rPr>
          <w:rFonts w:eastAsia="Times New Roman" w:cs="Arial"/>
          <w:color w:val="000000"/>
          <w:u w:val="single"/>
          <w:lang w:eastAsia="bg-BG"/>
        </w:rPr>
      </w:pPr>
    </w:p>
    <w:p w14:paraId="5542A031" w14:textId="725D4F4B"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u w:val="single"/>
          <w:lang w:eastAsia="bg-BG"/>
        </w:rPr>
        <w:t>Клинична ефикасност и безопасност</w:t>
      </w:r>
    </w:p>
    <w:p w14:paraId="78085229" w14:textId="77777777"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Проучвания при животни и хора показват, че основният механизъм на действие е повишение на увеосклералния отток, въпреки че при хора се съобщава и за леко нарастване на капацитета на оттока (намалено съпротивление на оттока).</w:t>
      </w:r>
    </w:p>
    <w:p w14:paraId="2E8982DE" w14:textId="77777777" w:rsidR="00CC565E" w:rsidRPr="00CC565E" w:rsidRDefault="00CC565E" w:rsidP="00CC565E">
      <w:pPr>
        <w:spacing w:line="240" w:lineRule="auto"/>
        <w:rPr>
          <w:rFonts w:eastAsia="Times New Roman" w:cs="Arial"/>
          <w:color w:val="000000"/>
          <w:lang w:eastAsia="bg-BG"/>
        </w:rPr>
      </w:pPr>
    </w:p>
    <w:p w14:paraId="5C6741A2" w14:textId="77777777" w:rsidR="00CC565E" w:rsidRPr="00CC565E" w:rsidRDefault="00CC565E" w:rsidP="00CC565E">
      <w:pPr>
        <w:spacing w:line="240" w:lineRule="auto"/>
        <w:rPr>
          <w:rFonts w:eastAsia="Times New Roman" w:cs="Arial"/>
          <w:color w:val="000000"/>
          <w:lang w:eastAsia="bg-BG"/>
        </w:rPr>
      </w:pPr>
      <w:r w:rsidRPr="00CC565E">
        <w:rPr>
          <w:rFonts w:eastAsia="Times New Roman" w:cs="Arial"/>
          <w:color w:val="000000"/>
          <w:lang w:eastAsia="bg-BG"/>
        </w:rPr>
        <w:t xml:space="preserve">Основните проучвания са демонстрирали, че монотерапията с Ксалатан е ефективна. Проведени са допълнителни клинични проучвания за изследване на комбинираното лечение. Те включват проучвания, които показват, че латанопрост е ефективен в комбинация с бета-адренергични антагонисти (тимолол). </w:t>
      </w:r>
    </w:p>
    <w:p w14:paraId="7244F158" w14:textId="004DD0BA"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Краткосрочни проучвания (1 или 2 седмици) показват, че ефектът на латанопрост в комбинация с адренергични агонисти (дипивалил епинефрин), перорални инхибитори на карбоанхидразата (ацетазоламид) е адитивен и поне отчасти адитивен в комбинация с холинергични антагонисти (пилокарпин).</w:t>
      </w:r>
    </w:p>
    <w:p w14:paraId="7E7ED9F1" w14:textId="77777777" w:rsidR="00CC565E" w:rsidRPr="00CC565E" w:rsidRDefault="00CC565E" w:rsidP="00CC565E">
      <w:pPr>
        <w:spacing w:line="240" w:lineRule="auto"/>
        <w:rPr>
          <w:rFonts w:eastAsia="Times New Roman" w:cs="Arial"/>
          <w:color w:val="000000"/>
          <w:lang w:eastAsia="bg-BG"/>
        </w:rPr>
      </w:pPr>
    </w:p>
    <w:p w14:paraId="59EB9FF3" w14:textId="5DD63A13"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lastRenderedPageBreak/>
        <w:t>Клинични проучвания са показали, че латанопрост няма значим ефект върху продукцията на вътреочна течност. Латанопрост изглежда няма ефект върху кръвно-преднокамерната вътреочна бариера.</w:t>
      </w:r>
    </w:p>
    <w:p w14:paraId="26365B30" w14:textId="77777777" w:rsidR="00CC565E" w:rsidRPr="00CC565E" w:rsidRDefault="00CC565E" w:rsidP="00CC565E">
      <w:pPr>
        <w:spacing w:line="240" w:lineRule="auto"/>
        <w:rPr>
          <w:rFonts w:eastAsia="Times New Roman" w:cs="Arial"/>
          <w:color w:val="000000"/>
          <w:lang w:eastAsia="bg-BG"/>
        </w:rPr>
      </w:pPr>
    </w:p>
    <w:p w14:paraId="3F64052B" w14:textId="637BFA18"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Приложен в терапевтични дози и според проучвания при маймуни латанопрост няма или има незначителен ефект върху вътреочното кръвообращение. Въпреки това при локално лечение може да настъпи лека до умерена конюнктивална или еписклерна хиперемия.</w:t>
      </w:r>
    </w:p>
    <w:p w14:paraId="6FCFDF21" w14:textId="77777777" w:rsidR="00CC565E" w:rsidRPr="00CC565E" w:rsidRDefault="00CC565E" w:rsidP="00CC565E">
      <w:pPr>
        <w:spacing w:line="240" w:lineRule="auto"/>
        <w:rPr>
          <w:rFonts w:eastAsia="Times New Roman" w:cs="Arial"/>
          <w:color w:val="000000"/>
          <w:lang w:eastAsia="bg-BG"/>
        </w:rPr>
      </w:pPr>
    </w:p>
    <w:p w14:paraId="7B271EEE" w14:textId="0E550C91"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Хроничното лечение с латанопрост на очите при маймуни след екстракапсуларна екстракция на лещите не засяга кръвоносните съдове на ретината, определено с помощта на флуоресцинова ангиография.</w:t>
      </w:r>
    </w:p>
    <w:p w14:paraId="3B55E208" w14:textId="77777777" w:rsidR="00CC565E" w:rsidRPr="00CC565E" w:rsidRDefault="00CC565E" w:rsidP="00CC565E">
      <w:pPr>
        <w:spacing w:line="240" w:lineRule="auto"/>
        <w:rPr>
          <w:rFonts w:eastAsia="Times New Roman" w:cs="Arial"/>
          <w:color w:val="000000"/>
          <w:lang w:eastAsia="bg-BG"/>
        </w:rPr>
      </w:pPr>
    </w:p>
    <w:p w14:paraId="26DA8846" w14:textId="14AFE7A2"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При краткосрочно лечение латанопрост не е причинил излив на флуоресцин в задния очен сегмент при хора с псевдофакия.</w:t>
      </w:r>
    </w:p>
    <w:p w14:paraId="20266CA4" w14:textId="77777777" w:rsidR="00CC565E" w:rsidRPr="00CC565E" w:rsidRDefault="00CC565E" w:rsidP="00CC565E">
      <w:pPr>
        <w:spacing w:line="240" w:lineRule="auto"/>
        <w:rPr>
          <w:rFonts w:eastAsia="Times New Roman" w:cs="Arial"/>
          <w:color w:val="000000"/>
          <w:lang w:eastAsia="bg-BG"/>
        </w:rPr>
      </w:pPr>
    </w:p>
    <w:p w14:paraId="28AAA9FE" w14:textId="68CD1EE0"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Установено е, че в терапевтични дози латанопрост няма сигнификантни фармакологични ефекти върху сърдечно-съдовата или дихателна система.</w:t>
      </w:r>
    </w:p>
    <w:p w14:paraId="3194500B" w14:textId="77777777" w:rsidR="00CC565E" w:rsidRPr="00CC565E" w:rsidRDefault="00CC565E" w:rsidP="00CC565E">
      <w:pPr>
        <w:spacing w:line="240" w:lineRule="auto"/>
        <w:rPr>
          <w:rFonts w:eastAsia="Times New Roman" w:cs="Arial"/>
          <w:color w:val="000000"/>
          <w:u w:val="single"/>
          <w:lang w:eastAsia="bg-BG"/>
        </w:rPr>
      </w:pPr>
    </w:p>
    <w:p w14:paraId="36483078" w14:textId="7D228D51"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u w:val="single"/>
          <w:lang w:eastAsia="bg-BG"/>
        </w:rPr>
        <w:t>Педиатрична популация</w:t>
      </w:r>
    </w:p>
    <w:p w14:paraId="0C8DAA99" w14:textId="77777777" w:rsidR="00CC565E" w:rsidRPr="00CC565E" w:rsidRDefault="00CC565E" w:rsidP="00CC565E">
      <w:pPr>
        <w:rPr>
          <w:rFonts w:eastAsia="Times New Roman" w:cs="Arial"/>
          <w:sz w:val="28"/>
          <w:szCs w:val="28"/>
          <w:lang w:eastAsia="bg-BG"/>
        </w:rPr>
      </w:pPr>
      <w:r w:rsidRPr="00CC565E">
        <w:rPr>
          <w:rFonts w:eastAsia="Times New Roman" w:cs="Arial"/>
          <w:color w:val="000000"/>
          <w:lang w:eastAsia="bg-BG"/>
        </w:rPr>
        <w:t>Ефикасността на латанопрост при педиатрични пациенти ≤ 18 години е</w:t>
      </w:r>
      <w:r w:rsidRPr="00CC565E">
        <w:rPr>
          <w:rFonts w:eastAsia="Times New Roman" w:cs="Arial"/>
          <w:color w:val="000000"/>
          <w:lang w:val="en-US"/>
        </w:rPr>
        <w:t xml:space="preserve"> </w:t>
      </w:r>
      <w:r w:rsidRPr="00CC565E">
        <w:rPr>
          <w:rFonts w:eastAsia="Times New Roman" w:cs="Arial"/>
          <w:color w:val="000000"/>
          <w:lang w:eastAsia="bg-BG"/>
        </w:rPr>
        <w:t>установена по време на 12-седмично двойно-сляпо клинично проучване на латанопрост, сравнен с тимолол при 107 пациенти, диагностицирани с повишено вътреочно налягане и глаукома при деца. Изискването за новородени е било да са родени поне след 36 гестационна седмица. На</w:t>
      </w:r>
      <w:r w:rsidRPr="00CC565E">
        <w:rPr>
          <w:rFonts w:eastAsia="Times New Roman" w:cs="Arial"/>
          <w:sz w:val="28"/>
          <w:szCs w:val="28"/>
          <w:lang w:eastAsia="bg-BG"/>
        </w:rPr>
        <w:t xml:space="preserve"> </w:t>
      </w:r>
      <w:r w:rsidRPr="00CC565E">
        <w:rPr>
          <w:rFonts w:eastAsia="Times New Roman" w:cs="Arial"/>
          <w:color w:val="000000"/>
          <w:lang w:eastAsia="bg-BG"/>
        </w:rPr>
        <w:t>пациентите е прилаган или латанопрост 50 микрограма</w:t>
      </w:r>
      <w:r w:rsidRPr="00CC565E">
        <w:rPr>
          <w:rFonts w:eastAsia="Times New Roman" w:cs="Arial"/>
          <w:color w:val="000000"/>
          <w:lang w:val="en-US"/>
        </w:rPr>
        <w:t xml:space="preserve">/ml </w:t>
      </w:r>
      <w:r w:rsidRPr="00CC565E">
        <w:rPr>
          <w:rFonts w:eastAsia="Times New Roman" w:cs="Arial"/>
          <w:color w:val="000000"/>
          <w:lang w:eastAsia="bg-BG"/>
        </w:rPr>
        <w:t>веднъж дневно, или тимолол 0.5%</w:t>
      </w:r>
      <w:r w:rsidRPr="00CC565E">
        <w:rPr>
          <w:rFonts w:eastAsia="Times New Roman" w:cs="Arial"/>
          <w:color w:val="000000"/>
          <w:lang w:eastAsia="bg-BG"/>
        </w:rPr>
        <w:t xml:space="preserve"> </w:t>
      </w:r>
      <w:r w:rsidRPr="00CC565E">
        <w:rPr>
          <w:rFonts w:eastAsia="Times New Roman" w:cs="Arial"/>
          <w:color w:val="000000"/>
          <w:lang w:eastAsia="bg-BG"/>
        </w:rPr>
        <w:t>(или по избор 0,25% при пациенти под 3 години) два пъти дневно. Първичната крайна точка за ефикасност е средното понижение на ВОН спрямо началната стойност през Седмица 12 от проучването. Средното понижение на ВОН при групите, получавали латанопрост и тимолол, е сходно. При всички възрастови групи, включени в проучването (0 до &lt;3 години, 3 до</w:t>
      </w:r>
    </w:p>
    <w:p w14:paraId="31D66083" w14:textId="77777777"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&lt;12 години и между 12 и 18 години), средното понижение на ВОН през Седмица 12 на групата, лекувана с латанопрост, е сходна с тази при групата, лекувана с тимолол.</w:t>
      </w:r>
    </w:p>
    <w:p w14:paraId="08414C86" w14:textId="77777777"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Въпреки това, данните за ефикасност при възрастовата група от 0 до &lt;3 години се базират само на 13 пациенти, лекувани с латанопрост, а при 4-мата пациенти, представящи групата от 0 до &lt;1 година, не се наблюдава значима ефикасност по време на клиничното педиатрично проучване. Липсват данни при недоносени деца (родени преди 36 гестационна седмица).</w:t>
      </w:r>
    </w:p>
    <w:p w14:paraId="42930A29" w14:textId="77777777" w:rsidR="00CC565E" w:rsidRPr="00CC565E" w:rsidRDefault="00CC565E" w:rsidP="00CC565E">
      <w:pPr>
        <w:spacing w:line="240" w:lineRule="auto"/>
        <w:rPr>
          <w:rFonts w:eastAsia="Times New Roman" w:cs="Arial"/>
          <w:color w:val="000000"/>
          <w:lang w:eastAsia="bg-BG"/>
        </w:rPr>
      </w:pPr>
    </w:p>
    <w:p w14:paraId="4C21565E" w14:textId="718626FF"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 xml:space="preserve">Понижението в стойностите на ВОН при пациентите в подгрупата с </w:t>
      </w:r>
      <w:r w:rsidRPr="00CC565E">
        <w:rPr>
          <w:rFonts w:eastAsia="Times New Roman" w:cs="Arial"/>
          <w:color w:val="000000"/>
          <w:lang w:val="en-US"/>
        </w:rPr>
        <w:t xml:space="preserve">PCG </w:t>
      </w:r>
      <w:r w:rsidRPr="00CC565E">
        <w:rPr>
          <w:rFonts w:eastAsia="Times New Roman" w:cs="Arial"/>
          <w:color w:val="000000"/>
          <w:lang w:eastAsia="bg-BG"/>
        </w:rPr>
        <w:t>е сходно при подгрупата, лекувана с латанопрост и тази, лекувана с тимолол. Резултатите на подгрупата с не</w:t>
      </w:r>
      <w:r w:rsidRPr="00CC565E">
        <w:rPr>
          <w:rFonts w:eastAsia="Times New Roman" w:cs="Arial"/>
          <w:color w:val="000000"/>
          <w:lang w:val="en-US"/>
        </w:rPr>
        <w:t xml:space="preserve">-PCG </w:t>
      </w:r>
      <w:r w:rsidRPr="00CC565E">
        <w:rPr>
          <w:rFonts w:eastAsia="Times New Roman" w:cs="Arial"/>
          <w:color w:val="000000"/>
          <w:lang w:eastAsia="bg-BG"/>
        </w:rPr>
        <w:t>(напр. ювенилна откритоъгълна глаукома, афакична глаукома) са сходни с тези на подгрупата с първична вродена глаукома.</w:t>
      </w:r>
    </w:p>
    <w:p w14:paraId="0ACC32AA" w14:textId="77777777" w:rsidR="00CC565E" w:rsidRPr="00CC565E" w:rsidRDefault="00CC565E" w:rsidP="00CC565E">
      <w:pPr>
        <w:spacing w:line="240" w:lineRule="auto"/>
        <w:rPr>
          <w:rFonts w:eastAsia="Times New Roman" w:cs="Arial"/>
          <w:color w:val="000000"/>
          <w:lang w:eastAsia="bg-BG"/>
        </w:rPr>
      </w:pPr>
    </w:p>
    <w:p w14:paraId="4026E65D" w14:textId="1DF994BF" w:rsidR="00CC565E" w:rsidRPr="00CC565E" w:rsidRDefault="00CC565E" w:rsidP="00CC565E">
      <w:pPr>
        <w:spacing w:line="240" w:lineRule="auto"/>
        <w:rPr>
          <w:rFonts w:eastAsia="Times New Roman" w:cs="Arial"/>
          <w:sz w:val="28"/>
          <w:szCs w:val="28"/>
          <w:lang w:eastAsia="bg-BG"/>
        </w:rPr>
      </w:pPr>
      <w:r w:rsidRPr="00CC565E">
        <w:rPr>
          <w:rFonts w:eastAsia="Times New Roman" w:cs="Arial"/>
          <w:color w:val="000000"/>
          <w:lang w:eastAsia="bg-BG"/>
        </w:rPr>
        <w:t>Ефектът върху ВОН се наблюдава след първата седмица от лечението (вж. таблицата) и се поддържа през 12-седмичния период на проучването, също както при възрастни.</w:t>
      </w:r>
    </w:p>
    <w:p w14:paraId="1728260A" w14:textId="77777777" w:rsidR="00CC565E" w:rsidRDefault="00CC565E" w:rsidP="00CC565E"/>
    <w:tbl>
      <w:tblPr>
        <w:tblStyle w:val="TableGrid"/>
        <w:tblW w:w="0" w:type="auto"/>
        <w:tblLook w:val="04A0" w:firstRow="1" w:lastRow="0" w:firstColumn="1" w:lastColumn="0" w:noHBand="0" w:noVBand="1"/>
      </w:tblPr>
      <w:tblGrid>
        <w:gridCol w:w="1897"/>
        <w:gridCol w:w="1865"/>
        <w:gridCol w:w="1877"/>
        <w:gridCol w:w="1871"/>
        <w:gridCol w:w="1840"/>
      </w:tblGrid>
      <w:tr w:rsidR="004B4CC2" w14:paraId="39ABAA00" w14:textId="775E7AD9" w:rsidTr="004E63F0">
        <w:tc>
          <w:tcPr>
            <w:tcW w:w="9576" w:type="dxa"/>
            <w:gridSpan w:val="5"/>
          </w:tcPr>
          <w:p w14:paraId="7E9BCECA" w14:textId="4CF7D8C2" w:rsidR="004B4CC2" w:rsidRPr="004B4CC2" w:rsidRDefault="004B4CC2" w:rsidP="00CC565E">
            <w:pPr>
              <w:rPr>
                <w:rFonts w:cs="Arial"/>
                <w:b/>
                <w:bCs/>
              </w:rPr>
            </w:pPr>
            <w:r w:rsidRPr="004B4CC2">
              <w:rPr>
                <w:rFonts w:cs="Arial"/>
                <w:b/>
                <w:bCs/>
              </w:rPr>
              <w:t xml:space="preserve">Таблица: понижение на ВОН </w:t>
            </w:r>
            <w:r w:rsidRPr="004B4CC2">
              <w:rPr>
                <w:rFonts w:cs="Arial"/>
                <w:b/>
                <w:bCs/>
                <w:lang w:val="en-US"/>
              </w:rPr>
              <w:t xml:space="preserve">(mmHg) </w:t>
            </w:r>
            <w:r w:rsidRPr="004B4CC2">
              <w:rPr>
                <w:rFonts w:cs="Arial"/>
                <w:b/>
                <w:bCs/>
              </w:rPr>
              <w:t>на 12-та седмица по група, получаваща активно лечение и първоначална диагноза</w:t>
            </w:r>
          </w:p>
        </w:tc>
      </w:tr>
      <w:tr w:rsidR="004B4CC2" w14:paraId="174719F0" w14:textId="3A59143E" w:rsidTr="008D4235">
        <w:tc>
          <w:tcPr>
            <w:tcW w:w="1939" w:type="dxa"/>
            <w:vMerge w:val="restart"/>
          </w:tcPr>
          <w:p w14:paraId="09A5916D" w14:textId="03A73B4A" w:rsidR="004B4CC2" w:rsidRPr="004B4CC2" w:rsidRDefault="004B4CC2" w:rsidP="004B4CC2">
            <w:pPr>
              <w:spacing w:line="240" w:lineRule="auto"/>
              <w:rPr>
                <w:rFonts w:eastAsia="Times New Roman" w:cs="Arial"/>
                <w:lang w:eastAsia="bg-BG"/>
              </w:rPr>
            </w:pPr>
            <w:r w:rsidRPr="004B4CC2">
              <w:rPr>
                <w:rFonts w:eastAsia="Times New Roman" w:cs="Arial"/>
                <w:color w:val="000000"/>
                <w:lang w:eastAsia="bg-BG"/>
              </w:rPr>
              <w:t xml:space="preserve">Средна изходна стойност (СГ) Промяна през </w:t>
            </w:r>
            <w:r w:rsidRPr="004B4CC2">
              <w:rPr>
                <w:rFonts w:eastAsia="Times New Roman" w:cs="Arial"/>
                <w:color w:val="000000"/>
                <w:lang w:eastAsia="bg-BG"/>
              </w:rPr>
              <w:lastRenderedPageBreak/>
              <w:t>седмица 12 от средната изходна стойност</w:t>
            </w:r>
            <w:r w:rsidRPr="004B4CC2">
              <w:rPr>
                <w:rFonts w:eastAsia="Times New Roman" w:cs="Arial"/>
                <w:color w:val="000000"/>
                <w:vertAlign w:val="superscript"/>
                <w:lang w:eastAsia="bg-BG"/>
              </w:rPr>
              <w:t>1,</w:t>
            </w:r>
            <w:r w:rsidRPr="004B4CC2">
              <w:rPr>
                <w:rFonts w:eastAsia="Times New Roman" w:cs="Arial"/>
                <w:color w:val="000000"/>
                <w:lang w:eastAsia="bg-BG"/>
              </w:rPr>
              <w:t xml:space="preserve"> (СГ) р-стойност спрямо тимолол</w:t>
            </w:r>
          </w:p>
        </w:tc>
        <w:tc>
          <w:tcPr>
            <w:tcW w:w="3846" w:type="dxa"/>
            <w:gridSpan w:val="2"/>
          </w:tcPr>
          <w:p w14:paraId="451724E1" w14:textId="49DAB94E" w:rsidR="004B4CC2" w:rsidRPr="004B4CC2" w:rsidRDefault="004B4CC2" w:rsidP="004B4CC2">
            <w:pPr>
              <w:rPr>
                <w:rFonts w:cs="Arial"/>
              </w:rPr>
            </w:pPr>
            <w:r w:rsidRPr="004B4CC2">
              <w:rPr>
                <w:rFonts w:cs="Arial"/>
                <w:b/>
                <w:bCs/>
              </w:rPr>
              <w:lastRenderedPageBreak/>
              <w:t xml:space="preserve">Латанопрост </w:t>
            </w:r>
            <w:r w:rsidRPr="004B4CC2">
              <w:rPr>
                <w:rFonts w:cs="Arial"/>
                <w:b/>
                <w:bCs/>
                <w:lang w:val="en-US"/>
              </w:rPr>
              <w:t>N-53</w:t>
            </w:r>
          </w:p>
        </w:tc>
        <w:tc>
          <w:tcPr>
            <w:tcW w:w="3791" w:type="dxa"/>
            <w:gridSpan w:val="2"/>
          </w:tcPr>
          <w:p w14:paraId="066A67EB" w14:textId="6703CC23" w:rsidR="004B4CC2" w:rsidRPr="004B4CC2" w:rsidRDefault="004B4CC2" w:rsidP="004B4CC2">
            <w:pPr>
              <w:rPr>
                <w:rFonts w:cs="Arial"/>
              </w:rPr>
            </w:pPr>
            <w:r w:rsidRPr="004B4CC2">
              <w:rPr>
                <w:rFonts w:cs="Arial"/>
                <w:b/>
                <w:bCs/>
              </w:rPr>
              <w:t xml:space="preserve">Тимолол </w:t>
            </w:r>
            <w:r w:rsidRPr="004B4CC2">
              <w:rPr>
                <w:rFonts w:cs="Arial"/>
                <w:b/>
                <w:bCs/>
                <w:lang w:val="en-US"/>
              </w:rPr>
              <w:t>N=54</w:t>
            </w:r>
          </w:p>
        </w:tc>
      </w:tr>
      <w:tr w:rsidR="004B4CC2" w14:paraId="32A80E93" w14:textId="3B214A3C" w:rsidTr="00572F66">
        <w:tc>
          <w:tcPr>
            <w:tcW w:w="1939" w:type="dxa"/>
            <w:vMerge/>
          </w:tcPr>
          <w:p w14:paraId="1DBACB0E" w14:textId="77777777" w:rsidR="004B4CC2" w:rsidRPr="004B4CC2" w:rsidRDefault="004B4CC2" w:rsidP="004B4CC2">
            <w:pPr>
              <w:rPr>
                <w:rFonts w:cs="Arial"/>
              </w:rPr>
            </w:pPr>
          </w:p>
        </w:tc>
        <w:tc>
          <w:tcPr>
            <w:tcW w:w="3846" w:type="dxa"/>
            <w:gridSpan w:val="2"/>
          </w:tcPr>
          <w:p w14:paraId="29A31327" w14:textId="77777777" w:rsidR="004B4CC2" w:rsidRPr="004B4CC2" w:rsidRDefault="004B4CC2" w:rsidP="004B4CC2">
            <w:pPr>
              <w:rPr>
                <w:rFonts w:cs="Arial"/>
              </w:rPr>
            </w:pPr>
            <w:r w:rsidRPr="004B4CC2">
              <w:rPr>
                <w:rFonts w:cs="Arial"/>
              </w:rPr>
              <w:t>27,3 (0,75)</w:t>
            </w:r>
          </w:p>
          <w:p w14:paraId="589A6ABB" w14:textId="70228765" w:rsidR="004B4CC2" w:rsidRPr="004B4CC2" w:rsidRDefault="004B4CC2" w:rsidP="004B4CC2">
            <w:pPr>
              <w:rPr>
                <w:rFonts w:cs="Arial"/>
              </w:rPr>
            </w:pPr>
            <w:r w:rsidRPr="004B4CC2">
              <w:rPr>
                <w:rFonts w:cs="Arial"/>
              </w:rPr>
              <w:t>-7,18(0,81)</w:t>
            </w:r>
          </w:p>
        </w:tc>
        <w:tc>
          <w:tcPr>
            <w:tcW w:w="3791" w:type="dxa"/>
            <w:gridSpan w:val="2"/>
          </w:tcPr>
          <w:p w14:paraId="77B131C9" w14:textId="77777777" w:rsidR="004B4CC2" w:rsidRPr="004B4CC2" w:rsidRDefault="004B4CC2" w:rsidP="004B4CC2">
            <w:pPr>
              <w:rPr>
                <w:rFonts w:cs="Arial"/>
              </w:rPr>
            </w:pPr>
            <w:r w:rsidRPr="004B4CC2">
              <w:rPr>
                <w:rFonts w:cs="Arial"/>
              </w:rPr>
              <w:t>27,8 (0,84)</w:t>
            </w:r>
          </w:p>
          <w:p w14:paraId="0729AB8E" w14:textId="63CFF536" w:rsidR="004B4CC2" w:rsidRPr="004B4CC2" w:rsidRDefault="004B4CC2" w:rsidP="004B4CC2">
            <w:pPr>
              <w:rPr>
                <w:rFonts w:cs="Arial"/>
              </w:rPr>
            </w:pPr>
            <w:r w:rsidRPr="004B4CC2">
              <w:rPr>
                <w:rFonts w:cs="Arial"/>
              </w:rPr>
              <w:t>-5,72 (0,81)</w:t>
            </w:r>
          </w:p>
        </w:tc>
      </w:tr>
      <w:tr w:rsidR="004B4CC2" w14:paraId="22B38CB6" w14:textId="64A70C33" w:rsidTr="004E36DC">
        <w:tc>
          <w:tcPr>
            <w:tcW w:w="1939" w:type="dxa"/>
            <w:vMerge/>
          </w:tcPr>
          <w:p w14:paraId="7443F72A" w14:textId="77777777" w:rsidR="004B4CC2" w:rsidRPr="004B4CC2" w:rsidRDefault="004B4CC2" w:rsidP="00CC565E">
            <w:pPr>
              <w:rPr>
                <w:rFonts w:cs="Arial"/>
              </w:rPr>
            </w:pPr>
          </w:p>
        </w:tc>
        <w:tc>
          <w:tcPr>
            <w:tcW w:w="7637" w:type="dxa"/>
            <w:gridSpan w:val="4"/>
          </w:tcPr>
          <w:p w14:paraId="778BE168" w14:textId="5834DCFE" w:rsidR="004B4CC2" w:rsidRPr="004B4CC2" w:rsidRDefault="004B4CC2" w:rsidP="00CC565E">
            <w:pPr>
              <w:rPr>
                <w:rFonts w:cs="Arial"/>
              </w:rPr>
            </w:pPr>
            <w:r w:rsidRPr="004B4CC2">
              <w:rPr>
                <w:rFonts w:eastAsia="Times New Roman" w:cs="Arial"/>
                <w:color w:val="000000"/>
                <w:lang w:eastAsia="bg-BG"/>
              </w:rPr>
              <w:t>0,2056</w:t>
            </w:r>
          </w:p>
        </w:tc>
      </w:tr>
      <w:tr w:rsidR="004B4CC2" w14:paraId="4C8D7E8D" w14:textId="4C534DAA" w:rsidTr="004B4CC2">
        <w:tc>
          <w:tcPr>
            <w:tcW w:w="1939" w:type="dxa"/>
          </w:tcPr>
          <w:p w14:paraId="5D29D897" w14:textId="77777777" w:rsidR="004B4CC2" w:rsidRPr="004B4CC2" w:rsidRDefault="004B4CC2" w:rsidP="004B4CC2">
            <w:pPr>
              <w:rPr>
                <w:rFonts w:cs="Arial"/>
              </w:rPr>
            </w:pPr>
          </w:p>
        </w:tc>
        <w:tc>
          <w:tcPr>
            <w:tcW w:w="1927" w:type="dxa"/>
          </w:tcPr>
          <w:p w14:paraId="1EA7FF24" w14:textId="77777777" w:rsidR="004B4CC2" w:rsidRPr="004B4CC2" w:rsidRDefault="004B4CC2" w:rsidP="004B4CC2">
            <w:pPr>
              <w:rPr>
                <w:rFonts w:cs="Arial"/>
              </w:rPr>
            </w:pPr>
            <w:r w:rsidRPr="004B4CC2">
              <w:rPr>
                <w:rFonts w:cs="Arial"/>
                <w:b/>
                <w:bCs/>
                <w:lang w:val="en-US"/>
              </w:rPr>
              <w:t>PCG</w:t>
            </w:r>
          </w:p>
          <w:p w14:paraId="2966F4B8" w14:textId="2DF3C5BF" w:rsidR="004B4CC2" w:rsidRPr="004B4CC2" w:rsidRDefault="004B4CC2" w:rsidP="004B4CC2">
            <w:pPr>
              <w:rPr>
                <w:rFonts w:cs="Arial"/>
              </w:rPr>
            </w:pPr>
            <w:r w:rsidRPr="004B4CC2">
              <w:rPr>
                <w:rFonts w:cs="Arial"/>
                <w:b/>
                <w:bCs/>
                <w:lang w:val="en-US"/>
              </w:rPr>
              <w:t>N-28</w:t>
            </w:r>
          </w:p>
        </w:tc>
        <w:tc>
          <w:tcPr>
            <w:tcW w:w="1919" w:type="dxa"/>
          </w:tcPr>
          <w:p w14:paraId="6DC704D7" w14:textId="7BF5F6AB" w:rsidR="004B4CC2" w:rsidRPr="004B4CC2" w:rsidRDefault="004B4CC2" w:rsidP="004B4CC2">
            <w:pPr>
              <w:rPr>
                <w:rFonts w:cs="Arial"/>
              </w:rPr>
            </w:pPr>
            <w:r w:rsidRPr="004B4CC2">
              <w:rPr>
                <w:rFonts w:cs="Arial"/>
                <w:b/>
                <w:bCs/>
                <w:lang w:val="en-US"/>
              </w:rPr>
              <w:t>He-PCG N=25</w:t>
            </w:r>
          </w:p>
        </w:tc>
        <w:tc>
          <w:tcPr>
            <w:tcW w:w="1912" w:type="dxa"/>
          </w:tcPr>
          <w:p w14:paraId="2604E680" w14:textId="77777777" w:rsidR="004B4CC2" w:rsidRPr="004B4CC2" w:rsidRDefault="004B4CC2" w:rsidP="004B4CC2">
            <w:pPr>
              <w:rPr>
                <w:rFonts w:cs="Arial"/>
              </w:rPr>
            </w:pPr>
            <w:r w:rsidRPr="004B4CC2">
              <w:rPr>
                <w:rFonts w:cs="Arial"/>
                <w:b/>
                <w:bCs/>
                <w:lang w:val="en-US"/>
              </w:rPr>
              <w:t>PCG</w:t>
            </w:r>
          </w:p>
          <w:p w14:paraId="0711AFAF" w14:textId="250B7107" w:rsidR="004B4CC2" w:rsidRPr="004B4CC2" w:rsidRDefault="004B4CC2" w:rsidP="004B4CC2">
            <w:pPr>
              <w:rPr>
                <w:rFonts w:cs="Arial"/>
              </w:rPr>
            </w:pPr>
            <w:r w:rsidRPr="004B4CC2">
              <w:rPr>
                <w:rFonts w:cs="Arial"/>
                <w:b/>
                <w:bCs/>
                <w:lang w:val="en-US"/>
              </w:rPr>
              <w:t>N=26</w:t>
            </w:r>
          </w:p>
        </w:tc>
        <w:tc>
          <w:tcPr>
            <w:tcW w:w="1879" w:type="dxa"/>
          </w:tcPr>
          <w:p w14:paraId="32D74867" w14:textId="42FBD9AF" w:rsidR="004B4CC2" w:rsidRPr="004B4CC2" w:rsidRDefault="004B4CC2" w:rsidP="004B4CC2">
            <w:pPr>
              <w:rPr>
                <w:rFonts w:cs="Arial"/>
              </w:rPr>
            </w:pPr>
            <w:r w:rsidRPr="004B4CC2">
              <w:rPr>
                <w:rFonts w:cs="Arial"/>
                <w:b/>
                <w:bCs/>
                <w:lang w:val="en-US"/>
              </w:rPr>
              <w:t>He-PCG N=28</w:t>
            </w:r>
          </w:p>
        </w:tc>
      </w:tr>
      <w:tr w:rsidR="004B4CC2" w14:paraId="42843CCD" w14:textId="08016280" w:rsidTr="004B4CC2">
        <w:tc>
          <w:tcPr>
            <w:tcW w:w="1939" w:type="dxa"/>
          </w:tcPr>
          <w:p w14:paraId="6B3CC6FB" w14:textId="52DAD4A2" w:rsidR="004B4CC2" w:rsidRPr="004B4CC2" w:rsidRDefault="004B4CC2" w:rsidP="004B4CC2">
            <w:pPr>
              <w:rPr>
                <w:rFonts w:cs="Arial"/>
              </w:rPr>
            </w:pPr>
            <w:r w:rsidRPr="004B4CC2">
              <w:rPr>
                <w:rFonts w:cs="Arial"/>
              </w:rPr>
              <w:t>Средна изходна стойност (СГ) Промяна през седмица 12 от средната изходна стойност* (СГ) р-стойност спрямо тимолол</w:t>
            </w:r>
          </w:p>
        </w:tc>
        <w:tc>
          <w:tcPr>
            <w:tcW w:w="1927" w:type="dxa"/>
          </w:tcPr>
          <w:p w14:paraId="301C1E53" w14:textId="77777777" w:rsidR="004B4CC2" w:rsidRPr="004B4CC2" w:rsidRDefault="004B4CC2" w:rsidP="004B4CC2">
            <w:pPr>
              <w:rPr>
                <w:rFonts w:cs="Arial"/>
              </w:rPr>
            </w:pPr>
            <w:r w:rsidRPr="004B4CC2">
              <w:rPr>
                <w:rFonts w:cs="Arial"/>
              </w:rPr>
              <w:t>26,5 (0,72)</w:t>
            </w:r>
          </w:p>
          <w:p w14:paraId="41C416F7" w14:textId="77777777" w:rsidR="004B4CC2" w:rsidRPr="004B4CC2" w:rsidRDefault="004B4CC2" w:rsidP="004B4CC2">
            <w:pPr>
              <w:rPr>
                <w:rFonts w:cs="Arial"/>
              </w:rPr>
            </w:pPr>
            <w:r w:rsidRPr="004B4CC2">
              <w:rPr>
                <w:rFonts w:cs="Arial"/>
              </w:rPr>
              <w:t>-5,90 (0.98)</w:t>
            </w:r>
          </w:p>
          <w:p w14:paraId="1FBE929B" w14:textId="77777777" w:rsidR="004B4CC2" w:rsidRPr="004B4CC2" w:rsidRDefault="004B4CC2" w:rsidP="004B4CC2">
            <w:pPr>
              <w:rPr>
                <w:rFonts w:cs="Arial"/>
              </w:rPr>
            </w:pPr>
          </w:p>
          <w:p w14:paraId="15AA6A45" w14:textId="3D91DC56" w:rsidR="004B4CC2" w:rsidRPr="004B4CC2" w:rsidRDefault="004B4CC2" w:rsidP="004B4CC2">
            <w:pPr>
              <w:rPr>
                <w:rFonts w:cs="Arial"/>
              </w:rPr>
            </w:pPr>
            <w:r w:rsidRPr="004B4CC2">
              <w:rPr>
                <w:rFonts w:cs="Arial"/>
              </w:rPr>
              <w:t>0,6957</w:t>
            </w:r>
          </w:p>
        </w:tc>
        <w:tc>
          <w:tcPr>
            <w:tcW w:w="1919" w:type="dxa"/>
          </w:tcPr>
          <w:p w14:paraId="34F099D3" w14:textId="77777777" w:rsidR="004B4CC2" w:rsidRPr="004B4CC2" w:rsidRDefault="004B4CC2" w:rsidP="004B4CC2">
            <w:pPr>
              <w:rPr>
                <w:rFonts w:cs="Arial"/>
              </w:rPr>
            </w:pPr>
            <w:r w:rsidRPr="004B4CC2">
              <w:rPr>
                <w:rFonts w:cs="Arial"/>
              </w:rPr>
              <w:t>28,2(1,37)</w:t>
            </w:r>
          </w:p>
          <w:p w14:paraId="0D49F7D7" w14:textId="77777777" w:rsidR="004B4CC2" w:rsidRPr="004B4CC2" w:rsidRDefault="004B4CC2" w:rsidP="004B4CC2">
            <w:pPr>
              <w:rPr>
                <w:rFonts w:cs="Arial"/>
              </w:rPr>
            </w:pPr>
            <w:r w:rsidRPr="004B4CC2">
              <w:rPr>
                <w:rFonts w:cs="Arial"/>
              </w:rPr>
              <w:t>-8,66(1,25)</w:t>
            </w:r>
          </w:p>
          <w:p w14:paraId="7EC7443D" w14:textId="77777777" w:rsidR="004B4CC2" w:rsidRPr="004B4CC2" w:rsidRDefault="004B4CC2" w:rsidP="004B4CC2">
            <w:pPr>
              <w:rPr>
                <w:rFonts w:cs="Arial"/>
              </w:rPr>
            </w:pPr>
          </w:p>
          <w:p w14:paraId="45BB9FE0" w14:textId="095436CE" w:rsidR="004B4CC2" w:rsidRPr="004B4CC2" w:rsidRDefault="004B4CC2" w:rsidP="004B4CC2">
            <w:pPr>
              <w:rPr>
                <w:rFonts w:cs="Arial"/>
              </w:rPr>
            </w:pPr>
            <w:r w:rsidRPr="004B4CC2">
              <w:rPr>
                <w:rFonts w:cs="Arial"/>
              </w:rPr>
              <w:t>0,1317</w:t>
            </w:r>
          </w:p>
        </w:tc>
        <w:tc>
          <w:tcPr>
            <w:tcW w:w="1912" w:type="dxa"/>
          </w:tcPr>
          <w:p w14:paraId="7A73A066" w14:textId="77777777" w:rsidR="004B4CC2" w:rsidRPr="004B4CC2" w:rsidRDefault="004B4CC2" w:rsidP="004B4CC2">
            <w:pPr>
              <w:rPr>
                <w:rFonts w:cs="Arial"/>
              </w:rPr>
            </w:pPr>
            <w:r w:rsidRPr="004B4CC2">
              <w:rPr>
                <w:rFonts w:cs="Arial"/>
                <w:lang w:val="en-US"/>
              </w:rPr>
              <w:t>26,3 (0,95)</w:t>
            </w:r>
          </w:p>
          <w:p w14:paraId="49F120CD" w14:textId="40DD6476" w:rsidR="004B4CC2" w:rsidRPr="004B4CC2" w:rsidRDefault="004B4CC2" w:rsidP="004B4CC2">
            <w:pPr>
              <w:rPr>
                <w:rFonts w:cs="Arial"/>
              </w:rPr>
            </w:pPr>
            <w:r w:rsidRPr="004B4CC2">
              <w:rPr>
                <w:rFonts w:cs="Arial"/>
                <w:lang w:val="en-US"/>
              </w:rPr>
              <w:t>-5,34(1,02)</w:t>
            </w:r>
          </w:p>
        </w:tc>
        <w:tc>
          <w:tcPr>
            <w:tcW w:w="1879" w:type="dxa"/>
          </w:tcPr>
          <w:p w14:paraId="0863E301" w14:textId="77777777" w:rsidR="004B4CC2" w:rsidRPr="004B4CC2" w:rsidRDefault="004B4CC2" w:rsidP="004B4CC2">
            <w:pPr>
              <w:rPr>
                <w:rFonts w:cs="Arial"/>
              </w:rPr>
            </w:pPr>
            <w:r w:rsidRPr="004B4CC2">
              <w:rPr>
                <w:rFonts w:cs="Arial"/>
                <w:lang w:val="en-US"/>
              </w:rPr>
              <w:t>29,1(1,33)</w:t>
            </w:r>
          </w:p>
          <w:p w14:paraId="382C7C20" w14:textId="7B08528F" w:rsidR="004B4CC2" w:rsidRPr="004B4CC2" w:rsidRDefault="004B4CC2" w:rsidP="004B4CC2">
            <w:pPr>
              <w:rPr>
                <w:rFonts w:cs="Arial"/>
              </w:rPr>
            </w:pPr>
            <w:r w:rsidRPr="004B4CC2">
              <w:rPr>
                <w:rFonts w:cs="Arial"/>
                <w:lang w:val="en-US"/>
              </w:rPr>
              <w:t>-6,02(1,18)</w:t>
            </w:r>
          </w:p>
        </w:tc>
      </w:tr>
    </w:tbl>
    <w:p w14:paraId="140E510A" w14:textId="77777777" w:rsidR="004B4CC2" w:rsidRPr="004B4CC2" w:rsidRDefault="004B4CC2" w:rsidP="004B4CC2">
      <w:pPr>
        <w:rPr>
          <w:sz w:val="24"/>
          <w:szCs w:val="24"/>
          <w:lang w:eastAsia="bg-BG"/>
        </w:rPr>
      </w:pPr>
      <w:r w:rsidRPr="004B4CC2">
        <w:rPr>
          <w:lang w:eastAsia="bg-BG"/>
        </w:rPr>
        <w:t>СГ: стандартна грешка.</w:t>
      </w:r>
    </w:p>
    <w:p w14:paraId="0447BBB0" w14:textId="77777777" w:rsidR="004B4CC2" w:rsidRPr="004B4CC2" w:rsidRDefault="004B4CC2" w:rsidP="004B4CC2">
      <w:pPr>
        <w:rPr>
          <w:sz w:val="24"/>
          <w:szCs w:val="24"/>
          <w:lang w:eastAsia="bg-BG"/>
        </w:rPr>
      </w:pPr>
      <w:r w:rsidRPr="004B4CC2">
        <w:rPr>
          <w:lang w:eastAsia="bg-BG"/>
        </w:rPr>
        <w:t xml:space="preserve">+Изчисления, коригирани въз основа на ковариационен анализ </w:t>
      </w:r>
      <w:r w:rsidRPr="004B4CC2">
        <w:rPr>
          <w:lang w:val="en-US"/>
        </w:rPr>
        <w:t>(ANCOVA)</w:t>
      </w:r>
    </w:p>
    <w:p w14:paraId="4B6726A9" w14:textId="77777777" w:rsidR="004B4CC2" w:rsidRPr="00CC565E" w:rsidRDefault="004B4CC2" w:rsidP="00CC565E"/>
    <w:p w14:paraId="544FFDAF" w14:textId="64206E42" w:rsidR="00F62E44" w:rsidRDefault="002C50EE" w:rsidP="00387A66">
      <w:pPr>
        <w:pStyle w:val="Heading2"/>
      </w:pPr>
      <w:r>
        <w:t>5.2. Фармакокинетични свойства</w:t>
      </w:r>
    </w:p>
    <w:p w14:paraId="55D593AD" w14:textId="77777777" w:rsidR="004B4CC2" w:rsidRDefault="004B4CC2" w:rsidP="004B4CC2"/>
    <w:p w14:paraId="730B1382" w14:textId="77777777" w:rsidR="004B4CC2" w:rsidRPr="004B4CC2" w:rsidRDefault="004B4CC2" w:rsidP="004B4CC2">
      <w:pPr>
        <w:pStyle w:val="Heading3"/>
        <w:rPr>
          <w:rFonts w:eastAsia="Times New Roman"/>
          <w:sz w:val="28"/>
          <w:szCs w:val="28"/>
          <w:u w:val="single"/>
          <w:lang w:eastAsia="bg-BG"/>
        </w:rPr>
      </w:pPr>
      <w:r w:rsidRPr="004B4CC2">
        <w:rPr>
          <w:rFonts w:eastAsia="Times New Roman"/>
          <w:u w:val="single"/>
          <w:lang w:eastAsia="bg-BG"/>
        </w:rPr>
        <w:t>Абсорбция</w:t>
      </w:r>
    </w:p>
    <w:p w14:paraId="0AF85253" w14:textId="77777777" w:rsidR="004B4CC2" w:rsidRPr="004B4CC2" w:rsidRDefault="004B4CC2" w:rsidP="004B4CC2">
      <w:pPr>
        <w:spacing w:line="240" w:lineRule="auto"/>
        <w:rPr>
          <w:rFonts w:eastAsia="Times New Roman" w:cs="Arial"/>
          <w:sz w:val="28"/>
          <w:szCs w:val="28"/>
          <w:lang w:eastAsia="bg-BG"/>
        </w:rPr>
      </w:pPr>
      <w:r w:rsidRPr="004B4CC2">
        <w:rPr>
          <w:rFonts w:eastAsia="Times New Roman" w:cs="Arial"/>
          <w:color w:val="000000"/>
          <w:lang w:eastAsia="bg-BG"/>
        </w:rPr>
        <w:t>Латанопрост (молекулно тегло 432,58) е изопропилестерен лекарствен прекурсор, който не е активен сам по себе си, но става биологично активен след хидролиза до киселината на латанопрост.</w:t>
      </w:r>
    </w:p>
    <w:p w14:paraId="28675E1E" w14:textId="77777777" w:rsidR="004B4CC2" w:rsidRPr="004B4CC2" w:rsidRDefault="004B4CC2" w:rsidP="004B4CC2">
      <w:pPr>
        <w:spacing w:line="240" w:lineRule="auto"/>
        <w:rPr>
          <w:rFonts w:eastAsia="Times New Roman" w:cs="Arial"/>
          <w:color w:val="000000"/>
          <w:lang w:eastAsia="bg-BG"/>
        </w:rPr>
      </w:pPr>
    </w:p>
    <w:p w14:paraId="737AE36F" w14:textId="23DB2000" w:rsidR="004B4CC2" w:rsidRPr="004B4CC2" w:rsidRDefault="004B4CC2" w:rsidP="004B4CC2">
      <w:pPr>
        <w:spacing w:line="240" w:lineRule="auto"/>
        <w:rPr>
          <w:rFonts w:eastAsia="Times New Roman" w:cs="Arial"/>
          <w:sz w:val="28"/>
          <w:szCs w:val="28"/>
          <w:lang w:eastAsia="bg-BG"/>
        </w:rPr>
      </w:pPr>
      <w:r w:rsidRPr="004B4CC2">
        <w:rPr>
          <w:rFonts w:eastAsia="Times New Roman" w:cs="Arial"/>
          <w:color w:val="000000"/>
          <w:lang w:eastAsia="bg-BG"/>
        </w:rPr>
        <w:t>Лекарственият прекурсор се абсорбира добре през корнеята и цялото количество лекарство, което навлиза във вътреочната течност, се хидролизира при преминаване през корнеята.</w:t>
      </w:r>
    </w:p>
    <w:p w14:paraId="1B40E698" w14:textId="77777777" w:rsidR="004B4CC2" w:rsidRPr="004B4CC2" w:rsidRDefault="004B4CC2" w:rsidP="004B4CC2">
      <w:pPr>
        <w:spacing w:line="240" w:lineRule="auto"/>
        <w:rPr>
          <w:rFonts w:eastAsia="Times New Roman" w:cs="Arial"/>
          <w:color w:val="000000"/>
          <w:u w:val="single"/>
          <w:lang w:eastAsia="bg-BG"/>
        </w:rPr>
      </w:pPr>
    </w:p>
    <w:p w14:paraId="4C741CBF" w14:textId="46613BD3" w:rsidR="004B4CC2" w:rsidRPr="004B4CC2" w:rsidRDefault="004B4CC2" w:rsidP="004B4CC2">
      <w:pPr>
        <w:pStyle w:val="Heading3"/>
        <w:rPr>
          <w:rFonts w:eastAsia="Times New Roman"/>
          <w:sz w:val="28"/>
          <w:szCs w:val="28"/>
          <w:u w:val="single"/>
          <w:lang w:eastAsia="bg-BG"/>
        </w:rPr>
      </w:pPr>
      <w:r w:rsidRPr="004B4CC2">
        <w:rPr>
          <w:rFonts w:eastAsia="Times New Roman"/>
          <w:u w:val="single"/>
          <w:lang w:eastAsia="bg-BG"/>
        </w:rPr>
        <w:t>Разпределение</w:t>
      </w:r>
    </w:p>
    <w:p w14:paraId="1D7FBC4E" w14:textId="77777777" w:rsidR="004B4CC2" w:rsidRPr="004B4CC2" w:rsidRDefault="004B4CC2" w:rsidP="004B4CC2">
      <w:pPr>
        <w:spacing w:line="240" w:lineRule="auto"/>
        <w:rPr>
          <w:rFonts w:eastAsia="Times New Roman" w:cs="Arial"/>
          <w:sz w:val="28"/>
          <w:szCs w:val="28"/>
          <w:lang w:eastAsia="bg-BG"/>
        </w:rPr>
      </w:pPr>
      <w:r w:rsidRPr="004B4CC2">
        <w:rPr>
          <w:rFonts w:eastAsia="Times New Roman" w:cs="Arial"/>
          <w:color w:val="000000"/>
          <w:lang w:eastAsia="bg-BG"/>
        </w:rPr>
        <w:t>Проучвания при хора сочат, че след локално приложение максимални концентрации във вътреочната течност се достигат след приблизително два часа. След локално приложение при маймуни латанопрост се разпределя главно в предната очна камера, конюнктивата и клепачите. Само минимални количества от лекарството достигат до задния очен сегмент.</w:t>
      </w:r>
    </w:p>
    <w:p w14:paraId="2CAAE623" w14:textId="77777777" w:rsidR="004B4CC2" w:rsidRPr="004B4CC2" w:rsidRDefault="004B4CC2" w:rsidP="004B4CC2">
      <w:pPr>
        <w:spacing w:line="240" w:lineRule="auto"/>
        <w:rPr>
          <w:rFonts w:eastAsia="Times New Roman" w:cs="Arial"/>
          <w:color w:val="000000"/>
          <w:u w:val="single"/>
          <w:lang w:eastAsia="bg-BG"/>
        </w:rPr>
      </w:pPr>
    </w:p>
    <w:p w14:paraId="4867CBE9" w14:textId="20926EA1" w:rsidR="004B4CC2" w:rsidRPr="004B4CC2" w:rsidRDefault="004B4CC2" w:rsidP="004B4CC2">
      <w:pPr>
        <w:spacing w:line="240" w:lineRule="auto"/>
        <w:rPr>
          <w:rFonts w:eastAsia="Times New Roman" w:cs="Arial"/>
          <w:sz w:val="28"/>
          <w:szCs w:val="28"/>
          <w:lang w:eastAsia="bg-BG"/>
        </w:rPr>
      </w:pPr>
      <w:r w:rsidRPr="004B4CC2">
        <w:rPr>
          <w:rFonts w:eastAsia="Times New Roman" w:cs="Arial"/>
          <w:color w:val="000000"/>
          <w:u w:val="single"/>
          <w:lang w:eastAsia="bg-BG"/>
        </w:rPr>
        <w:t>Биотрансформация и елиминиране</w:t>
      </w:r>
    </w:p>
    <w:p w14:paraId="7C53A284" w14:textId="51067FBD" w:rsidR="004B4CC2" w:rsidRPr="004B4CC2" w:rsidRDefault="004B4CC2" w:rsidP="004B4CC2">
      <w:pPr>
        <w:rPr>
          <w:rFonts w:eastAsia="Times New Roman" w:cs="Arial"/>
          <w:color w:val="000000"/>
          <w:lang w:eastAsia="bg-BG"/>
        </w:rPr>
      </w:pPr>
      <w:r w:rsidRPr="004B4CC2">
        <w:rPr>
          <w:rFonts w:eastAsia="Times New Roman" w:cs="Arial"/>
          <w:color w:val="000000"/>
          <w:lang w:eastAsia="bg-BG"/>
        </w:rPr>
        <w:t>Киселината на латанопрост на практика не се метаболизира в окото. Основният метаболизъм протича в черния дроб. Плазменото време на полуелиминиране при хора е 17 минути.</w:t>
      </w:r>
    </w:p>
    <w:p w14:paraId="78BD01B2" w14:textId="77777777" w:rsidR="004B4CC2" w:rsidRPr="004B4CC2" w:rsidRDefault="004B4CC2" w:rsidP="004B4CC2">
      <w:pPr>
        <w:rPr>
          <w:rFonts w:eastAsia="Times New Roman" w:cs="Arial"/>
          <w:color w:val="000000"/>
          <w:lang w:eastAsia="bg-BG"/>
        </w:rPr>
      </w:pPr>
    </w:p>
    <w:p w14:paraId="48FA31FD" w14:textId="77777777" w:rsidR="004B4CC2" w:rsidRPr="004B4CC2" w:rsidRDefault="004B4CC2" w:rsidP="004B4CC2">
      <w:pPr>
        <w:spacing w:line="240" w:lineRule="auto"/>
        <w:rPr>
          <w:rFonts w:eastAsia="Times New Roman" w:cs="Arial"/>
          <w:sz w:val="28"/>
          <w:szCs w:val="28"/>
          <w:lang w:eastAsia="bg-BG"/>
        </w:rPr>
      </w:pPr>
      <w:r w:rsidRPr="004B4CC2">
        <w:rPr>
          <w:rFonts w:eastAsia="Times New Roman" w:cs="Arial"/>
          <w:color w:val="000000"/>
          <w:lang w:eastAsia="bg-BG"/>
        </w:rPr>
        <w:t>Основните метаболити, 1,2-динор- и 1,2,3,4-тетранор метаболитите, нямат или имат слаба биологична активност при проучвания с животни и се елиминират главно с урината.</w:t>
      </w:r>
    </w:p>
    <w:p w14:paraId="6E859A0A" w14:textId="77777777" w:rsidR="004B4CC2" w:rsidRPr="004B4CC2" w:rsidRDefault="004B4CC2" w:rsidP="004B4CC2">
      <w:pPr>
        <w:spacing w:line="240" w:lineRule="auto"/>
        <w:rPr>
          <w:rFonts w:eastAsia="Times New Roman" w:cs="Arial"/>
          <w:i/>
          <w:iCs/>
          <w:color w:val="000000"/>
          <w:lang w:eastAsia="bg-BG"/>
        </w:rPr>
      </w:pPr>
    </w:p>
    <w:p w14:paraId="415C84FC" w14:textId="49BCE40D" w:rsidR="004B4CC2" w:rsidRPr="004B4CC2" w:rsidRDefault="004B4CC2" w:rsidP="004B4CC2">
      <w:pPr>
        <w:spacing w:line="240" w:lineRule="auto"/>
        <w:rPr>
          <w:rFonts w:eastAsia="Times New Roman" w:cs="Arial"/>
          <w:sz w:val="28"/>
          <w:szCs w:val="28"/>
          <w:lang w:eastAsia="bg-BG"/>
        </w:rPr>
      </w:pPr>
      <w:r w:rsidRPr="004B4CC2">
        <w:rPr>
          <w:rFonts w:eastAsia="Times New Roman" w:cs="Arial"/>
          <w:i/>
          <w:iCs/>
          <w:color w:val="000000"/>
          <w:lang w:eastAsia="bg-BG"/>
        </w:rPr>
        <w:t>Педиатрична популация</w:t>
      </w:r>
    </w:p>
    <w:p w14:paraId="15669BBB" w14:textId="77777777" w:rsidR="004B4CC2" w:rsidRPr="004B4CC2" w:rsidRDefault="004B4CC2" w:rsidP="004B4CC2">
      <w:pPr>
        <w:spacing w:line="240" w:lineRule="auto"/>
        <w:rPr>
          <w:rFonts w:eastAsia="Times New Roman" w:cs="Arial"/>
          <w:sz w:val="28"/>
          <w:szCs w:val="28"/>
          <w:lang w:eastAsia="bg-BG"/>
        </w:rPr>
      </w:pPr>
      <w:r w:rsidRPr="004B4CC2">
        <w:rPr>
          <w:rFonts w:eastAsia="Times New Roman" w:cs="Arial"/>
          <w:color w:val="000000"/>
          <w:lang w:eastAsia="bg-BG"/>
        </w:rPr>
        <w:lastRenderedPageBreak/>
        <w:t>Открито фармакокинетично проучване на плазмените концентрации на киселината на латанопрост е проведено при 22 възрастни и 25 педиатрични пациенти (от новородени до &lt;18 години) с очна хипертензия и глаукома. При всички възрастови групи е прилаган латанопрост 50 микрограма</w:t>
      </w:r>
      <w:r w:rsidRPr="004B4CC2">
        <w:rPr>
          <w:rFonts w:eastAsia="Times New Roman" w:cs="Arial"/>
          <w:color w:val="000000"/>
          <w:lang w:val="en-US"/>
        </w:rPr>
        <w:t xml:space="preserve">/ml, </w:t>
      </w:r>
      <w:r w:rsidRPr="004B4CC2">
        <w:rPr>
          <w:rFonts w:eastAsia="Times New Roman" w:cs="Arial"/>
          <w:color w:val="000000"/>
          <w:lang w:eastAsia="bg-BG"/>
        </w:rPr>
        <w:t xml:space="preserve">по една капка дневно във всяко око, в продължение на минимум 2 седмици. Системната експозиция на киселината на латанопрост е приблизително 2 пъти по-висока при възрастовата група между 3 и &lt;12 години и 6 пъти по-висока при деца &lt;3 години в сравнение с възрастни, но се поддържат широки граници на безопасност по отношение на системни нежелани реакции (вж. точка 4.9). Медианата на времето за достигане на ликова плазмена концентрация е 5 минути след приложение при всички възрастови групи. Медианата на плазмения елиминационен полуживот е кратка (&lt;20 минути) и е сходна при педиатрични пациенти и възрастни, и не се наблюдава кумулиране на киселината на латанопрост </w:t>
      </w:r>
      <w:r w:rsidRPr="004B4CC2">
        <w:rPr>
          <w:rFonts w:eastAsia="Times New Roman" w:cs="Arial"/>
          <w:i/>
          <w:iCs/>
          <w:color w:val="000000"/>
          <w:lang w:eastAsia="bg-BG"/>
        </w:rPr>
        <w:t>в</w:t>
      </w:r>
      <w:r w:rsidRPr="004B4CC2">
        <w:rPr>
          <w:rFonts w:eastAsia="Times New Roman" w:cs="Arial"/>
          <w:color w:val="000000"/>
          <w:lang w:eastAsia="bg-BG"/>
        </w:rPr>
        <w:t xml:space="preserve"> системното кръвообращение при стационарно състояние.</w:t>
      </w:r>
    </w:p>
    <w:p w14:paraId="6DA1E517" w14:textId="77777777" w:rsidR="004B4CC2" w:rsidRPr="004B4CC2" w:rsidRDefault="004B4CC2" w:rsidP="004B4CC2"/>
    <w:p w14:paraId="6925FEB0" w14:textId="4B32C19A" w:rsidR="00F62E44" w:rsidRDefault="002C50EE" w:rsidP="00387A66">
      <w:pPr>
        <w:pStyle w:val="Heading2"/>
      </w:pPr>
      <w:r>
        <w:t>5.3. Предклинични данни за безопасност</w:t>
      </w:r>
    </w:p>
    <w:p w14:paraId="3FA5873D" w14:textId="77777777" w:rsidR="004B4CC2" w:rsidRDefault="004B4CC2" w:rsidP="004B4CC2"/>
    <w:p w14:paraId="435EB943" w14:textId="77777777" w:rsidR="004B4CC2" w:rsidRPr="004B4CC2" w:rsidRDefault="004B4CC2" w:rsidP="004B4CC2">
      <w:pPr>
        <w:spacing w:line="240" w:lineRule="auto"/>
        <w:rPr>
          <w:rFonts w:eastAsia="Times New Roman" w:cs="Arial"/>
          <w:sz w:val="28"/>
          <w:szCs w:val="28"/>
          <w:lang w:eastAsia="bg-BG"/>
        </w:rPr>
      </w:pPr>
      <w:r w:rsidRPr="004B4CC2">
        <w:rPr>
          <w:rFonts w:eastAsia="Times New Roman" w:cs="Arial"/>
          <w:color w:val="000000"/>
          <w:lang w:eastAsia="bg-BG"/>
        </w:rPr>
        <w:t>Както очната, така и системната токсичност на латанопрост са проучени при различни животински видове. Като цяло, латанопрост се понася добре и има граница на безопасност с фактор минимум I 000 между терапевтичната локална доза и системната токсичност. Интравенозното приложение на големи дози латанопрост, около 100 пъти терапевтичната доза</w:t>
      </w:r>
      <w:r w:rsidRPr="004B4CC2">
        <w:rPr>
          <w:rFonts w:eastAsia="Times New Roman" w:cs="Arial"/>
          <w:color w:val="000000"/>
          <w:lang w:val="en-US"/>
        </w:rPr>
        <w:t xml:space="preserve">/kg </w:t>
      </w:r>
      <w:r w:rsidRPr="004B4CC2">
        <w:rPr>
          <w:rFonts w:eastAsia="Times New Roman" w:cs="Arial"/>
          <w:color w:val="000000"/>
          <w:lang w:eastAsia="bg-BG"/>
        </w:rPr>
        <w:t>телесно тегло, при неанестезирани маймуни е довело до ускоряване на дихателната честота, вероятно дължащо се на краткотрайната бронхоконстрикция. При проучвания с животни латанопрост не е показал наличие на сенсибилизнращи свойства.</w:t>
      </w:r>
    </w:p>
    <w:p w14:paraId="1763994B" w14:textId="77777777" w:rsidR="004B4CC2" w:rsidRPr="004B4CC2" w:rsidRDefault="004B4CC2" w:rsidP="004B4CC2">
      <w:pPr>
        <w:spacing w:line="240" w:lineRule="auto"/>
        <w:rPr>
          <w:rFonts w:eastAsia="Times New Roman" w:cs="Arial"/>
          <w:color w:val="000000"/>
          <w:lang w:eastAsia="bg-BG"/>
        </w:rPr>
      </w:pPr>
    </w:p>
    <w:p w14:paraId="0E074BD9" w14:textId="77777777" w:rsidR="004B4CC2" w:rsidRPr="004B4CC2" w:rsidRDefault="004B4CC2" w:rsidP="004B4CC2">
      <w:pPr>
        <w:spacing w:line="240" w:lineRule="auto"/>
        <w:rPr>
          <w:rFonts w:eastAsia="Times New Roman" w:cs="Arial"/>
          <w:color w:val="000000"/>
          <w:lang w:eastAsia="bg-BG"/>
        </w:rPr>
      </w:pPr>
      <w:r w:rsidRPr="004B4CC2">
        <w:rPr>
          <w:rFonts w:eastAsia="Times New Roman" w:cs="Arial"/>
          <w:color w:val="000000"/>
          <w:lang w:eastAsia="bg-BG"/>
        </w:rPr>
        <w:t xml:space="preserve">Не са били наблюдавани токсични ефекти с дневни дози до 100 микрограма/око при зайци или маймуни (терапевтичната доза е около 1,5 микрограма/око дневно). При маймуни, обаче, латанопрост е предизвикал </w:t>
      </w:r>
    </w:p>
    <w:p w14:paraId="23F620F9" w14:textId="62FC8F03" w:rsidR="004B4CC2" w:rsidRPr="004B4CC2" w:rsidRDefault="004B4CC2" w:rsidP="004B4CC2">
      <w:pPr>
        <w:spacing w:line="240" w:lineRule="auto"/>
        <w:rPr>
          <w:rFonts w:eastAsia="Times New Roman" w:cs="Arial"/>
          <w:sz w:val="28"/>
          <w:szCs w:val="28"/>
          <w:lang w:eastAsia="bg-BG"/>
        </w:rPr>
      </w:pPr>
      <w:r w:rsidRPr="004B4CC2">
        <w:rPr>
          <w:rFonts w:eastAsia="Times New Roman" w:cs="Arial"/>
          <w:color w:val="000000"/>
          <w:lang w:eastAsia="bg-BG"/>
        </w:rPr>
        <w:t>увеличена пигментация на ириса.</w:t>
      </w:r>
    </w:p>
    <w:p w14:paraId="0A06395C" w14:textId="77777777" w:rsidR="004B4CC2" w:rsidRPr="004B4CC2" w:rsidRDefault="004B4CC2" w:rsidP="004B4CC2">
      <w:pPr>
        <w:spacing w:line="240" w:lineRule="auto"/>
        <w:rPr>
          <w:rFonts w:eastAsia="Times New Roman" w:cs="Arial"/>
          <w:color w:val="000000"/>
          <w:lang w:eastAsia="bg-BG"/>
        </w:rPr>
      </w:pPr>
    </w:p>
    <w:p w14:paraId="345BBDEF" w14:textId="48F56A92" w:rsidR="004B4CC2" w:rsidRPr="004B4CC2" w:rsidRDefault="004B4CC2" w:rsidP="004B4CC2">
      <w:pPr>
        <w:spacing w:line="240" w:lineRule="auto"/>
        <w:rPr>
          <w:rFonts w:eastAsia="Times New Roman" w:cs="Arial"/>
          <w:sz w:val="28"/>
          <w:szCs w:val="28"/>
          <w:lang w:eastAsia="bg-BG"/>
        </w:rPr>
      </w:pPr>
      <w:r w:rsidRPr="004B4CC2">
        <w:rPr>
          <w:rFonts w:eastAsia="Times New Roman" w:cs="Arial"/>
          <w:color w:val="000000"/>
          <w:lang w:eastAsia="bg-BG"/>
        </w:rPr>
        <w:t xml:space="preserve">Механизмът на увеличаване на пигментацията изглежда е стимулиране на производството </w:t>
      </w:r>
      <w:r w:rsidRPr="004B4CC2">
        <w:rPr>
          <w:rFonts w:eastAsia="Times New Roman" w:cs="Arial"/>
          <w:i/>
          <w:iCs/>
          <w:color w:val="000000"/>
          <w:lang w:eastAsia="bg-BG"/>
        </w:rPr>
        <w:t xml:space="preserve">на </w:t>
      </w:r>
      <w:r w:rsidRPr="004B4CC2">
        <w:rPr>
          <w:rFonts w:eastAsia="Times New Roman" w:cs="Arial"/>
          <w:color w:val="000000"/>
          <w:lang w:eastAsia="bg-BG"/>
        </w:rPr>
        <w:t>меланин в меланоцитите на ириса без да са наблюдавани пролиферативни промени. Промяната в цвета на ириса може да бъде трайна.</w:t>
      </w:r>
    </w:p>
    <w:p w14:paraId="619E05AC" w14:textId="77777777" w:rsidR="004B4CC2" w:rsidRPr="004B4CC2" w:rsidRDefault="004B4CC2" w:rsidP="004B4CC2">
      <w:pPr>
        <w:spacing w:line="240" w:lineRule="auto"/>
        <w:rPr>
          <w:rFonts w:eastAsia="Times New Roman" w:cs="Arial"/>
          <w:color w:val="000000"/>
          <w:lang w:eastAsia="bg-BG"/>
        </w:rPr>
      </w:pPr>
    </w:p>
    <w:p w14:paraId="3E924C9F" w14:textId="2BD33B7D" w:rsidR="004B4CC2" w:rsidRPr="004B4CC2" w:rsidRDefault="004B4CC2" w:rsidP="004B4CC2">
      <w:pPr>
        <w:spacing w:line="240" w:lineRule="auto"/>
        <w:rPr>
          <w:rFonts w:eastAsia="Times New Roman" w:cs="Arial"/>
          <w:sz w:val="28"/>
          <w:szCs w:val="28"/>
          <w:lang w:eastAsia="bg-BG"/>
        </w:rPr>
      </w:pPr>
      <w:r w:rsidRPr="004B4CC2">
        <w:rPr>
          <w:rFonts w:eastAsia="Times New Roman" w:cs="Arial"/>
          <w:color w:val="000000"/>
          <w:lang w:eastAsia="bg-BG"/>
        </w:rPr>
        <w:t>Проучвания за хронична очна токсичност установяват, че приложението на латанопрост в дневна доза от 6 микрограма/око е предизвикало увеличаване на очния отвор. Този ефект е обратим и настъпва при дози, надвишаващи клиничното ниво на дозиране. Този ефект не е бил наблюдаван при хора.</w:t>
      </w:r>
    </w:p>
    <w:p w14:paraId="3F02FF0C" w14:textId="77777777" w:rsidR="004B4CC2" w:rsidRPr="004B4CC2" w:rsidRDefault="004B4CC2" w:rsidP="004B4CC2">
      <w:pPr>
        <w:spacing w:line="240" w:lineRule="auto"/>
        <w:rPr>
          <w:rFonts w:eastAsia="Times New Roman" w:cs="Arial"/>
          <w:color w:val="000000"/>
          <w:lang w:eastAsia="bg-BG"/>
        </w:rPr>
      </w:pPr>
    </w:p>
    <w:p w14:paraId="0D923E97" w14:textId="064C7A78" w:rsidR="004B4CC2" w:rsidRPr="004B4CC2" w:rsidRDefault="004B4CC2" w:rsidP="004B4CC2">
      <w:pPr>
        <w:spacing w:line="240" w:lineRule="auto"/>
        <w:rPr>
          <w:rFonts w:eastAsia="Times New Roman" w:cs="Arial"/>
          <w:sz w:val="28"/>
          <w:szCs w:val="28"/>
          <w:lang w:eastAsia="bg-BG"/>
        </w:rPr>
      </w:pPr>
      <w:r w:rsidRPr="004B4CC2">
        <w:rPr>
          <w:rFonts w:eastAsia="Times New Roman" w:cs="Arial"/>
          <w:color w:val="000000"/>
          <w:lang w:eastAsia="bg-BG"/>
        </w:rPr>
        <w:t xml:space="preserve">Латанопрост е показал отрицателни резултати при тестовете за обратна мутация при бактерии, теста за генна мутация при миши лимфом и мишия микронуклеарен тест. </w:t>
      </w:r>
      <w:r w:rsidRPr="004B4CC2">
        <w:rPr>
          <w:rFonts w:eastAsia="Times New Roman" w:cs="Arial"/>
          <w:i/>
          <w:iCs/>
          <w:color w:val="000000"/>
          <w:lang w:val="en-US"/>
        </w:rPr>
        <w:t>In vitro</w:t>
      </w:r>
      <w:r w:rsidRPr="004B4CC2">
        <w:rPr>
          <w:rFonts w:eastAsia="Times New Roman" w:cs="Arial"/>
          <w:color w:val="000000"/>
          <w:lang w:val="en-US"/>
        </w:rPr>
        <w:t xml:space="preserve"> </w:t>
      </w:r>
      <w:r w:rsidRPr="004B4CC2">
        <w:rPr>
          <w:rFonts w:eastAsia="Times New Roman" w:cs="Arial"/>
          <w:color w:val="000000"/>
          <w:lang w:eastAsia="bg-BG"/>
        </w:rPr>
        <w:t xml:space="preserve">са наблюдавани хромозомни аберации при човешки лимфоцити. Подобни ефекти се отбелязват при простагландин </w:t>
      </w:r>
      <w:r w:rsidRPr="004B4CC2">
        <w:rPr>
          <w:rFonts w:eastAsia="Times New Roman" w:cs="Arial"/>
          <w:color w:val="000000"/>
          <w:lang w:val="en-US"/>
        </w:rPr>
        <w:t>F2</w:t>
      </w:r>
      <w:r w:rsidRPr="004B4CC2">
        <w:rPr>
          <w:rFonts w:eastAsia="Times New Roman" w:cs="Arial"/>
          <w:color w:val="000000"/>
          <w:lang w:eastAsia="bg-BG"/>
        </w:rPr>
        <w:t>α</w:t>
      </w:r>
      <w:r w:rsidRPr="004B4CC2">
        <w:rPr>
          <w:rFonts w:eastAsia="Times New Roman" w:cs="Arial"/>
          <w:color w:val="000000"/>
          <w:lang w:val="en-US"/>
        </w:rPr>
        <w:t xml:space="preserve">, </w:t>
      </w:r>
      <w:r w:rsidRPr="004B4CC2">
        <w:rPr>
          <w:rFonts w:eastAsia="Times New Roman" w:cs="Arial"/>
          <w:color w:val="000000"/>
          <w:lang w:eastAsia="bg-BG"/>
        </w:rPr>
        <w:t>естествено съществуващ простагландин, което сочи, че този ефект е присъщ на класа.</w:t>
      </w:r>
    </w:p>
    <w:p w14:paraId="0BFB82F6" w14:textId="77777777" w:rsidR="004B4CC2" w:rsidRPr="004B4CC2" w:rsidRDefault="004B4CC2" w:rsidP="004B4CC2">
      <w:pPr>
        <w:spacing w:line="240" w:lineRule="auto"/>
        <w:rPr>
          <w:rFonts w:eastAsia="Times New Roman" w:cs="Arial"/>
          <w:color w:val="000000"/>
          <w:lang w:eastAsia="bg-BG"/>
        </w:rPr>
      </w:pPr>
    </w:p>
    <w:p w14:paraId="3E77DDA1" w14:textId="70FF44B3" w:rsidR="004B4CC2" w:rsidRPr="004B4CC2" w:rsidRDefault="004B4CC2" w:rsidP="004B4CC2">
      <w:pPr>
        <w:spacing w:line="240" w:lineRule="auto"/>
        <w:rPr>
          <w:rFonts w:eastAsia="Times New Roman" w:cs="Arial"/>
          <w:sz w:val="28"/>
          <w:szCs w:val="28"/>
          <w:lang w:eastAsia="bg-BG"/>
        </w:rPr>
      </w:pPr>
      <w:r w:rsidRPr="004B4CC2">
        <w:rPr>
          <w:rFonts w:eastAsia="Times New Roman" w:cs="Arial"/>
          <w:color w:val="000000"/>
          <w:lang w:eastAsia="bg-BG"/>
        </w:rPr>
        <w:t xml:space="preserve">Допълнителните проучвания за мутагенност с непланирана синтеза на ДНК </w:t>
      </w:r>
      <w:r w:rsidRPr="004B4CC2">
        <w:rPr>
          <w:rFonts w:eastAsia="Times New Roman" w:cs="Arial"/>
          <w:i/>
          <w:iCs/>
          <w:color w:val="000000"/>
          <w:lang w:val="en-US"/>
        </w:rPr>
        <w:t>in vitro/in vivo</w:t>
      </w:r>
      <w:r w:rsidRPr="004B4CC2">
        <w:rPr>
          <w:rFonts w:eastAsia="Times New Roman" w:cs="Arial"/>
          <w:color w:val="000000"/>
          <w:lang w:val="en-US"/>
        </w:rPr>
        <w:t xml:space="preserve"> </w:t>
      </w:r>
      <w:r w:rsidRPr="004B4CC2">
        <w:rPr>
          <w:rFonts w:eastAsia="Times New Roman" w:cs="Arial"/>
          <w:color w:val="000000"/>
          <w:lang w:eastAsia="bg-BG"/>
        </w:rPr>
        <w:t>при плъхове са били отрицателни и сочат, че латанопрост няма мутагенна токсичност.</w:t>
      </w:r>
    </w:p>
    <w:p w14:paraId="177E3ADD" w14:textId="4ADBDBA0" w:rsidR="004B4CC2" w:rsidRPr="004B4CC2" w:rsidRDefault="004B4CC2" w:rsidP="004B4CC2">
      <w:pPr>
        <w:spacing w:line="240" w:lineRule="auto"/>
        <w:rPr>
          <w:rFonts w:eastAsia="Times New Roman" w:cs="Arial"/>
          <w:sz w:val="28"/>
          <w:szCs w:val="28"/>
          <w:lang w:eastAsia="bg-BG"/>
        </w:rPr>
      </w:pPr>
      <w:r w:rsidRPr="004B4CC2">
        <w:rPr>
          <w:rFonts w:eastAsia="Times New Roman" w:cs="Arial"/>
          <w:color w:val="000000"/>
          <w:lang w:eastAsia="bg-BG"/>
        </w:rPr>
        <w:t>Проучванията за карциногенност при мишки и плъхове са били негативни.</w:t>
      </w:r>
    </w:p>
    <w:p w14:paraId="35BF1F51" w14:textId="77777777" w:rsidR="004B4CC2" w:rsidRPr="004B4CC2" w:rsidRDefault="004B4CC2" w:rsidP="004B4CC2">
      <w:pPr>
        <w:rPr>
          <w:rFonts w:eastAsia="Times New Roman" w:cs="Arial"/>
          <w:color w:val="000000"/>
          <w:lang w:eastAsia="bg-BG"/>
        </w:rPr>
      </w:pPr>
    </w:p>
    <w:p w14:paraId="19ED72DE" w14:textId="6DECEFF9" w:rsidR="004B4CC2" w:rsidRPr="004B4CC2" w:rsidRDefault="004B4CC2" w:rsidP="004B4CC2">
      <w:pPr>
        <w:rPr>
          <w:rFonts w:eastAsia="Times New Roman" w:cs="Arial"/>
          <w:color w:val="000000"/>
          <w:lang w:eastAsia="bg-BG"/>
        </w:rPr>
      </w:pPr>
      <w:r w:rsidRPr="004B4CC2">
        <w:rPr>
          <w:rFonts w:eastAsia="Times New Roman" w:cs="Arial"/>
          <w:color w:val="000000"/>
          <w:lang w:eastAsia="bg-BG"/>
        </w:rPr>
        <w:lastRenderedPageBreak/>
        <w:t>В експерименти с животни латанопрост не е показал ефект върху мъжката или женска</w:t>
      </w:r>
      <w:r w:rsidRPr="004B4CC2">
        <w:rPr>
          <w:rFonts w:eastAsia="Times New Roman" w:cs="Arial"/>
          <w:color w:val="000000"/>
          <w:u w:val="single"/>
          <w:lang w:eastAsia="bg-BG"/>
        </w:rPr>
        <w:t xml:space="preserve"> </w:t>
      </w:r>
      <w:r w:rsidRPr="004B4CC2">
        <w:rPr>
          <w:rFonts w:eastAsia="Times New Roman" w:cs="Arial"/>
          <w:color w:val="000000"/>
          <w:lang w:eastAsia="bg-BG"/>
        </w:rPr>
        <w:t xml:space="preserve">плодовитост. В ембриотоксични проучвания при </w:t>
      </w:r>
      <w:r w:rsidRPr="004B4CC2">
        <w:rPr>
          <w:rFonts w:eastAsia="Times New Roman" w:cs="Arial"/>
          <w:i/>
          <w:iCs/>
          <w:color w:val="000000"/>
          <w:lang w:eastAsia="bg-BG"/>
        </w:rPr>
        <w:t>плъхове не е била</w:t>
      </w:r>
      <w:r w:rsidRPr="004B4CC2">
        <w:rPr>
          <w:rFonts w:eastAsia="Times New Roman" w:cs="Arial"/>
          <w:color w:val="000000"/>
          <w:lang w:eastAsia="bg-BG"/>
        </w:rPr>
        <w:t xml:space="preserve"> наблюдавана ембриотоксичност при интравенозни дози (от 5, 50 и 250 микрограма</w:t>
      </w:r>
      <w:r w:rsidRPr="004B4CC2">
        <w:rPr>
          <w:rFonts w:eastAsia="Times New Roman" w:cs="Arial"/>
          <w:color w:val="000000"/>
          <w:lang w:val="en-US"/>
        </w:rPr>
        <w:t xml:space="preserve">/kg </w:t>
      </w:r>
      <w:r w:rsidRPr="004B4CC2">
        <w:rPr>
          <w:rFonts w:eastAsia="Times New Roman" w:cs="Arial"/>
          <w:color w:val="000000"/>
          <w:lang w:eastAsia="bg-BG"/>
        </w:rPr>
        <w:t>дневно) латанопорст.</w:t>
      </w:r>
      <w:r w:rsidRPr="004B4CC2">
        <w:rPr>
          <w:rFonts w:eastAsia="Times New Roman" w:cs="Arial"/>
          <w:i/>
          <w:iCs/>
          <w:color w:val="000000"/>
          <w:lang w:eastAsia="bg-BG"/>
        </w:rPr>
        <w:t xml:space="preserve"> </w:t>
      </w:r>
      <w:r w:rsidRPr="004B4CC2">
        <w:rPr>
          <w:rFonts w:eastAsia="Times New Roman" w:cs="Arial"/>
          <w:color w:val="000000"/>
          <w:lang w:eastAsia="bg-BG"/>
        </w:rPr>
        <w:t>При зайци, обаче, дневни дози от 5 микрограма</w:t>
      </w:r>
      <w:r w:rsidRPr="004B4CC2">
        <w:rPr>
          <w:rFonts w:eastAsia="Times New Roman" w:cs="Arial"/>
          <w:color w:val="000000"/>
          <w:lang w:val="en-US"/>
        </w:rPr>
        <w:t xml:space="preserve">/kg </w:t>
      </w:r>
      <w:r w:rsidRPr="004B4CC2">
        <w:rPr>
          <w:rFonts w:eastAsia="Times New Roman" w:cs="Arial"/>
          <w:color w:val="000000"/>
          <w:lang w:eastAsia="bg-BG"/>
        </w:rPr>
        <w:t>и повече са довели до ембриолетални ефекти.</w:t>
      </w:r>
    </w:p>
    <w:p w14:paraId="126133C8" w14:textId="77777777" w:rsidR="004B4CC2" w:rsidRPr="004B4CC2" w:rsidRDefault="004B4CC2" w:rsidP="004B4CC2">
      <w:pPr>
        <w:rPr>
          <w:rFonts w:eastAsia="Times New Roman" w:cs="Arial"/>
          <w:color w:val="000000"/>
          <w:lang w:eastAsia="bg-BG"/>
        </w:rPr>
      </w:pPr>
    </w:p>
    <w:p w14:paraId="3AC849E8" w14:textId="77777777" w:rsidR="004B4CC2" w:rsidRPr="004B4CC2" w:rsidRDefault="004B4CC2" w:rsidP="004B4CC2">
      <w:pPr>
        <w:spacing w:line="240" w:lineRule="auto"/>
        <w:rPr>
          <w:rFonts w:eastAsia="Times New Roman" w:cs="Arial"/>
          <w:sz w:val="28"/>
          <w:szCs w:val="28"/>
          <w:lang w:eastAsia="bg-BG"/>
        </w:rPr>
      </w:pPr>
      <w:r w:rsidRPr="004B4CC2">
        <w:rPr>
          <w:rFonts w:eastAsia="Times New Roman" w:cs="Arial"/>
          <w:color w:val="000000"/>
          <w:lang w:eastAsia="bg-BG"/>
        </w:rPr>
        <w:t>Дневната доза от 5 микрограма</w:t>
      </w:r>
      <w:r w:rsidRPr="004B4CC2">
        <w:rPr>
          <w:rFonts w:eastAsia="Times New Roman" w:cs="Arial"/>
          <w:color w:val="000000"/>
          <w:lang w:val="en-US"/>
        </w:rPr>
        <w:t xml:space="preserve">/kg </w:t>
      </w:r>
      <w:r w:rsidRPr="004B4CC2">
        <w:rPr>
          <w:rFonts w:eastAsia="Times New Roman" w:cs="Arial"/>
          <w:color w:val="000000"/>
          <w:lang w:eastAsia="bg-BG"/>
        </w:rPr>
        <w:t>(около 100 пъти по-голяма от терапевтичната доза) е причинила сигнификантна ембриофетална токсичност, характеризираща се с повишена честота на късната резорбция и аборт, както и по-ниско фетално тегло.</w:t>
      </w:r>
    </w:p>
    <w:p w14:paraId="4C93D6F8" w14:textId="77777777" w:rsidR="004B4CC2" w:rsidRPr="004B4CC2" w:rsidRDefault="004B4CC2" w:rsidP="004B4CC2">
      <w:pPr>
        <w:spacing w:line="240" w:lineRule="auto"/>
        <w:rPr>
          <w:rFonts w:eastAsia="Times New Roman" w:cs="Arial"/>
          <w:color w:val="000000"/>
          <w:lang w:eastAsia="bg-BG"/>
        </w:rPr>
      </w:pPr>
    </w:p>
    <w:p w14:paraId="30C8284B" w14:textId="5C588FDC" w:rsidR="004B4CC2" w:rsidRPr="004B4CC2" w:rsidRDefault="004B4CC2" w:rsidP="004B4CC2">
      <w:pPr>
        <w:spacing w:line="240" w:lineRule="auto"/>
        <w:rPr>
          <w:rFonts w:ascii="Times New Roman" w:eastAsia="Times New Roman" w:hAnsi="Times New Roman" w:cs="Times New Roman"/>
          <w:sz w:val="24"/>
          <w:szCs w:val="24"/>
          <w:lang w:eastAsia="bg-BG"/>
        </w:rPr>
      </w:pPr>
      <w:r w:rsidRPr="004B4CC2">
        <w:rPr>
          <w:rFonts w:eastAsia="Times New Roman" w:cs="Arial"/>
          <w:color w:val="000000"/>
          <w:lang w:eastAsia="bg-BG"/>
        </w:rPr>
        <w:t>Не е установен тератогенен потенциал.</w:t>
      </w:r>
    </w:p>
    <w:p w14:paraId="0D34FDD8" w14:textId="77777777" w:rsidR="004B4CC2" w:rsidRPr="004B4CC2" w:rsidRDefault="004B4CC2" w:rsidP="004B4CC2"/>
    <w:p w14:paraId="357049A8" w14:textId="6CD46E4B" w:rsidR="00BB22B4" w:rsidRDefault="002C50EE" w:rsidP="00471F10">
      <w:pPr>
        <w:pStyle w:val="Heading1"/>
      </w:pPr>
      <w:r>
        <w:t>7. ПРИТЕЖАТЕЛ НА РАЗРЕШЕНИЕТО ЗА УПОТРЕБА</w:t>
      </w:r>
    </w:p>
    <w:p w14:paraId="0614C2F1" w14:textId="77777777" w:rsidR="004B4CC2" w:rsidRDefault="004B4CC2" w:rsidP="004B4CC2"/>
    <w:p w14:paraId="4ADEB94F" w14:textId="77777777" w:rsidR="004B4CC2" w:rsidRPr="004B4CC2" w:rsidRDefault="004B4CC2" w:rsidP="004B4CC2">
      <w:pPr>
        <w:rPr>
          <w:sz w:val="24"/>
          <w:szCs w:val="24"/>
          <w:lang w:val="en-US" w:eastAsia="bg-BG"/>
        </w:rPr>
      </w:pPr>
      <w:r w:rsidRPr="004B4CC2">
        <w:rPr>
          <w:lang w:val="en-US"/>
        </w:rPr>
        <w:t>Upjohn EESV</w:t>
      </w:r>
    </w:p>
    <w:p w14:paraId="5D77E0BE" w14:textId="77777777" w:rsidR="004B4CC2" w:rsidRPr="004B4CC2" w:rsidRDefault="004B4CC2" w:rsidP="004B4CC2">
      <w:pPr>
        <w:rPr>
          <w:sz w:val="24"/>
          <w:szCs w:val="24"/>
          <w:lang w:val="en-US" w:eastAsia="bg-BG"/>
        </w:rPr>
      </w:pPr>
      <w:proofErr w:type="spellStart"/>
      <w:r w:rsidRPr="004B4CC2">
        <w:rPr>
          <w:lang w:val="en-US"/>
        </w:rPr>
        <w:t>Rivium</w:t>
      </w:r>
      <w:proofErr w:type="spellEnd"/>
      <w:r w:rsidRPr="004B4CC2">
        <w:rPr>
          <w:lang w:val="en-US"/>
        </w:rPr>
        <w:t xml:space="preserve"> </w:t>
      </w:r>
      <w:proofErr w:type="spellStart"/>
      <w:r w:rsidRPr="004B4CC2">
        <w:rPr>
          <w:lang w:val="en-US"/>
        </w:rPr>
        <w:t>Westlaan</w:t>
      </w:r>
      <w:proofErr w:type="spellEnd"/>
      <w:r w:rsidRPr="004B4CC2">
        <w:rPr>
          <w:lang w:val="en-US"/>
        </w:rPr>
        <w:t xml:space="preserve"> </w:t>
      </w:r>
      <w:r w:rsidRPr="004B4CC2">
        <w:rPr>
          <w:lang w:eastAsia="bg-BG"/>
        </w:rPr>
        <w:t>142</w:t>
      </w:r>
    </w:p>
    <w:p w14:paraId="5AF5B915" w14:textId="77777777" w:rsidR="004B4CC2" w:rsidRPr="004B4CC2" w:rsidRDefault="004B4CC2" w:rsidP="004B4CC2">
      <w:pPr>
        <w:rPr>
          <w:sz w:val="24"/>
          <w:szCs w:val="24"/>
          <w:lang w:val="en-US" w:eastAsia="bg-BG"/>
        </w:rPr>
      </w:pPr>
      <w:r w:rsidRPr="004B4CC2">
        <w:rPr>
          <w:lang w:eastAsia="bg-BG"/>
        </w:rPr>
        <w:t xml:space="preserve">2909 </w:t>
      </w:r>
      <w:r w:rsidRPr="004B4CC2">
        <w:rPr>
          <w:lang w:val="en-US"/>
        </w:rPr>
        <w:t xml:space="preserve">LD Capelle </w:t>
      </w:r>
      <w:proofErr w:type="spellStart"/>
      <w:r w:rsidRPr="004B4CC2">
        <w:rPr>
          <w:lang w:val="en-US"/>
        </w:rPr>
        <w:t>aan</w:t>
      </w:r>
      <w:proofErr w:type="spellEnd"/>
      <w:r w:rsidRPr="004B4CC2">
        <w:rPr>
          <w:lang w:val="en-US"/>
        </w:rPr>
        <w:t xml:space="preserve"> den Ijssel</w:t>
      </w:r>
    </w:p>
    <w:p w14:paraId="1FCA2F3A" w14:textId="77777777" w:rsidR="004B4CC2" w:rsidRPr="004B4CC2" w:rsidRDefault="004B4CC2" w:rsidP="004B4CC2">
      <w:pPr>
        <w:rPr>
          <w:sz w:val="24"/>
          <w:szCs w:val="24"/>
          <w:lang w:val="en-US" w:eastAsia="bg-BG"/>
        </w:rPr>
      </w:pPr>
      <w:r w:rsidRPr="004B4CC2">
        <w:rPr>
          <w:lang w:eastAsia="bg-BG"/>
        </w:rPr>
        <w:t>Нидерландия</w:t>
      </w:r>
    </w:p>
    <w:p w14:paraId="119865C1" w14:textId="77777777" w:rsidR="004B4CC2" w:rsidRPr="004B4CC2" w:rsidRDefault="004B4CC2" w:rsidP="004B4CC2"/>
    <w:p w14:paraId="0A53321D" w14:textId="74FBD4FB" w:rsidR="00EE6C97" w:rsidRDefault="00936AD0" w:rsidP="00A93499">
      <w:pPr>
        <w:pStyle w:val="Heading1"/>
      </w:pPr>
      <w:r>
        <w:t>8.</w:t>
      </w:r>
      <w:r w:rsidR="002C50EE">
        <w:t>НОМЕР НА РАЗРЕШЕНИЕТО ЗА УПОТРЕБА</w:t>
      </w:r>
    </w:p>
    <w:p w14:paraId="253429AE" w14:textId="77777777" w:rsidR="004B4CC2" w:rsidRDefault="004B4CC2" w:rsidP="004B4CC2"/>
    <w:p w14:paraId="0AFC780A" w14:textId="424B7981" w:rsidR="004B4CC2" w:rsidRPr="004B4CC2" w:rsidRDefault="004B4CC2" w:rsidP="004B4CC2">
      <w:r>
        <w:t>9900241</w:t>
      </w:r>
    </w:p>
    <w:p w14:paraId="7C2688F5" w14:textId="6D610EDF" w:rsidR="00F62E44" w:rsidRDefault="00F62E44" w:rsidP="00F62E44"/>
    <w:p w14:paraId="00481C21" w14:textId="753A12CC" w:rsidR="00F62E44" w:rsidRDefault="002C50EE" w:rsidP="00387A66">
      <w:pPr>
        <w:pStyle w:val="Heading1"/>
      </w:pPr>
      <w:r>
        <w:t>9. ДАТА НА ПЪРВО РАЗРЕШАВАНЕ/ПОДНОВЯВАНЕ НА РАЗРЕШЕНИЕТО ЗА УПОТРЕБА</w:t>
      </w:r>
    </w:p>
    <w:p w14:paraId="08DFD99A" w14:textId="77777777" w:rsidR="004B4CC2" w:rsidRDefault="004B4CC2" w:rsidP="004B4CC2"/>
    <w:p w14:paraId="1B9E07B7" w14:textId="77777777" w:rsidR="004B4CC2" w:rsidRPr="004B4CC2" w:rsidRDefault="004B4CC2" w:rsidP="004B4CC2">
      <w:pPr>
        <w:rPr>
          <w:sz w:val="24"/>
          <w:szCs w:val="24"/>
          <w:lang w:eastAsia="bg-BG"/>
        </w:rPr>
      </w:pPr>
      <w:r w:rsidRPr="004B4CC2">
        <w:rPr>
          <w:lang w:eastAsia="bg-BG"/>
        </w:rPr>
        <w:t>Дата на първо разрешаване: 06 август 1999 г.</w:t>
      </w:r>
    </w:p>
    <w:p w14:paraId="6A51993F" w14:textId="1903F727" w:rsidR="004B4CC2" w:rsidRPr="004B4CC2" w:rsidRDefault="004B4CC2" w:rsidP="004B4CC2">
      <w:pPr>
        <w:rPr>
          <w:sz w:val="24"/>
          <w:szCs w:val="24"/>
          <w:lang w:eastAsia="bg-BG"/>
        </w:rPr>
      </w:pPr>
      <w:r w:rsidRPr="004B4CC2">
        <w:rPr>
          <w:lang w:eastAsia="bg-BG"/>
        </w:rPr>
        <w:t>Дата на последно подновяване: 04 август 2010 г.</w:t>
      </w:r>
    </w:p>
    <w:p w14:paraId="43FB38A2" w14:textId="0C18A683" w:rsidR="007C605B" w:rsidRDefault="002C50EE" w:rsidP="005726E3">
      <w:pPr>
        <w:pStyle w:val="Heading1"/>
      </w:pPr>
      <w:r>
        <w:t>10. ДАТА НА АКТУАЛИЗИРАНЕ НА ТЕКСТА</w:t>
      </w:r>
      <w:bookmarkEnd w:id="0"/>
    </w:p>
    <w:p w14:paraId="472617BD" w14:textId="4E52188C" w:rsidR="00BB22B4" w:rsidRPr="00BB22B4" w:rsidRDefault="00BB22B4" w:rsidP="008F7F23"/>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0"/>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19"/>
  </w:num>
  <w:num w:numId="7" w16cid:durableId="1241988161">
    <w:abstractNumId w:val="12"/>
  </w:num>
  <w:num w:numId="8" w16cid:durableId="2102022361">
    <w:abstractNumId w:val="18"/>
  </w:num>
  <w:num w:numId="9" w16cid:durableId="1154613663">
    <w:abstractNumId w:val="2"/>
  </w:num>
  <w:num w:numId="10" w16cid:durableId="1733848127">
    <w:abstractNumId w:val="4"/>
  </w:num>
  <w:num w:numId="11" w16cid:durableId="1861704680">
    <w:abstractNumId w:val="33"/>
  </w:num>
  <w:num w:numId="12" w16cid:durableId="1434934028">
    <w:abstractNumId w:val="16"/>
  </w:num>
  <w:num w:numId="13" w16cid:durableId="479157895">
    <w:abstractNumId w:val="22"/>
  </w:num>
  <w:num w:numId="14" w16cid:durableId="1670476636">
    <w:abstractNumId w:val="14"/>
  </w:num>
  <w:num w:numId="15" w16cid:durableId="1000155783">
    <w:abstractNumId w:val="32"/>
  </w:num>
  <w:num w:numId="16" w16cid:durableId="2056420707">
    <w:abstractNumId w:val="11"/>
  </w:num>
  <w:num w:numId="17" w16cid:durableId="1787119182">
    <w:abstractNumId w:val="27"/>
  </w:num>
  <w:num w:numId="18" w16cid:durableId="722945139">
    <w:abstractNumId w:val="8"/>
  </w:num>
  <w:num w:numId="19" w16cid:durableId="1678728408">
    <w:abstractNumId w:val="29"/>
  </w:num>
  <w:num w:numId="20" w16cid:durableId="1970816657">
    <w:abstractNumId w:val="26"/>
  </w:num>
  <w:num w:numId="21" w16cid:durableId="1531146514">
    <w:abstractNumId w:val="20"/>
  </w:num>
  <w:num w:numId="22" w16cid:durableId="1276465">
    <w:abstractNumId w:val="28"/>
  </w:num>
  <w:num w:numId="23" w16cid:durableId="1624310558">
    <w:abstractNumId w:val="21"/>
  </w:num>
  <w:num w:numId="24" w16cid:durableId="1692877547">
    <w:abstractNumId w:val="9"/>
  </w:num>
  <w:num w:numId="25" w16cid:durableId="50930855">
    <w:abstractNumId w:val="25"/>
  </w:num>
  <w:num w:numId="26" w16cid:durableId="176701536">
    <w:abstractNumId w:val="24"/>
  </w:num>
  <w:num w:numId="27" w16cid:durableId="2050564750">
    <w:abstractNumId w:val="34"/>
  </w:num>
  <w:num w:numId="28" w16cid:durableId="1820733422">
    <w:abstractNumId w:val="6"/>
  </w:num>
  <w:num w:numId="29" w16cid:durableId="973678124">
    <w:abstractNumId w:val="23"/>
  </w:num>
  <w:num w:numId="30" w16cid:durableId="154884452">
    <w:abstractNumId w:val="38"/>
  </w:num>
  <w:num w:numId="31" w16cid:durableId="1053964910">
    <w:abstractNumId w:val="5"/>
  </w:num>
  <w:num w:numId="32" w16cid:durableId="2073575793">
    <w:abstractNumId w:val="36"/>
  </w:num>
  <w:num w:numId="33" w16cid:durableId="1566643170">
    <w:abstractNumId w:val="31"/>
  </w:num>
  <w:num w:numId="34" w16cid:durableId="2060787732">
    <w:abstractNumId w:val="35"/>
  </w:num>
  <w:num w:numId="35" w16cid:durableId="34161354">
    <w:abstractNumId w:val="7"/>
  </w:num>
  <w:num w:numId="36" w16cid:durableId="1976908676">
    <w:abstractNumId w:val="10"/>
  </w:num>
  <w:num w:numId="37" w16cid:durableId="758528303">
    <w:abstractNumId w:val="17"/>
  </w:num>
  <w:num w:numId="38" w16cid:durableId="178396561">
    <w:abstractNumId w:val="37"/>
  </w:num>
  <w:num w:numId="39" w16cid:durableId="9348259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B3C38"/>
    <w:rsid w:val="002B4DBB"/>
    <w:rsid w:val="002C50EE"/>
    <w:rsid w:val="00340A0A"/>
    <w:rsid w:val="00340E8D"/>
    <w:rsid w:val="003765DC"/>
    <w:rsid w:val="00387A66"/>
    <w:rsid w:val="00395555"/>
    <w:rsid w:val="003E3126"/>
    <w:rsid w:val="00426E5F"/>
    <w:rsid w:val="00471F10"/>
    <w:rsid w:val="004A448E"/>
    <w:rsid w:val="004B4CC2"/>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9F77A4"/>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C565E"/>
    <w:rsid w:val="00CF77F7"/>
    <w:rsid w:val="00D86297"/>
    <w:rsid w:val="00DB32D3"/>
    <w:rsid w:val="00DD466D"/>
    <w:rsid w:val="00E9184E"/>
    <w:rsid w:val="00EB6364"/>
    <w:rsid w:val="00EE6C97"/>
    <w:rsid w:val="00F37B64"/>
    <w:rsid w:val="00F53FB7"/>
    <w:rsid w:val="00F62E4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12</Pages>
  <Words>3678</Words>
  <Characters>20965</Characters>
  <Application>Microsoft Office Word</Application>
  <DocSecurity>0</DocSecurity>
  <Lines>174</Lines>
  <Paragraphs>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2023-05-16T20:00:00Z</dcterms:created>
  <dcterms:modified xsi:type="dcterms:W3CDTF">2023-05-16T20:00:00Z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