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7260AEF1" w:rsidR="00C40420" w:rsidRDefault="00DD466D" w:rsidP="004A448E">
      <w:pPr>
        <w:pStyle w:val="Heading1"/>
      </w:pPr>
      <w:r>
        <w:t>1.ИМЕ НА ЛЕКАРСТВЕНИЯ ПРОДУКТ</w:t>
      </w:r>
    </w:p>
    <w:p w14:paraId="0224490B" w14:textId="4512D747" w:rsidR="00A405B6" w:rsidRDefault="00A405B6" w:rsidP="00A405B6"/>
    <w:p w14:paraId="06A5D46A" w14:textId="77777777" w:rsidR="00A405B6" w:rsidRPr="00A405B6" w:rsidRDefault="00A405B6" w:rsidP="00A405B6">
      <w:pPr>
        <w:rPr>
          <w:sz w:val="24"/>
          <w:szCs w:val="24"/>
        </w:rPr>
      </w:pPr>
      <w:r w:rsidRPr="00A405B6">
        <w:rPr>
          <w:lang w:eastAsia="bg-BG"/>
        </w:rPr>
        <w:t xml:space="preserve">Ксанепра 25 </w:t>
      </w:r>
      <w:r w:rsidRPr="00A405B6">
        <w:rPr>
          <w:lang w:val="en-US"/>
        </w:rPr>
        <w:t>mg</w:t>
      </w:r>
      <w:r w:rsidRPr="00A405B6">
        <w:t xml:space="preserve"> </w:t>
      </w:r>
      <w:r w:rsidRPr="00A405B6">
        <w:rPr>
          <w:lang w:eastAsia="bg-BG"/>
        </w:rPr>
        <w:t>филмирани таблетки</w:t>
      </w:r>
    </w:p>
    <w:p w14:paraId="22D297AA" w14:textId="77777777" w:rsidR="00A405B6" w:rsidRPr="00A405B6" w:rsidRDefault="00A405B6" w:rsidP="00A405B6">
      <w:pPr>
        <w:rPr>
          <w:sz w:val="24"/>
          <w:szCs w:val="24"/>
        </w:rPr>
      </w:pPr>
      <w:r w:rsidRPr="00A405B6">
        <w:rPr>
          <w:lang w:eastAsia="bg-BG"/>
        </w:rPr>
        <w:t xml:space="preserve">Хаперга 25 </w:t>
      </w:r>
      <w:r w:rsidRPr="00A405B6">
        <w:rPr>
          <w:lang w:val="en-US"/>
        </w:rPr>
        <w:t>mg</w:t>
      </w:r>
      <w:r w:rsidRPr="00A405B6">
        <w:t xml:space="preserve"> </w:t>
      </w:r>
      <w:r w:rsidRPr="00A405B6">
        <w:rPr>
          <w:lang w:val="en-US"/>
        </w:rPr>
        <w:t>film</w:t>
      </w:r>
      <w:r w:rsidRPr="00A405B6">
        <w:t>-</w:t>
      </w:r>
      <w:r w:rsidRPr="00A405B6">
        <w:rPr>
          <w:lang w:val="en-US"/>
        </w:rPr>
        <w:t>coated</w:t>
      </w:r>
      <w:r w:rsidRPr="00A405B6">
        <w:t xml:space="preserve"> </w:t>
      </w:r>
      <w:r w:rsidRPr="00A405B6">
        <w:rPr>
          <w:lang w:val="en-US"/>
        </w:rPr>
        <w:t>tablets</w:t>
      </w:r>
    </w:p>
    <w:p w14:paraId="7ED9A60B" w14:textId="77777777" w:rsidR="00A405B6" w:rsidRPr="00A405B6" w:rsidRDefault="00A405B6" w:rsidP="00A405B6"/>
    <w:p w14:paraId="6920A680" w14:textId="04110E3B" w:rsidR="00C40420" w:rsidRDefault="00DD466D" w:rsidP="004A448E">
      <w:pPr>
        <w:pStyle w:val="Heading1"/>
      </w:pPr>
      <w:r>
        <w:t>2. КАЧЕСТВЕН И КОЛИЧЕСТВЕН СЪСТАВ</w:t>
      </w:r>
    </w:p>
    <w:p w14:paraId="1D5BAD20" w14:textId="610D673C" w:rsidR="00A405B6" w:rsidRDefault="00A405B6" w:rsidP="00A405B6"/>
    <w:p w14:paraId="5A3E54FE" w14:textId="268EDA5A" w:rsidR="00A405B6" w:rsidRPr="00A405B6" w:rsidRDefault="00A405B6" w:rsidP="00A405B6">
      <w:r>
        <w:t xml:space="preserve">Всяка филмирана таблетка съдържа 25 </w:t>
      </w:r>
      <w:r>
        <w:rPr>
          <w:lang w:val="en-US"/>
        </w:rPr>
        <w:t>mg</w:t>
      </w:r>
      <w:r w:rsidRPr="00A405B6">
        <w:t xml:space="preserve"> </w:t>
      </w:r>
      <w:r>
        <w:t xml:space="preserve">екземестан </w:t>
      </w:r>
      <w:r w:rsidRPr="00A405B6">
        <w:t>(</w:t>
      </w:r>
      <w:r>
        <w:rPr>
          <w:lang w:val="en-US"/>
        </w:rPr>
        <w:t>exemestane</w:t>
      </w:r>
      <w:r w:rsidRPr="00A405B6">
        <w:t>).</w:t>
      </w:r>
    </w:p>
    <w:p w14:paraId="614984C4" w14:textId="515B6BFC" w:rsidR="008A6AF2" w:rsidRDefault="00DD466D" w:rsidP="002C50EE">
      <w:pPr>
        <w:pStyle w:val="Heading1"/>
      </w:pPr>
      <w:r>
        <w:t>3. ЛЕКАРСТВЕНА ФОРМА</w:t>
      </w:r>
    </w:p>
    <w:p w14:paraId="3B4A92B7" w14:textId="36EB4D19" w:rsidR="00A405B6" w:rsidRDefault="00A405B6" w:rsidP="00A405B6"/>
    <w:p w14:paraId="73FDC9F1" w14:textId="77777777" w:rsidR="00A405B6" w:rsidRPr="00A405B6" w:rsidRDefault="00A405B6" w:rsidP="00A405B6">
      <w:pPr>
        <w:rPr>
          <w:sz w:val="24"/>
          <w:szCs w:val="24"/>
        </w:rPr>
      </w:pPr>
      <w:r w:rsidRPr="00A405B6">
        <w:rPr>
          <w:lang w:eastAsia="bg-BG"/>
        </w:rPr>
        <w:t>Филмирана таблетка.</w:t>
      </w:r>
    </w:p>
    <w:p w14:paraId="7BF99105" w14:textId="6A392047" w:rsidR="00A405B6" w:rsidRPr="00A405B6" w:rsidRDefault="00A405B6" w:rsidP="00A405B6">
      <w:r w:rsidRPr="00A405B6">
        <w:rPr>
          <w:lang w:eastAsia="bg-BG"/>
        </w:rPr>
        <w:t>Бели, кръгли, двойно изпъкнали филмирани таблетки.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2C983C34" w:rsidR="008134C8" w:rsidRDefault="002C50EE" w:rsidP="004A448E">
      <w:pPr>
        <w:pStyle w:val="Heading2"/>
      </w:pPr>
      <w:r>
        <w:t>4.1. Терапевтични показания</w:t>
      </w:r>
    </w:p>
    <w:p w14:paraId="674A6CC2" w14:textId="2D3B2E76" w:rsidR="00A405B6" w:rsidRDefault="00A405B6" w:rsidP="00A405B6"/>
    <w:p w14:paraId="46F23CC9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Екземестан е показан като адювантно лечение при жени след менопауза с положителен за естрогенни рецептори инвазивен ранен карцином на гърдата след първоначално адювантно лечение с тамоксифен в продължение на 2 - 3 години.</w:t>
      </w:r>
    </w:p>
    <w:p w14:paraId="5612B4BF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Екземестан е показан за лечение на напреднал карцином на гърдата при жени с естествено или предизвикано състояние на менопауза, чието заболяване е прогресирало след анти-естрогенно лечение. Не е демонстрирана ефикасност при пациенти с отрицателен статус за естрогенни рецептори.</w:t>
      </w:r>
    </w:p>
    <w:p w14:paraId="5272327E" w14:textId="77777777" w:rsidR="00A405B6" w:rsidRPr="00A405B6" w:rsidRDefault="00A405B6" w:rsidP="00A405B6"/>
    <w:p w14:paraId="30BE2C7B" w14:textId="24C63065" w:rsidR="008134C8" w:rsidRDefault="002C50EE" w:rsidP="004A448E">
      <w:pPr>
        <w:pStyle w:val="Heading2"/>
      </w:pPr>
      <w:r>
        <w:t>4.2. Дозировка и начин на приложение</w:t>
      </w:r>
    </w:p>
    <w:p w14:paraId="623B52E7" w14:textId="18E85B4F" w:rsidR="00A405B6" w:rsidRDefault="00A405B6" w:rsidP="00A405B6"/>
    <w:p w14:paraId="7367C5A6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t>Възрастни пациенти и пациенти в старческа възраст:</w:t>
      </w:r>
    </w:p>
    <w:p w14:paraId="6F165C99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Препоръчителната доза Ксанепра е една таблетка от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приета веднъж дневно след хранене.</w:t>
      </w:r>
    </w:p>
    <w:p w14:paraId="5B01D93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EB5DFB" w14:textId="707F342F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При пациенти с ранен карцином на гърдата лечението с Ксанепра трябва да продължи до завършване на пълни пет години комбинирано последователно адювантно хормонално лечение (тамоксифен, следван от Екземестан) или по-рано при поява на рецидив на тумора.</w:t>
      </w:r>
    </w:p>
    <w:p w14:paraId="7C1F1AA2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813E87" w14:textId="70F82E8F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При пациенти с напреднал карцином на гърдата лечението с Ксанепра трябва да продължи до доказана прогресия на тумора.</w:t>
      </w:r>
    </w:p>
    <w:p w14:paraId="4F233274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487A71" w14:textId="504DAE43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При пациенти с чернодробна или бъбречна недостатъчност не е необходима корекция на дозата (вж. раздел 5.2).</w:t>
      </w:r>
    </w:p>
    <w:p w14:paraId="62281590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8DF9C6" w14:textId="14537E7C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lastRenderedPageBreak/>
        <w:t>Деца</w:t>
      </w:r>
    </w:p>
    <w:p w14:paraId="74B3E7A9" w14:textId="77777777" w:rsidR="00A405B6" w:rsidRPr="00A405B6" w:rsidRDefault="00A405B6" w:rsidP="00A405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B6">
        <w:rPr>
          <w:rFonts w:eastAsia="Times New Roman" w:cs="Arial"/>
          <w:color w:val="000000"/>
          <w:lang w:eastAsia="bg-BG"/>
        </w:rPr>
        <w:t>Не се препоръчва употреба при деца.</w:t>
      </w:r>
    </w:p>
    <w:p w14:paraId="2503B50D" w14:textId="77777777" w:rsidR="00A405B6" w:rsidRPr="00A405B6" w:rsidRDefault="00A405B6" w:rsidP="00A405B6"/>
    <w:p w14:paraId="28C984E8" w14:textId="36D03032" w:rsidR="008134C8" w:rsidRDefault="002C50EE" w:rsidP="004A448E">
      <w:pPr>
        <w:pStyle w:val="Heading2"/>
      </w:pPr>
      <w:r>
        <w:t>4.3. Противопоказания</w:t>
      </w:r>
    </w:p>
    <w:p w14:paraId="6BD5C3CE" w14:textId="02C5A748" w:rsidR="00A405B6" w:rsidRDefault="00A405B6" w:rsidP="00A405B6"/>
    <w:p w14:paraId="192D8DBF" w14:textId="77777777" w:rsidR="00A405B6" w:rsidRPr="00A405B6" w:rsidRDefault="00A405B6" w:rsidP="00A405B6">
      <w:pPr>
        <w:rPr>
          <w:rFonts w:eastAsia="Times New Roman" w:cs="Arial"/>
          <w:sz w:val="24"/>
          <w:szCs w:val="24"/>
        </w:rPr>
      </w:pPr>
      <w:r w:rsidRPr="00A405B6">
        <w:rPr>
          <w:rFonts w:cs="Arial"/>
        </w:rPr>
        <w:t>Екземестан таблетки е противопоказан при пациенти с данни за свръхчувствителност към лекарственото вещество или някое от помощните вещества, при жени преди менопауза и при</w:t>
      </w:r>
      <w:r w:rsidRPr="00A405B6">
        <w:rPr>
          <w:rFonts w:cs="Arial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бременни или кърмещи жени.</w:t>
      </w:r>
    </w:p>
    <w:p w14:paraId="73AF28EE" w14:textId="67DE0152" w:rsidR="00A405B6" w:rsidRPr="00A405B6" w:rsidRDefault="00A405B6" w:rsidP="00A405B6"/>
    <w:p w14:paraId="212F509C" w14:textId="68E11144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1D603A2B" w14:textId="0FA43CA5" w:rsidR="00A405B6" w:rsidRDefault="00A405B6" w:rsidP="00A405B6"/>
    <w:p w14:paraId="0132C57D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не трябва да бъде прилаган при жени в пременопаузално ендокринно състояние. Следователно, при клинична необходимост постменопаузалното състояние трябва да бъде потвърдено чрез изследване на нивата на </w:t>
      </w:r>
      <w:r w:rsidRPr="00A405B6">
        <w:rPr>
          <w:rFonts w:eastAsia="Times New Roman" w:cs="Arial"/>
          <w:color w:val="000000"/>
          <w:lang w:val="en-US"/>
        </w:rPr>
        <w:t>LH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val="en-US"/>
        </w:rPr>
        <w:t>FSH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и естрадиол.</w:t>
      </w:r>
    </w:p>
    <w:p w14:paraId="3647AFA8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CEFC4B" w14:textId="3C1CC1E8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Екземестан трябва да бъде използван с повишено внимание при пациенти с чернодробно или бъбречно увреждане.</w:t>
      </w:r>
    </w:p>
    <w:p w14:paraId="385811F1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B17F59" w14:textId="772A99B8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е мощен естроген-понижаващ агент и след приложението му може да се наблюдава намаление на костната минерална плътност и повишена честота на фрактури (вж. раздел 5.1). По време на адювантната терапия с Екземестан при жени с остеопороза или с повишен риск от остеопороза трябва да се направи стандартно изследване на минералното съдържание на костите в началото на лечението, основавайки се на настоящите клинични ръководства и практики. При пациентите с напреднало заболяване изследването на костната минерална плътност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BMD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 xml:space="preserve">трябва да се оценява при всеки отделен случай. Въпреки че липсват адекватни данни, показващи ефектите от терапията при лечението на загубата на костна минерална плътност, причинена от екземестан, пациентите, лекувани с екземестан трябва да се наблюдават внимателно </w:t>
      </w:r>
      <w:r w:rsidRPr="00A405B6">
        <w:rPr>
          <w:rFonts w:eastAsia="Times New Roman" w:cs="Arial"/>
          <w:i/>
          <w:iCs/>
          <w:color w:val="000000"/>
          <w:lang w:eastAsia="bg-BG"/>
        </w:rPr>
        <w:t>и</w:t>
      </w:r>
      <w:r w:rsidRPr="00A405B6">
        <w:rPr>
          <w:rFonts w:eastAsia="Times New Roman" w:cs="Arial"/>
          <w:color w:val="000000"/>
          <w:lang w:eastAsia="bg-BG"/>
        </w:rPr>
        <w:t xml:space="preserve"> при рискови пациенти трябва да започне лечение или профилактика на остеопорозата.</w:t>
      </w:r>
    </w:p>
    <w:p w14:paraId="326CD48D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6F3DDA" w14:textId="25B52C2F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Преди започване на лечението с ароматазен инхибитор, по преценка трябва да се извърши рутинно изследване на нивата на 25-хидрокси витамин </w:t>
      </w:r>
      <w:r w:rsidRPr="00A405B6">
        <w:rPr>
          <w:rFonts w:eastAsia="Times New Roman" w:cs="Arial"/>
          <w:color w:val="000000"/>
          <w:lang w:val="en-US"/>
        </w:rPr>
        <w:t>D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eastAsia="bg-BG"/>
        </w:rPr>
        <w:t xml:space="preserve">поради високата честота на тежък дефицит при жени с ранен рак на гърдата (ЕВС). Жените с недостиг на витамин </w:t>
      </w:r>
      <w:r w:rsidRPr="00A405B6">
        <w:rPr>
          <w:rFonts w:eastAsia="Times New Roman" w:cs="Arial"/>
          <w:color w:val="000000"/>
          <w:lang w:val="en-US"/>
        </w:rPr>
        <w:t>D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трябва да получават добавки с витамин </w:t>
      </w:r>
      <w:r w:rsidRPr="00A405B6">
        <w:rPr>
          <w:rFonts w:eastAsia="Times New Roman" w:cs="Arial"/>
          <w:color w:val="000000"/>
          <w:lang w:val="en-US"/>
        </w:rPr>
        <w:t>D</w:t>
      </w:r>
      <w:r w:rsidRPr="00A405B6">
        <w:rPr>
          <w:rFonts w:eastAsia="Times New Roman" w:cs="Arial"/>
          <w:color w:val="000000"/>
          <w:lang w:val="ru-RU"/>
        </w:rPr>
        <w:t>.</w:t>
      </w:r>
    </w:p>
    <w:p w14:paraId="2AB7422F" w14:textId="77777777" w:rsidR="00A405B6" w:rsidRPr="00A405B6" w:rsidRDefault="00A405B6" w:rsidP="00A405B6"/>
    <w:p w14:paraId="619DED1E" w14:textId="1422F805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1C91A6A5" w14:textId="1AB2BEB7" w:rsidR="00A405B6" w:rsidRDefault="00A405B6" w:rsidP="00A405B6"/>
    <w:p w14:paraId="618C42A6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Проведените </w:t>
      </w:r>
      <w:r w:rsidRPr="00A405B6">
        <w:rPr>
          <w:rFonts w:eastAsia="Times New Roman" w:cs="Arial"/>
          <w:color w:val="000000"/>
          <w:lang w:val="en-US"/>
        </w:rPr>
        <w:t>in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vitro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изследвания са показали, че лекарството се метаболизира чрез цитохром Р450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 xml:space="preserve">ЗА4 и алдокеторедуктазите (вж. раздел 5.2) и не инхибира никой от главните 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изоензими. В клинично фармакокинетично проучване специфичната инхибиция на 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ЗА4 от кетоконазол не е довела до значими ефекти върху фармакокинетиката на екземестан.</w:t>
      </w:r>
    </w:p>
    <w:p w14:paraId="02B5F36A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E5B5DE" w14:textId="65A4EA1B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проучване за лекарствено взаимодействие с рифампицин в доза 600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дневно, мощен индуктор на 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450, </w:t>
      </w:r>
      <w:r w:rsidRPr="00A405B6">
        <w:rPr>
          <w:rFonts w:eastAsia="Times New Roman" w:cs="Arial"/>
          <w:color w:val="000000"/>
          <w:lang w:eastAsia="bg-BG"/>
        </w:rPr>
        <w:t xml:space="preserve">и еднократна доза от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екземестан </w:t>
      </w:r>
      <w:r w:rsidRPr="00A405B6">
        <w:rPr>
          <w:rFonts w:eastAsia="Times New Roman" w:cs="Arial"/>
          <w:color w:val="000000"/>
          <w:lang w:val="en-US"/>
        </w:rPr>
        <w:t>AUC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(площта под кривата) на екземестан е намаляла с 54%, а Стах - с 41%. Тъй като клиничното значение на това взаимодействие не е изяснено, едновременното приложение на лекарствени продукти като рифампицин, антиепилептични лекарства (напр., фенитоин и карбамазепин) и </w:t>
      </w:r>
      <w:r w:rsidRPr="00A405B6">
        <w:rPr>
          <w:rFonts w:eastAsia="Times New Roman" w:cs="Arial"/>
          <w:color w:val="000000"/>
          <w:lang w:eastAsia="bg-BG"/>
        </w:rPr>
        <w:lastRenderedPageBreak/>
        <w:t xml:space="preserve">билкови препарати, съдържащи жълт кантарион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Hypericum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perforatum</w:t>
      </w:r>
      <w:r w:rsidRPr="00A405B6">
        <w:rPr>
          <w:rFonts w:eastAsia="Times New Roman" w:cs="Arial"/>
          <w:color w:val="000000"/>
          <w:lang w:val="ru-RU"/>
        </w:rPr>
        <w:t xml:space="preserve">), </w:t>
      </w:r>
      <w:r w:rsidRPr="00A405B6">
        <w:rPr>
          <w:rFonts w:eastAsia="Times New Roman" w:cs="Arial"/>
          <w:color w:val="000000"/>
          <w:lang w:eastAsia="bg-BG"/>
        </w:rPr>
        <w:t xml:space="preserve">за които се знае, че индуцират 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ЗА4, може да намали ефективността на екземестан.</w:t>
      </w:r>
    </w:p>
    <w:p w14:paraId="76B5ED0B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7EDE23" w14:textId="1947E8A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трябва да се използва внимателно с лекарства, които се метаболизират чрез </w:t>
      </w:r>
      <w:r w:rsidRPr="00A405B6">
        <w:rPr>
          <w:rFonts w:eastAsia="Times New Roman" w:cs="Arial"/>
          <w:color w:val="000000"/>
          <w:lang w:val="en-US"/>
        </w:rPr>
        <w:t>CYP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ЗА4 и имат малка терапевтична ширина. Липсва клиничен опит за едновременна употреба на екземестан с други противоракови лекарства.</w:t>
      </w:r>
    </w:p>
    <w:p w14:paraId="72E0C473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1CD268" w14:textId="3C53B8AE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Екземестан не трябва да бъде прилаган едновременно с естроген-съдържащи лекарства, тъй като те биха анулирали неговото фармакологично действие.</w:t>
      </w:r>
    </w:p>
    <w:p w14:paraId="564B43DA" w14:textId="77777777" w:rsidR="00A405B6" w:rsidRPr="00A405B6" w:rsidRDefault="00A405B6" w:rsidP="00A405B6"/>
    <w:p w14:paraId="394A7584" w14:textId="33DD566E" w:rsidR="004F498A" w:rsidRDefault="002C50EE" w:rsidP="004A448E">
      <w:pPr>
        <w:pStyle w:val="Heading2"/>
      </w:pPr>
      <w:r>
        <w:t>4.6. Фертилитет, бременност и кърмене</w:t>
      </w:r>
    </w:p>
    <w:p w14:paraId="4D498E1B" w14:textId="19DD7AFA" w:rsidR="00A405B6" w:rsidRDefault="00A405B6" w:rsidP="00A405B6"/>
    <w:p w14:paraId="1EB67805" w14:textId="77777777" w:rsidR="00A405B6" w:rsidRPr="00A405B6" w:rsidRDefault="00A405B6" w:rsidP="00A405B6">
      <w:pPr>
        <w:pStyle w:val="Heading3"/>
        <w:rPr>
          <w:rFonts w:eastAsia="Times New Roman"/>
          <w:u w:val="single"/>
        </w:rPr>
      </w:pPr>
      <w:r w:rsidRPr="00A405B6">
        <w:rPr>
          <w:rFonts w:eastAsia="Times New Roman"/>
          <w:u w:val="single"/>
          <w:lang w:eastAsia="bg-BG"/>
        </w:rPr>
        <w:t>Бременност</w:t>
      </w:r>
    </w:p>
    <w:p w14:paraId="5927121C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Няма клинични данни за прилагане на Екземестан по време на бременност. Проучвания върху животни са показали репродуктивна токсичност (вж. раздел 5.3). По тази причина Екземестан е противопоказан при бременни жени.</w:t>
      </w:r>
    </w:p>
    <w:p w14:paraId="1C38D646" w14:textId="77777777" w:rsidR="00A405B6" w:rsidRPr="00A405B6" w:rsidRDefault="00A405B6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EEA226" w14:textId="0DB2B790" w:rsidR="00A405B6" w:rsidRPr="00A405B6" w:rsidRDefault="00A405B6" w:rsidP="00A405B6">
      <w:pPr>
        <w:pStyle w:val="Heading3"/>
        <w:rPr>
          <w:rFonts w:eastAsia="Times New Roman"/>
          <w:u w:val="single"/>
        </w:rPr>
      </w:pPr>
      <w:r w:rsidRPr="00A405B6">
        <w:rPr>
          <w:rFonts w:eastAsia="Times New Roman"/>
          <w:u w:val="single"/>
          <w:lang w:eastAsia="bg-BG"/>
        </w:rPr>
        <w:t>Кърмене</w:t>
      </w:r>
    </w:p>
    <w:p w14:paraId="3FCF6DD0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Не е известно дали екземестан се отделя в кърмата. Не трябва да бъде прилаган при жени, които кърмят.</w:t>
      </w:r>
    </w:p>
    <w:p w14:paraId="7C27609F" w14:textId="77777777" w:rsidR="00A405B6" w:rsidRPr="00A405B6" w:rsidRDefault="00A405B6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B48E85" w14:textId="072045EE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t>Жени перименопаузален статус или с детероден потенциал</w:t>
      </w:r>
    </w:p>
    <w:p w14:paraId="10CC4283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Наложителна е адекватна контрацепция при жени, които имат потенциала да забременеят, включително такива, които са преди менопауза или които съвсем отскоро са в менопауза, докато настъпването на менопауза е напълно установено (виж раздели 4.3. и 4.4.).</w:t>
      </w:r>
    </w:p>
    <w:p w14:paraId="60C38224" w14:textId="77777777" w:rsidR="00A405B6" w:rsidRPr="00A405B6" w:rsidRDefault="00A405B6" w:rsidP="00A405B6"/>
    <w:p w14:paraId="064DF1DE" w14:textId="641C95AF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37A75622" w14:textId="29A01DFC" w:rsidR="00A405B6" w:rsidRDefault="00A405B6" w:rsidP="00A405B6"/>
    <w:p w14:paraId="53029B83" w14:textId="77777777" w:rsidR="00A405B6" w:rsidRPr="00A405B6" w:rsidRDefault="00A405B6" w:rsidP="00A405B6">
      <w:pPr>
        <w:rPr>
          <w:sz w:val="24"/>
          <w:szCs w:val="24"/>
        </w:rPr>
      </w:pPr>
      <w:r w:rsidRPr="00A405B6">
        <w:rPr>
          <w:lang w:eastAsia="bg-BG"/>
        </w:rPr>
        <w:t>Съобщава се за замаяност, сомнолентност, отпадналост и виене на свят при употреба на лекарствения продукт. Пациентите трябва да бъдат предупредени, че при поява на такива явления техните физически и/или психически способности, необходими за работа с машини или шофиране, могат да бъдат нарушени.</w:t>
      </w:r>
    </w:p>
    <w:p w14:paraId="7EAB18E5" w14:textId="77777777" w:rsidR="00A405B6" w:rsidRPr="00A405B6" w:rsidRDefault="00A405B6" w:rsidP="00A405B6"/>
    <w:p w14:paraId="37A3FD9F" w14:textId="2614E3C2" w:rsidR="00CF77F7" w:rsidRDefault="002C50EE" w:rsidP="004A448E">
      <w:pPr>
        <w:pStyle w:val="Heading2"/>
      </w:pPr>
      <w:r>
        <w:t>4.8. Нежелани лекарствени реакции</w:t>
      </w:r>
    </w:p>
    <w:p w14:paraId="0A7243ED" w14:textId="5CA48249" w:rsidR="00A405B6" w:rsidRDefault="00A405B6" w:rsidP="00A405B6"/>
    <w:p w14:paraId="3BBFE2E5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се е понасял добре във всички клинични проучвания, проведени с Екземестан в стандартна доза от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eastAsia="bg-BG"/>
        </w:rPr>
        <w:t>/дневно, като нежеланите събития обичайно са били леки до умерени.</w:t>
      </w:r>
    </w:p>
    <w:p w14:paraId="33D51DC2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704422" w14:textId="58223842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Честотата на прекъсване на лечението поради нежелани ефекти е била 7,4% при пациенти с ранен карцином на гърдата, провеждащи адювантно лечение с Екземестан след начално адювантно лечение с тамоксифен. Най-често съобщаваните нежелани лекарствени реакции са били горещи вълни (22%), артралгия (18%) и умора (16%).</w:t>
      </w:r>
    </w:p>
    <w:p w14:paraId="5E54D361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F29722" w14:textId="11E376E4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Честотата на прекъсване на лечението поради нежелани реакции е била 2,8% в общата популация пациенти с напреднал карцином на гърдата. Най-често съобщаваните нежелани лекарствени реакции са били горещи вълни (14%) и гадене (12%).</w:t>
      </w:r>
    </w:p>
    <w:p w14:paraId="264B6271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9CB177" w14:textId="773E262C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Повечето нежелани лекарствени реакции могат да бъдат приписани на нормалните фармакологични последствия на естрогенната депривация (напр., горещи вълни).</w:t>
      </w:r>
    </w:p>
    <w:p w14:paraId="358B69E6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511253" w14:textId="350C57A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Докладваните нежелани лекарствени реакции са изброени по-долу по органни системи и по честота.</w:t>
      </w:r>
    </w:p>
    <w:p w14:paraId="4FE24BA3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38C9CC" w14:textId="406A7A4A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Честотите се определят като: много чести (≥ 1/10); чести (≥ 1/100 до &lt; 1/10); нечести (≥1/1000 до &lt; 1/100); редки (≥1/10000 до &lt; 1/1000); много редки (&lt;1/10000), с неизвестна честота (не могат да се оценят от наличните данни).</w:t>
      </w:r>
    </w:p>
    <w:p w14:paraId="417FBE1E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35A29A89" w14:textId="377C957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Нарушения на кръвта и лимфната система:</w:t>
      </w:r>
    </w:p>
    <w:p w14:paraId="3A0F4453" w14:textId="30D91CE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Левкопения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(**)</w:t>
      </w:r>
    </w:p>
    <w:p w14:paraId="76BCF3B9" w14:textId="7CEF5089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Редки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Тромбоцитопения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(**)</w:t>
      </w:r>
    </w:p>
    <w:p w14:paraId="49DEFCAA" w14:textId="6729342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С неизвестна честота</w:t>
      </w:r>
      <w:r>
        <w:rPr>
          <w:rFonts w:eastAsia="Times New Roman" w:cs="Arial"/>
          <w:i/>
          <w:iCs/>
          <w:color w:val="000000"/>
          <w:lang w:eastAsia="bg-BG"/>
        </w:rPr>
        <w:t xml:space="preserve">- 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Намален брой на лимфоцитите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(**)</w:t>
      </w:r>
    </w:p>
    <w:p w14:paraId="2E270449" w14:textId="32C28899" w:rsidR="00A405B6" w:rsidRDefault="00A405B6" w:rsidP="00A405B6"/>
    <w:p w14:paraId="34AD4DEC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Нарушения на имунната система </w:t>
      </w:r>
    </w:p>
    <w:p w14:paraId="40A89CC6" w14:textId="3BC9C9E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Свръхчувствителност</w:t>
      </w:r>
    </w:p>
    <w:p w14:paraId="63E9A991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F932D5A" w14:textId="47535B7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Нарушения на метаболизма и храненето:</w:t>
      </w:r>
    </w:p>
    <w:p w14:paraId="6C3F8BDE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 w:rsidRPr="00A405B6">
        <w:rPr>
          <w:rFonts w:eastAsia="Times New Roman" w:cs="Arial"/>
          <w:color w:val="000000"/>
          <w:lang w:eastAsia="bg-BG"/>
        </w:rPr>
        <w:tab/>
        <w:t>Анорексия</w:t>
      </w:r>
    </w:p>
    <w:p w14:paraId="27D1215D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27494C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Психични нарушения:</w:t>
      </w:r>
    </w:p>
    <w:p w14:paraId="5CE5AA00" w14:textId="393DC0E4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 </w:t>
      </w: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>
        <w:rPr>
          <w:rFonts w:eastAsia="Times New Roman" w:cs="Arial"/>
          <w:i/>
          <w:iCs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Безсъние</w:t>
      </w:r>
    </w:p>
    <w:p w14:paraId="71B7A0A2" w14:textId="3C5C9952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 w:rsidRPr="00A405B6">
        <w:rPr>
          <w:rFonts w:eastAsia="Times New Roman" w:cs="Arial"/>
          <w:color w:val="000000"/>
          <w:lang w:eastAsia="bg-BG"/>
        </w:rPr>
        <w:tab/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Депресия</w:t>
      </w:r>
    </w:p>
    <w:p w14:paraId="31C4E22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8555C53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Нарушения на нервната система: </w:t>
      </w:r>
    </w:p>
    <w:p w14:paraId="2C9A5081" w14:textId="75412470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 w:rsidRPr="00A405B6">
        <w:rPr>
          <w:rFonts w:eastAsia="Times New Roman" w:cs="Arial"/>
          <w:color w:val="000000"/>
          <w:lang w:eastAsia="bg-BG"/>
        </w:rPr>
        <w:tab/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Главоболие</w:t>
      </w:r>
    </w:p>
    <w:p w14:paraId="370F1CD6" w14:textId="63531531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 w:rsidRPr="00A405B6">
        <w:rPr>
          <w:rFonts w:eastAsia="Times New Roman" w:cs="Arial"/>
          <w:color w:val="000000"/>
          <w:lang w:eastAsia="bg-BG"/>
        </w:rPr>
        <w:tab/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Замайване, синдром на карпалния канал, парестезия</w:t>
      </w:r>
    </w:p>
    <w:p w14:paraId="59D20B84" w14:textId="798D38E5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Сънливост</w:t>
      </w:r>
    </w:p>
    <w:p w14:paraId="3B195D7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7F0A30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Съдови нарушения: </w:t>
      </w:r>
    </w:p>
    <w:p w14:paraId="6A10B59F" w14:textId="6F9EB56A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 w:rsidRPr="00A405B6">
        <w:rPr>
          <w:rFonts w:eastAsia="Times New Roman" w:cs="Arial"/>
          <w:color w:val="000000"/>
          <w:lang w:eastAsia="bg-BG"/>
        </w:rPr>
        <w:tab/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Горещи вълни</w:t>
      </w:r>
    </w:p>
    <w:p w14:paraId="0294CC53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E147978" w14:textId="57235C32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Стомашно-чревни нарушения:</w:t>
      </w:r>
    </w:p>
    <w:p w14:paraId="1284A8DE" w14:textId="7941990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>
        <w:rPr>
          <w:rFonts w:eastAsia="Times New Roman" w:cs="Arial"/>
          <w:i/>
          <w:iCs/>
          <w:color w:val="000000"/>
          <w:lang w:eastAsia="bg-BG"/>
        </w:rPr>
        <w:t>-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Гадене</w:t>
      </w:r>
    </w:p>
    <w:p w14:paraId="064F0FF0" w14:textId="32CE49F0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>
        <w:rPr>
          <w:rFonts w:eastAsia="Times New Roman" w:cs="Arial"/>
          <w:i/>
          <w:iCs/>
          <w:color w:val="000000"/>
          <w:lang w:eastAsia="bg-BG"/>
        </w:rPr>
        <w:t>-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Коремни болки, повръщане, запек, диспепсия,</w:t>
      </w:r>
    </w:p>
    <w:p w14:paraId="22232203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диария</w:t>
      </w:r>
    </w:p>
    <w:p w14:paraId="439E188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38DC8CEE" w14:textId="216F3DAF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Хепатобилиарни нарушения:</w:t>
      </w:r>
    </w:p>
    <w:p w14:paraId="00175703" w14:textId="0402CF11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 -</w:t>
      </w:r>
      <w:r w:rsidRPr="00A405B6">
        <w:rPr>
          <w:rFonts w:eastAsia="Times New Roman" w:cs="Arial"/>
          <w:color w:val="000000"/>
          <w:lang w:eastAsia="bg-BG"/>
        </w:rPr>
        <w:t>Хепатит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(+)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eastAsia="bg-BG"/>
        </w:rPr>
        <w:t>холестатичен хепатит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(+)</w:t>
      </w:r>
      <w:r w:rsidRPr="00A405B6">
        <w:rPr>
          <w:rFonts w:eastAsia="Times New Roman" w:cs="Arial"/>
          <w:color w:val="000000"/>
          <w:lang w:eastAsia="bg-BG"/>
        </w:rPr>
        <w:t xml:space="preserve"> повишение на</w:t>
      </w:r>
    </w:p>
    <w:p w14:paraId="1A71CBAF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чернодробните ензими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(+)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eastAsia="bg-BG"/>
        </w:rPr>
        <w:t>увеличен билирубин в кръвта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(+)</w:t>
      </w:r>
      <w:r w:rsidRPr="00A405B6">
        <w:rPr>
          <w:rFonts w:eastAsia="Times New Roman" w:cs="Arial"/>
          <w:color w:val="000000"/>
          <w:lang w:eastAsia="bg-BG"/>
        </w:rPr>
        <w:t>, повишена алкална фосфатаза в кръвта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(+)</w:t>
      </w:r>
    </w:p>
    <w:p w14:paraId="5EF9EC5A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0A1A3356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Нарушения на кожата и подкожната тъкан: </w:t>
      </w:r>
    </w:p>
    <w:p w14:paraId="1A9FB7E5" w14:textId="0D29F309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Повишено изпотяване</w:t>
      </w:r>
    </w:p>
    <w:p w14:paraId="7C5E799D" w14:textId="2262410A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 w:rsidRPr="00A405B6">
        <w:rPr>
          <w:rFonts w:eastAsia="Times New Roman" w:cs="Arial"/>
          <w:color w:val="000000"/>
          <w:lang w:eastAsia="bg-BG"/>
        </w:rPr>
        <w:tab/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Обрив, алопеция, уртикария, сърбеж</w:t>
      </w:r>
    </w:p>
    <w:p w14:paraId="4F6C773C" w14:textId="582F462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Остра генерализирана екзантематозна пустулоза(+)</w:t>
      </w:r>
    </w:p>
    <w:p w14:paraId="36D644DA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B20C34A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Нарушения на мускулно-скелетната система и съединителната тъкан</w:t>
      </w:r>
    </w:p>
    <w:p w14:paraId="0F272286" w14:textId="0C8678AE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>
        <w:rPr>
          <w:rFonts w:eastAsia="Times New Roman" w:cs="Arial"/>
          <w:i/>
          <w:iCs/>
          <w:color w:val="000000"/>
          <w:lang w:eastAsia="bg-BG"/>
        </w:rPr>
        <w:t>-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Ставни и мускулно-скелетни болки</w:t>
      </w:r>
      <w:r w:rsidRPr="00A405B6">
        <w:rPr>
          <w:rFonts w:eastAsia="Times New Roman" w:cs="Arial"/>
          <w:color w:val="000000"/>
          <w:vertAlign w:val="superscript"/>
          <w:lang w:eastAsia="bg-BG"/>
        </w:rPr>
        <w:t>(*)</w:t>
      </w:r>
    </w:p>
    <w:p w14:paraId="6B642D78" w14:textId="3B2A1050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lastRenderedPageBreak/>
        <w:t>Чести</w:t>
      </w:r>
      <w:r>
        <w:rPr>
          <w:rFonts w:eastAsia="Times New Roman" w:cs="Arial"/>
          <w:i/>
          <w:iCs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Остеопороза, фрактури</w:t>
      </w:r>
    </w:p>
    <w:p w14:paraId="1420657B" w14:textId="77777777" w:rsidR="00A405B6" w:rsidRDefault="00A405B6" w:rsidP="00A405B6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D3136AC" w14:textId="57C0A254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b/>
          <w:bCs/>
          <w:i/>
          <w:iCs/>
          <w:color w:val="000000"/>
          <w:lang w:eastAsia="bg-BG"/>
        </w:rPr>
        <w:t>Общ и нарушения и ефекти на мястото на приложение:</w:t>
      </w:r>
    </w:p>
    <w:p w14:paraId="640B5BD8" w14:textId="1002F30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Много чести</w:t>
      </w:r>
      <w:r>
        <w:rPr>
          <w:rFonts w:eastAsia="Times New Roman" w:cs="Arial"/>
          <w:i/>
          <w:iCs/>
          <w:color w:val="000000"/>
          <w:lang w:eastAsia="bg-BG"/>
        </w:rPr>
        <w:t>-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Отпадналост</w:t>
      </w:r>
    </w:p>
    <w:p w14:paraId="22CF54F2" w14:textId="661A0762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Чести</w:t>
      </w:r>
      <w:r>
        <w:rPr>
          <w:rFonts w:eastAsia="Times New Roman" w:cs="Arial"/>
          <w:i/>
          <w:iCs/>
          <w:color w:val="000000"/>
          <w:lang w:eastAsia="bg-BG"/>
        </w:rPr>
        <w:t>-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Болка, периферен оток</w:t>
      </w:r>
    </w:p>
    <w:p w14:paraId="06FA9BD6" w14:textId="35B0BA0C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i/>
          <w:iCs/>
          <w:color w:val="000000"/>
          <w:lang w:eastAsia="bg-BG"/>
        </w:rPr>
        <w:t>Нечести</w:t>
      </w:r>
      <w:r>
        <w:rPr>
          <w:rFonts w:eastAsia="Times New Roman" w:cs="Arial"/>
          <w:color w:val="000000"/>
          <w:lang w:eastAsia="bg-BG"/>
        </w:rPr>
        <w:t xml:space="preserve">- </w:t>
      </w:r>
      <w:r w:rsidRPr="00A405B6">
        <w:rPr>
          <w:rFonts w:eastAsia="Times New Roman" w:cs="Arial"/>
          <w:color w:val="000000"/>
          <w:lang w:eastAsia="bg-BG"/>
        </w:rPr>
        <w:t>Астения</w:t>
      </w:r>
    </w:p>
    <w:p w14:paraId="03556BB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392500" w14:textId="1E1F2074" w:rsidR="00A405B6" w:rsidRPr="00A405B6" w:rsidRDefault="00A405B6" w:rsidP="00A405B6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(*)</w:t>
      </w:r>
      <w:r w:rsidRPr="00A405B6">
        <w:rPr>
          <w:rFonts w:eastAsia="Times New Roman" w:cs="Arial"/>
          <w:color w:val="000000"/>
          <w:lang w:eastAsia="bg-BG"/>
        </w:rPr>
        <w:t>Включва: артралгия и по-рядко болка в крайниците, остеоартрит, болки в гърба, артрит, миалгия и скованост на ставите</w:t>
      </w:r>
    </w:p>
    <w:p w14:paraId="700EDFBC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629886" w14:textId="77777777" w:rsidR="00A405B6" w:rsidRPr="00A405B6" w:rsidRDefault="00A405B6" w:rsidP="00A405B6">
      <w:pPr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(**) При пациенти с напреднал рак на гърдата, тромбоцитопения и левкопения са съобщавани рядко. Спорадично се наблюдава намаляване на лимфоцитите в приблизително 20% от пациентите,получаващи Екземестан, особено при пациенти с предшестваща лимфопения въпреки това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средните стойности на лимфоцитите при тези пациенти не се променят значително с течение на времето и не се наблюдава съответстващо увеличението на вирусните инфекции. Тези ефекти не са наблюдавани при пациенти, лекувани от на рак на гърдата.</w:t>
      </w:r>
    </w:p>
    <w:p w14:paraId="33A6F7B4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val="ru-RU"/>
        </w:rPr>
      </w:pPr>
    </w:p>
    <w:p w14:paraId="17822985" w14:textId="62C17B60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val="ru-RU"/>
        </w:rPr>
        <w:t>(+</w:t>
      </w:r>
      <w:r w:rsidRPr="00A405B6">
        <w:rPr>
          <w:rFonts w:eastAsia="Times New Roman" w:cs="Arial"/>
          <w:color w:val="000000"/>
          <w:lang w:eastAsia="bg-BG"/>
        </w:rPr>
        <w:t>) Честотата е изчислена на принципа на 3/Х</w:t>
      </w:r>
    </w:p>
    <w:p w14:paraId="7C74E90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7F88D0" w14:textId="2779887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Таблицата по-долу представя честотата на предварително определените нежелани реакции и заболявания в проучването за ранен рак на гърдата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IES</w:t>
      </w:r>
      <w:r w:rsidRPr="00A405B6">
        <w:rPr>
          <w:rFonts w:eastAsia="Times New Roman" w:cs="Arial"/>
          <w:color w:val="000000"/>
          <w:lang w:val="ru-RU"/>
        </w:rPr>
        <w:t xml:space="preserve">), </w:t>
      </w:r>
      <w:r w:rsidRPr="00A405B6">
        <w:rPr>
          <w:rFonts w:eastAsia="Times New Roman" w:cs="Arial"/>
          <w:color w:val="000000"/>
          <w:lang w:eastAsia="bg-BG"/>
        </w:rPr>
        <w:t>независимо от причинно-следствената връзка, които са съобщени при пациенти, получаващи изпитваната терапия и до 30 дни след спиране на изпитваната терапия.</w:t>
      </w:r>
    </w:p>
    <w:p w14:paraId="6BFF138C" w14:textId="2C1DEE9E" w:rsidR="00A405B6" w:rsidRDefault="00A405B6" w:rsidP="00A405B6">
      <w:pPr>
        <w:spacing w:line="240" w:lineRule="auto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108"/>
        <w:gridCol w:w="3101"/>
      </w:tblGrid>
      <w:tr w:rsidR="00A405B6" w14:paraId="25F35439" w14:textId="77777777" w:rsidTr="00A405B6">
        <w:tc>
          <w:tcPr>
            <w:tcW w:w="3192" w:type="dxa"/>
          </w:tcPr>
          <w:p w14:paraId="0D809DC7" w14:textId="4ED519A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  <w:b/>
                <w:bCs/>
              </w:rPr>
              <w:t>Нежелани реакции и заболявания</w:t>
            </w:r>
          </w:p>
        </w:tc>
        <w:tc>
          <w:tcPr>
            <w:tcW w:w="3192" w:type="dxa"/>
          </w:tcPr>
          <w:p w14:paraId="60472CAF" w14:textId="77777777" w:rsidR="00A405B6" w:rsidRPr="00A405B6" w:rsidRDefault="00A405B6" w:rsidP="00A405B6">
            <w:pPr>
              <w:rPr>
                <w:rFonts w:cs="Arial"/>
              </w:rPr>
            </w:pPr>
            <w:r w:rsidRPr="00A405B6">
              <w:rPr>
                <w:rFonts w:cs="Arial"/>
                <w:b/>
                <w:bCs/>
                <w:lang w:val="en-US"/>
              </w:rPr>
              <w:t>Exemestane</w:t>
            </w:r>
          </w:p>
          <w:p w14:paraId="1A318EFF" w14:textId="258A14C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  <w:b/>
                <w:bCs/>
                <w:lang w:val="en-US"/>
              </w:rPr>
              <w:t xml:space="preserve">(N </w:t>
            </w:r>
            <w:r w:rsidRPr="00A405B6">
              <w:rPr>
                <w:rFonts w:cs="Arial"/>
                <w:b/>
                <w:bCs/>
              </w:rPr>
              <w:t>= 2249)</w:t>
            </w:r>
          </w:p>
        </w:tc>
        <w:tc>
          <w:tcPr>
            <w:tcW w:w="3192" w:type="dxa"/>
          </w:tcPr>
          <w:p w14:paraId="3D4D1DDE" w14:textId="77777777" w:rsidR="00A405B6" w:rsidRPr="00A405B6" w:rsidRDefault="00A405B6" w:rsidP="00A405B6">
            <w:pPr>
              <w:rPr>
                <w:rFonts w:cs="Arial"/>
              </w:rPr>
            </w:pPr>
            <w:r w:rsidRPr="00A405B6">
              <w:rPr>
                <w:rFonts w:cs="Arial"/>
                <w:b/>
                <w:bCs/>
                <w:lang w:val="en-US"/>
              </w:rPr>
              <w:t>Tamoxifen</w:t>
            </w:r>
          </w:p>
          <w:p w14:paraId="7A478CD9" w14:textId="527FB13A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  <w:b/>
                <w:bCs/>
                <w:lang w:val="en-US"/>
              </w:rPr>
              <w:t xml:space="preserve">(N </w:t>
            </w:r>
            <w:r w:rsidRPr="00A405B6">
              <w:rPr>
                <w:rFonts w:cs="Arial"/>
                <w:b/>
                <w:bCs/>
              </w:rPr>
              <w:t>= 2279)</w:t>
            </w:r>
          </w:p>
        </w:tc>
      </w:tr>
      <w:tr w:rsidR="00A405B6" w14:paraId="184160F4" w14:textId="77777777" w:rsidTr="00A405B6">
        <w:tc>
          <w:tcPr>
            <w:tcW w:w="3192" w:type="dxa"/>
          </w:tcPr>
          <w:p w14:paraId="02F2DE0F" w14:textId="07BEE746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Горещи вълни</w:t>
            </w:r>
          </w:p>
        </w:tc>
        <w:tc>
          <w:tcPr>
            <w:tcW w:w="3192" w:type="dxa"/>
          </w:tcPr>
          <w:p w14:paraId="3A3DA6A3" w14:textId="41BB1CCE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491 (21.8%)</w:t>
            </w:r>
          </w:p>
        </w:tc>
        <w:tc>
          <w:tcPr>
            <w:tcW w:w="3192" w:type="dxa"/>
          </w:tcPr>
          <w:p w14:paraId="6A2E961A" w14:textId="424CE367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457 (20.1%)</w:t>
            </w:r>
          </w:p>
        </w:tc>
      </w:tr>
      <w:tr w:rsidR="00A405B6" w14:paraId="25F029F0" w14:textId="77777777" w:rsidTr="00A405B6">
        <w:tc>
          <w:tcPr>
            <w:tcW w:w="3192" w:type="dxa"/>
          </w:tcPr>
          <w:p w14:paraId="1F312DA2" w14:textId="1ABCB4B8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Уморяемост</w:t>
            </w:r>
          </w:p>
        </w:tc>
        <w:tc>
          <w:tcPr>
            <w:tcW w:w="3192" w:type="dxa"/>
          </w:tcPr>
          <w:p w14:paraId="3CB07425" w14:textId="546DC99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367 (16.3%)</w:t>
            </w:r>
          </w:p>
        </w:tc>
        <w:tc>
          <w:tcPr>
            <w:tcW w:w="3192" w:type="dxa"/>
          </w:tcPr>
          <w:p w14:paraId="5864968B" w14:textId="12DA8789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344(15.1%)</w:t>
            </w:r>
          </w:p>
        </w:tc>
      </w:tr>
      <w:tr w:rsidR="00A405B6" w14:paraId="2CE42F1A" w14:textId="77777777" w:rsidTr="00A405B6">
        <w:tc>
          <w:tcPr>
            <w:tcW w:w="3192" w:type="dxa"/>
          </w:tcPr>
          <w:p w14:paraId="0985B50E" w14:textId="648E4DA9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Главоболие</w:t>
            </w:r>
          </w:p>
        </w:tc>
        <w:tc>
          <w:tcPr>
            <w:tcW w:w="3192" w:type="dxa"/>
          </w:tcPr>
          <w:p w14:paraId="697F9DE5" w14:textId="424643C1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305 (13.6%)</w:t>
            </w:r>
          </w:p>
        </w:tc>
        <w:tc>
          <w:tcPr>
            <w:tcW w:w="3192" w:type="dxa"/>
          </w:tcPr>
          <w:p w14:paraId="5FD942CA" w14:textId="1CA22A84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255(11.2%)</w:t>
            </w:r>
          </w:p>
        </w:tc>
      </w:tr>
      <w:tr w:rsidR="00A405B6" w14:paraId="37C87CFB" w14:textId="77777777" w:rsidTr="00A405B6">
        <w:tc>
          <w:tcPr>
            <w:tcW w:w="3192" w:type="dxa"/>
          </w:tcPr>
          <w:p w14:paraId="48EFCB9E" w14:textId="1445D6E8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Безсъние</w:t>
            </w:r>
          </w:p>
        </w:tc>
        <w:tc>
          <w:tcPr>
            <w:tcW w:w="3192" w:type="dxa"/>
          </w:tcPr>
          <w:p w14:paraId="326337B4" w14:textId="56524AA9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290(12.9%)</w:t>
            </w:r>
          </w:p>
        </w:tc>
        <w:tc>
          <w:tcPr>
            <w:tcW w:w="3192" w:type="dxa"/>
          </w:tcPr>
          <w:p w14:paraId="235CBCEC" w14:textId="2E072111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204 (9.0%)</w:t>
            </w:r>
          </w:p>
        </w:tc>
      </w:tr>
      <w:tr w:rsidR="00A405B6" w14:paraId="148DD63E" w14:textId="77777777" w:rsidTr="00A405B6">
        <w:tc>
          <w:tcPr>
            <w:tcW w:w="3192" w:type="dxa"/>
          </w:tcPr>
          <w:p w14:paraId="216F7B75" w14:textId="628C63B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Повишено потене</w:t>
            </w:r>
          </w:p>
        </w:tc>
        <w:tc>
          <w:tcPr>
            <w:tcW w:w="3192" w:type="dxa"/>
          </w:tcPr>
          <w:p w14:paraId="4CDFFBEA" w14:textId="3ED940F6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270(12.0%)</w:t>
            </w:r>
          </w:p>
        </w:tc>
        <w:tc>
          <w:tcPr>
            <w:tcW w:w="3192" w:type="dxa"/>
          </w:tcPr>
          <w:p w14:paraId="47D013A1" w14:textId="2F9DF808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242 (10.6%)</w:t>
            </w:r>
          </w:p>
        </w:tc>
      </w:tr>
      <w:tr w:rsidR="00A405B6" w14:paraId="5D558DAA" w14:textId="77777777" w:rsidTr="00A405B6">
        <w:tc>
          <w:tcPr>
            <w:tcW w:w="3192" w:type="dxa"/>
          </w:tcPr>
          <w:p w14:paraId="2060B854" w14:textId="5A411C8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Гинекологични</w:t>
            </w:r>
          </w:p>
        </w:tc>
        <w:tc>
          <w:tcPr>
            <w:tcW w:w="3192" w:type="dxa"/>
          </w:tcPr>
          <w:p w14:paraId="398C4402" w14:textId="0EEF534A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235(10.5%)</w:t>
            </w:r>
          </w:p>
        </w:tc>
        <w:tc>
          <w:tcPr>
            <w:tcW w:w="3192" w:type="dxa"/>
          </w:tcPr>
          <w:p w14:paraId="5519E43B" w14:textId="0E5AE9DE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340(14.9%)</w:t>
            </w:r>
          </w:p>
        </w:tc>
      </w:tr>
      <w:tr w:rsidR="00A405B6" w14:paraId="7DE3802C" w14:textId="77777777" w:rsidTr="00A405B6">
        <w:tc>
          <w:tcPr>
            <w:tcW w:w="3192" w:type="dxa"/>
          </w:tcPr>
          <w:p w14:paraId="3628919E" w14:textId="50CAB507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Световъртеж</w:t>
            </w:r>
          </w:p>
        </w:tc>
        <w:tc>
          <w:tcPr>
            <w:tcW w:w="3192" w:type="dxa"/>
          </w:tcPr>
          <w:p w14:paraId="4D673297" w14:textId="0B8F9D0C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224 (10.0%)</w:t>
            </w:r>
          </w:p>
        </w:tc>
        <w:tc>
          <w:tcPr>
            <w:tcW w:w="3192" w:type="dxa"/>
          </w:tcPr>
          <w:p w14:paraId="0B0C9CAE" w14:textId="1F887E1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200 (8.8%)</w:t>
            </w:r>
          </w:p>
        </w:tc>
      </w:tr>
      <w:tr w:rsidR="00A405B6" w14:paraId="1DCE0297" w14:textId="77777777" w:rsidTr="00A405B6">
        <w:tc>
          <w:tcPr>
            <w:tcW w:w="3192" w:type="dxa"/>
          </w:tcPr>
          <w:p w14:paraId="1BB90455" w14:textId="525B3DE8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Гадене</w:t>
            </w:r>
          </w:p>
        </w:tc>
        <w:tc>
          <w:tcPr>
            <w:tcW w:w="3192" w:type="dxa"/>
          </w:tcPr>
          <w:p w14:paraId="23E7FD88" w14:textId="1162D489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200 (8.9%)</w:t>
            </w:r>
          </w:p>
        </w:tc>
        <w:tc>
          <w:tcPr>
            <w:tcW w:w="3192" w:type="dxa"/>
          </w:tcPr>
          <w:p w14:paraId="15F61D48" w14:textId="17804AC9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208 (9.1%)</w:t>
            </w:r>
          </w:p>
        </w:tc>
      </w:tr>
      <w:tr w:rsidR="00A405B6" w14:paraId="49859008" w14:textId="77777777" w:rsidTr="00A405B6">
        <w:tc>
          <w:tcPr>
            <w:tcW w:w="3192" w:type="dxa"/>
          </w:tcPr>
          <w:p w14:paraId="03460D83" w14:textId="2FC1D1A5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Остеопороза</w:t>
            </w:r>
          </w:p>
        </w:tc>
        <w:tc>
          <w:tcPr>
            <w:tcW w:w="3192" w:type="dxa"/>
          </w:tcPr>
          <w:p w14:paraId="318105F9" w14:textId="39946B8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116(5.2%)</w:t>
            </w:r>
          </w:p>
        </w:tc>
        <w:tc>
          <w:tcPr>
            <w:tcW w:w="3192" w:type="dxa"/>
          </w:tcPr>
          <w:p w14:paraId="3DCF01D1" w14:textId="0DECEF0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66 (2.9%)</w:t>
            </w:r>
          </w:p>
        </w:tc>
      </w:tr>
      <w:tr w:rsidR="00A405B6" w14:paraId="3DD16D82" w14:textId="77777777" w:rsidTr="00A405B6">
        <w:tc>
          <w:tcPr>
            <w:tcW w:w="3192" w:type="dxa"/>
          </w:tcPr>
          <w:p w14:paraId="23F36C55" w14:textId="559BD8F5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Вагинално кървене</w:t>
            </w:r>
          </w:p>
        </w:tc>
        <w:tc>
          <w:tcPr>
            <w:tcW w:w="3192" w:type="dxa"/>
          </w:tcPr>
          <w:p w14:paraId="4C8FC229" w14:textId="56DF05EB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90 (4.0%)</w:t>
            </w:r>
          </w:p>
        </w:tc>
        <w:tc>
          <w:tcPr>
            <w:tcW w:w="3192" w:type="dxa"/>
          </w:tcPr>
          <w:p w14:paraId="42186B19" w14:textId="44F2FD2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121 (5.3%)</w:t>
            </w:r>
          </w:p>
        </w:tc>
      </w:tr>
      <w:tr w:rsidR="00A405B6" w14:paraId="59C23A14" w14:textId="77777777" w:rsidTr="00A405B6">
        <w:tc>
          <w:tcPr>
            <w:tcW w:w="3192" w:type="dxa"/>
          </w:tcPr>
          <w:p w14:paraId="2662DC62" w14:textId="38E7D4BC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Друг първичен рак</w:t>
            </w:r>
          </w:p>
        </w:tc>
        <w:tc>
          <w:tcPr>
            <w:tcW w:w="3192" w:type="dxa"/>
          </w:tcPr>
          <w:p w14:paraId="39AD725F" w14:textId="30D8EFEA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84 (3.6%)</w:t>
            </w:r>
          </w:p>
        </w:tc>
        <w:tc>
          <w:tcPr>
            <w:tcW w:w="3192" w:type="dxa"/>
          </w:tcPr>
          <w:p w14:paraId="4E096706" w14:textId="0D789FA7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125 (5.3%)</w:t>
            </w:r>
          </w:p>
        </w:tc>
      </w:tr>
      <w:tr w:rsidR="00A405B6" w14:paraId="16918A07" w14:textId="77777777" w:rsidTr="00A405B6">
        <w:tc>
          <w:tcPr>
            <w:tcW w:w="3192" w:type="dxa"/>
          </w:tcPr>
          <w:p w14:paraId="0B3AF67F" w14:textId="6791939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Повръщане</w:t>
            </w:r>
          </w:p>
        </w:tc>
        <w:tc>
          <w:tcPr>
            <w:tcW w:w="3192" w:type="dxa"/>
          </w:tcPr>
          <w:p w14:paraId="700F28D2" w14:textId="56D91F5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50 (2.2%)</w:t>
            </w:r>
          </w:p>
        </w:tc>
        <w:tc>
          <w:tcPr>
            <w:tcW w:w="3192" w:type="dxa"/>
          </w:tcPr>
          <w:p w14:paraId="109DF375" w14:textId="6293371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54 (2.4%)</w:t>
            </w:r>
          </w:p>
        </w:tc>
      </w:tr>
      <w:tr w:rsidR="00A405B6" w14:paraId="6CC24F4D" w14:textId="77777777" w:rsidTr="00A405B6">
        <w:tc>
          <w:tcPr>
            <w:tcW w:w="3192" w:type="dxa"/>
          </w:tcPr>
          <w:p w14:paraId="6868DCB2" w14:textId="44B69227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Зрителни нарушения</w:t>
            </w:r>
          </w:p>
        </w:tc>
        <w:tc>
          <w:tcPr>
            <w:tcW w:w="3192" w:type="dxa"/>
          </w:tcPr>
          <w:p w14:paraId="19E794AC" w14:textId="2B11BF9B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45 (2.0%)</w:t>
            </w:r>
          </w:p>
        </w:tc>
        <w:tc>
          <w:tcPr>
            <w:tcW w:w="3192" w:type="dxa"/>
          </w:tcPr>
          <w:p w14:paraId="643F5590" w14:textId="62F06430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53 (2.3%)</w:t>
            </w:r>
          </w:p>
        </w:tc>
      </w:tr>
      <w:tr w:rsidR="00A405B6" w14:paraId="46742D25" w14:textId="77777777" w:rsidTr="00A405B6">
        <w:tc>
          <w:tcPr>
            <w:tcW w:w="3192" w:type="dxa"/>
          </w:tcPr>
          <w:p w14:paraId="75691C94" w14:textId="3B407F32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Тромбоемболизъм</w:t>
            </w:r>
          </w:p>
        </w:tc>
        <w:tc>
          <w:tcPr>
            <w:tcW w:w="3192" w:type="dxa"/>
          </w:tcPr>
          <w:p w14:paraId="5C7A5146" w14:textId="345C815F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16(0.7%)</w:t>
            </w:r>
          </w:p>
        </w:tc>
        <w:tc>
          <w:tcPr>
            <w:tcW w:w="3192" w:type="dxa"/>
          </w:tcPr>
          <w:p w14:paraId="5B8CDFD7" w14:textId="5BDBFC0B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42(1.8%)</w:t>
            </w:r>
          </w:p>
        </w:tc>
      </w:tr>
      <w:tr w:rsidR="00A405B6" w14:paraId="7DB68273" w14:textId="77777777" w:rsidTr="00A405B6">
        <w:tc>
          <w:tcPr>
            <w:tcW w:w="3192" w:type="dxa"/>
          </w:tcPr>
          <w:p w14:paraId="71F4CFD0" w14:textId="2161065E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Остеопоротична фрактура</w:t>
            </w:r>
          </w:p>
        </w:tc>
        <w:tc>
          <w:tcPr>
            <w:tcW w:w="3192" w:type="dxa"/>
          </w:tcPr>
          <w:p w14:paraId="57D54391" w14:textId="223E0BDB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14 (0.6%)</w:t>
            </w:r>
          </w:p>
        </w:tc>
        <w:tc>
          <w:tcPr>
            <w:tcW w:w="3192" w:type="dxa"/>
          </w:tcPr>
          <w:p w14:paraId="2B8DE5D2" w14:textId="4159A3E1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12 (0.5%)</w:t>
            </w:r>
          </w:p>
        </w:tc>
      </w:tr>
      <w:tr w:rsidR="00A405B6" w14:paraId="70567B35" w14:textId="77777777" w:rsidTr="00A405B6">
        <w:tc>
          <w:tcPr>
            <w:tcW w:w="3192" w:type="dxa"/>
          </w:tcPr>
          <w:p w14:paraId="5DB77BD3" w14:textId="26F0C7FB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Миокарден инфаркт</w:t>
            </w:r>
          </w:p>
        </w:tc>
        <w:tc>
          <w:tcPr>
            <w:tcW w:w="3192" w:type="dxa"/>
          </w:tcPr>
          <w:p w14:paraId="631625D7" w14:textId="7E34A878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13 (0.6%)</w:t>
            </w:r>
          </w:p>
        </w:tc>
        <w:tc>
          <w:tcPr>
            <w:tcW w:w="3192" w:type="dxa"/>
          </w:tcPr>
          <w:p w14:paraId="63B6A14A" w14:textId="452FFDF4" w:rsidR="00A405B6" w:rsidRPr="00A405B6" w:rsidRDefault="00A405B6" w:rsidP="00A405B6">
            <w:pPr>
              <w:spacing w:line="240" w:lineRule="auto"/>
              <w:rPr>
                <w:rFonts w:eastAsia="Times New Roman" w:cs="Arial"/>
              </w:rPr>
            </w:pPr>
            <w:r w:rsidRPr="00A405B6">
              <w:rPr>
                <w:rFonts w:cs="Arial"/>
              </w:rPr>
              <w:t>4 (0.2%)</w:t>
            </w:r>
          </w:p>
        </w:tc>
      </w:tr>
    </w:tbl>
    <w:p w14:paraId="1357FB24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</w:p>
    <w:p w14:paraId="71145E3D" w14:textId="2B8DB930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проучването </w:t>
      </w:r>
      <w:r w:rsidRPr="00A405B6">
        <w:rPr>
          <w:rFonts w:eastAsia="Times New Roman" w:cs="Arial"/>
          <w:color w:val="000000"/>
          <w:lang w:val="en-US"/>
        </w:rPr>
        <w:t>IES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честотата на исхемичните сърдечни инциденти в терапевтичните рамена с екземестан и тамоксифен е била съответно 4,5% спрямо 4,2%. Не е била отбелязана значима разлика за някой отделен сърдечно-съдов инцидент, включително хипертония (9,9% спрямо 8,4%),</w:t>
      </w:r>
      <w:r w:rsidRPr="00A405B6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инфаркт на миокарда (0,6% спрямо 0,2%) и сърдеч</w:t>
      </w:r>
      <w:r>
        <w:rPr>
          <w:rFonts w:eastAsia="Times New Roman" w:cs="Arial"/>
          <w:color w:val="000000"/>
          <w:lang w:eastAsia="bg-BG"/>
        </w:rPr>
        <w:t>на недостатъчност (1,1% спрямо 0</w:t>
      </w:r>
      <w:r w:rsidRPr="00A405B6">
        <w:rPr>
          <w:rFonts w:eastAsia="Times New Roman" w:cs="Arial"/>
          <w:color w:val="000000"/>
          <w:lang w:eastAsia="bg-BG"/>
        </w:rPr>
        <w:t>,7%)</w:t>
      </w:r>
    </w:p>
    <w:p w14:paraId="26251EC7" w14:textId="77777777" w:rsidR="00A405B6" w:rsidRPr="00A405B6" w:rsidRDefault="00A405B6" w:rsidP="00A405B6">
      <w:pPr>
        <w:rPr>
          <w:rFonts w:eastAsia="Times New Roman" w:cs="Arial"/>
          <w:color w:val="000000"/>
          <w:lang w:eastAsia="bg-BG"/>
        </w:rPr>
      </w:pPr>
    </w:p>
    <w:p w14:paraId="7CCCCB11" w14:textId="45D0DFEF" w:rsidR="00A405B6" w:rsidRPr="00A405B6" w:rsidRDefault="00A405B6" w:rsidP="00A405B6">
      <w:pPr>
        <w:rPr>
          <w:rFonts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проучването </w:t>
      </w:r>
      <w:r w:rsidRPr="00A405B6">
        <w:rPr>
          <w:rFonts w:eastAsia="Times New Roman" w:cs="Arial"/>
          <w:color w:val="000000"/>
          <w:lang w:val="en-US"/>
        </w:rPr>
        <w:t>IES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екземестан е бил свързан с повишен брой случаи на хиперхолестеролемия в </w:t>
      </w:r>
      <w:r w:rsidRPr="00A405B6">
        <w:rPr>
          <w:rFonts w:cs="Arial"/>
        </w:rPr>
        <w:t>сравнение с тамоксифен ( 3.7 % срещу 2.1 %).</w:t>
      </w:r>
    </w:p>
    <w:p w14:paraId="792BA531" w14:textId="1A6D530C" w:rsidR="00A405B6" w:rsidRPr="00A405B6" w:rsidRDefault="00A405B6" w:rsidP="00A405B6">
      <w:pPr>
        <w:rPr>
          <w:rFonts w:cs="Arial"/>
        </w:rPr>
      </w:pPr>
    </w:p>
    <w:p w14:paraId="739BC5E4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отделно двойно сляпо рандомизирано проучване на жени в менопауза с ранен рак на гърдата с нисък риск, третирани с екземестан ( </w:t>
      </w:r>
      <w:r w:rsidRPr="00A405B6">
        <w:rPr>
          <w:rFonts w:eastAsia="Times New Roman" w:cs="Arial"/>
          <w:color w:val="000000"/>
          <w:lang w:val="en-US"/>
        </w:rPr>
        <w:t>N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= 73 ) или плацебо (</w:t>
      </w:r>
      <w:r w:rsidRPr="00A405B6">
        <w:rPr>
          <w:rFonts w:eastAsia="Times New Roman" w:cs="Arial"/>
          <w:color w:val="000000"/>
          <w:lang w:val="en-US"/>
        </w:rPr>
        <w:t>N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= 73 ) в продължение на 24 месеца, екземестан е бил свързан средно с около 7-9% редукция на плазмения </w:t>
      </w:r>
      <w:r w:rsidRPr="00A405B6">
        <w:rPr>
          <w:rFonts w:eastAsia="Times New Roman" w:cs="Arial"/>
          <w:color w:val="000000"/>
          <w:lang w:val="en-US"/>
        </w:rPr>
        <w:t>HDL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- холестерол в сравнение с 1% повишение при плацебо. Наблюдава се също и 5-6 % редукция на аполипопротеин А1 в групата на екземестан срещу 0-2% при тази на плацебо. Ефектът върху другите анализирани липидни параметри (общ холестерол, </w:t>
      </w:r>
      <w:r w:rsidRPr="00A405B6">
        <w:rPr>
          <w:rFonts w:eastAsia="Times New Roman" w:cs="Arial"/>
          <w:color w:val="000000"/>
          <w:lang w:val="en-US"/>
        </w:rPr>
        <w:t>LDL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холестерол, триглицериди, аполипопротеин - В и липопротеин - а) е бил подобен в двете третирани групи. Клиничната значимост на тези резултати е неясна.</w:t>
      </w:r>
    </w:p>
    <w:p w14:paraId="426D1D0A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03BC2E" w14:textId="77062958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проучването </w:t>
      </w:r>
      <w:r w:rsidRPr="00A405B6">
        <w:rPr>
          <w:rFonts w:eastAsia="Times New Roman" w:cs="Arial"/>
          <w:color w:val="000000"/>
          <w:lang w:val="en-US"/>
        </w:rPr>
        <w:t>IES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е наблюдавана язва на стомаха с малко по-висока честота в рамото с екземестан в сравнение с тамоксифен (0,7% срещу &lt; 0,1%). По-голямата част от пациентите на екземестан с язва на стомаха са получавали съпътстващо лечение с нестероидни противовъзпалителни средства и/или са имали предходна анамнеза.</w:t>
      </w:r>
    </w:p>
    <w:p w14:paraId="68D116F0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C571065" w14:textId="6EFFDD13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31CCACE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329D320E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5396083E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ул.,Дамян Груев” № 8</w:t>
      </w:r>
    </w:p>
    <w:p w14:paraId="3DC72577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1303 София</w:t>
      </w:r>
    </w:p>
    <w:p w14:paraId="5265611B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405B6">
        <w:rPr>
          <w:rFonts w:eastAsia="Times New Roman" w:cs="Arial"/>
          <w:color w:val="000000"/>
          <w:lang w:eastAsia="bg-BG"/>
        </w:rPr>
        <w:t xml:space="preserve">Тел.: +359 2 8903417 </w:t>
      </w:r>
    </w:p>
    <w:p w14:paraId="1BF51223" w14:textId="3869EAE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A405B6">
          <w:rPr>
            <w:rFonts w:eastAsia="Times New Roman" w:cs="Arial"/>
            <w:color w:val="000000"/>
            <w:u w:val="single"/>
            <w:lang w:val="en-US"/>
          </w:rPr>
          <w:t>www</w:t>
        </w:r>
        <w:r w:rsidRPr="00A405B6">
          <w:rPr>
            <w:rFonts w:eastAsia="Times New Roman" w:cs="Arial"/>
            <w:color w:val="000000"/>
            <w:u w:val="single"/>
            <w:lang w:val="ru-RU"/>
          </w:rPr>
          <w:t>.</w:t>
        </w:r>
        <w:r w:rsidRPr="00A405B6">
          <w:rPr>
            <w:rFonts w:eastAsia="Times New Roman" w:cs="Arial"/>
            <w:color w:val="000000"/>
            <w:u w:val="single"/>
            <w:lang w:val="en-US"/>
          </w:rPr>
          <w:t>bda</w:t>
        </w:r>
        <w:r w:rsidRPr="00A405B6">
          <w:rPr>
            <w:rFonts w:eastAsia="Times New Roman" w:cs="Arial"/>
            <w:color w:val="000000"/>
            <w:u w:val="single"/>
            <w:lang w:val="ru-RU"/>
          </w:rPr>
          <w:t>.</w:t>
        </w:r>
        <w:r w:rsidRPr="00A405B6">
          <w:rPr>
            <w:rFonts w:eastAsia="Times New Roman" w:cs="Arial"/>
            <w:color w:val="000000"/>
            <w:u w:val="single"/>
            <w:lang w:val="en-US"/>
          </w:rPr>
          <w:t>bg</w:t>
        </w:r>
      </w:hyperlink>
      <w:r w:rsidRPr="00A405B6">
        <w:rPr>
          <w:rFonts w:eastAsia="Times New Roman" w:cs="Arial"/>
          <w:color w:val="000000"/>
          <w:lang w:val="ru-RU"/>
        </w:rPr>
        <w:t>.</w:t>
      </w:r>
    </w:p>
    <w:p w14:paraId="6F17ABC7" w14:textId="77777777" w:rsidR="00A405B6" w:rsidRPr="00A405B6" w:rsidRDefault="00A405B6" w:rsidP="00A405B6"/>
    <w:p w14:paraId="0A023CE0" w14:textId="164B23B3" w:rsidR="00CF77F7" w:rsidRDefault="002C50EE" w:rsidP="004A448E">
      <w:pPr>
        <w:pStyle w:val="Heading2"/>
      </w:pPr>
      <w:r>
        <w:t>4.9. Предозиране</w:t>
      </w:r>
    </w:p>
    <w:p w14:paraId="5BA54A2A" w14:textId="6F1B19AD" w:rsidR="00A405B6" w:rsidRDefault="00A405B6" w:rsidP="00A405B6"/>
    <w:p w14:paraId="215D602B" w14:textId="77777777" w:rsidR="00A405B6" w:rsidRPr="00A405B6" w:rsidRDefault="00A405B6" w:rsidP="00A405B6">
      <w:pPr>
        <w:rPr>
          <w:sz w:val="24"/>
          <w:szCs w:val="24"/>
        </w:rPr>
      </w:pPr>
      <w:r w:rsidRPr="00A405B6">
        <w:rPr>
          <w:lang w:eastAsia="bg-BG"/>
        </w:rPr>
        <w:t xml:space="preserve">Проведени са клинични проучвания с Екземестан, прилаган в еднократна доза до 800 </w:t>
      </w:r>
      <w:r w:rsidRPr="00A405B6">
        <w:rPr>
          <w:lang w:val="en-US"/>
        </w:rPr>
        <w:t>mg</w:t>
      </w:r>
      <w:r w:rsidRPr="00A405B6">
        <w:rPr>
          <w:lang w:val="ru-RU"/>
        </w:rPr>
        <w:t xml:space="preserve"> </w:t>
      </w:r>
      <w:r w:rsidRPr="00A405B6">
        <w:rPr>
          <w:lang w:eastAsia="bg-BG"/>
        </w:rPr>
        <w:t xml:space="preserve">на здрави доброволки </w:t>
      </w:r>
      <w:r w:rsidRPr="00A405B6">
        <w:rPr>
          <w:i/>
          <w:iCs/>
          <w:lang w:eastAsia="bg-BG"/>
        </w:rPr>
        <w:t>и</w:t>
      </w:r>
      <w:r w:rsidRPr="00A405B6">
        <w:rPr>
          <w:lang w:eastAsia="bg-BG"/>
        </w:rPr>
        <w:t xml:space="preserve"> до 600 </w:t>
      </w:r>
      <w:r w:rsidRPr="00A405B6">
        <w:rPr>
          <w:lang w:val="en-US"/>
        </w:rPr>
        <w:t>mg</w:t>
      </w:r>
      <w:r w:rsidRPr="00A405B6">
        <w:rPr>
          <w:lang w:val="ru-RU"/>
        </w:rPr>
        <w:t xml:space="preserve"> </w:t>
      </w:r>
      <w:r w:rsidRPr="00A405B6">
        <w:rPr>
          <w:lang w:eastAsia="bg-BG"/>
        </w:rPr>
        <w:t xml:space="preserve">дневно на жени след менопауза с напреднал карцином на гърдата. Тези дозировки са били понасяни добре. Еднократната доза Екземестан, която би могла да доведе до живото - застрашаващи симптоми, не е известна. При плъхове и кучета смъртни случаи са били наблюдавани след еднократни перорални дози, еквивалентни съответно на 2000 и 4000 пъти по- голяма от препоръчителната доза при човек, определена на базата на </w:t>
      </w:r>
      <w:r w:rsidRPr="00A405B6">
        <w:rPr>
          <w:lang w:val="en-US"/>
        </w:rPr>
        <w:t>mg</w:t>
      </w:r>
      <w:r w:rsidRPr="00A405B6">
        <w:rPr>
          <w:lang w:val="ru-RU"/>
        </w:rPr>
        <w:t>/</w:t>
      </w:r>
      <w:r w:rsidRPr="00A405B6">
        <w:rPr>
          <w:lang w:val="en-US"/>
        </w:rPr>
        <w:t>m</w:t>
      </w:r>
      <w:r w:rsidRPr="00A405B6">
        <w:rPr>
          <w:vertAlign w:val="superscript"/>
          <w:lang w:val="ru-RU"/>
        </w:rPr>
        <w:t>2</w:t>
      </w:r>
      <w:r w:rsidRPr="00A405B6">
        <w:rPr>
          <w:lang w:val="ru-RU"/>
        </w:rPr>
        <w:t xml:space="preserve">. </w:t>
      </w:r>
      <w:r w:rsidRPr="00A405B6">
        <w:rPr>
          <w:lang w:eastAsia="bg-BG"/>
        </w:rPr>
        <w:t>Липсва специфичен антидот при предозиране и лечението трябва да бъде симптоматично. Показани са общи поддържащи грижи, включително често мониториране на жизнените показатели и внимателно наблюдение на пациента.</w:t>
      </w:r>
    </w:p>
    <w:p w14:paraId="7DB4FBAD" w14:textId="77777777" w:rsidR="00A405B6" w:rsidRPr="00A405B6" w:rsidRDefault="00A405B6" w:rsidP="00A405B6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163F08B2" w:rsidR="00CF77F7" w:rsidRDefault="002C50EE" w:rsidP="004A448E">
      <w:pPr>
        <w:pStyle w:val="Heading2"/>
      </w:pPr>
      <w:r>
        <w:t>5.1. Фармакодинамични свойства</w:t>
      </w:r>
    </w:p>
    <w:p w14:paraId="0B3D5B8D" w14:textId="4BEDDD41" w:rsidR="00A405B6" w:rsidRDefault="00A405B6" w:rsidP="00A405B6"/>
    <w:p w14:paraId="658805AC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lastRenderedPageBreak/>
        <w:t xml:space="preserve">Фармакотерапевтична група: стероиден ароматазен инхибитор, антинеопластично средство. АТС код: </w:t>
      </w:r>
      <w:r w:rsidRPr="00A405B6">
        <w:rPr>
          <w:rFonts w:eastAsia="Times New Roman" w:cs="Arial"/>
          <w:color w:val="000000"/>
          <w:lang w:val="en-US"/>
        </w:rPr>
        <w:t>L</w:t>
      </w:r>
      <w:r w:rsidRPr="00A405B6">
        <w:rPr>
          <w:rFonts w:eastAsia="Times New Roman" w:cs="Arial"/>
          <w:color w:val="000000"/>
          <w:lang w:val="ru-RU"/>
        </w:rPr>
        <w:t>02</w:t>
      </w:r>
      <w:r w:rsidRPr="00A405B6">
        <w:rPr>
          <w:rFonts w:eastAsia="Times New Roman" w:cs="Arial"/>
          <w:color w:val="000000"/>
          <w:lang w:val="en-US"/>
        </w:rPr>
        <w:t>BG</w:t>
      </w:r>
      <w:r w:rsidRPr="00A405B6">
        <w:rPr>
          <w:rFonts w:eastAsia="Times New Roman" w:cs="Arial"/>
          <w:color w:val="000000"/>
          <w:lang w:val="ru-RU"/>
        </w:rPr>
        <w:t>06</w:t>
      </w:r>
    </w:p>
    <w:p w14:paraId="1AC5B8F8" w14:textId="77777777" w:rsidR="00A405B6" w:rsidRPr="00A405B6" w:rsidRDefault="00A405B6" w:rsidP="00A405B6">
      <w:pPr>
        <w:rPr>
          <w:rFonts w:eastAsia="Times New Roman" w:cs="Arial"/>
          <w:color w:val="000000"/>
          <w:lang w:eastAsia="bg-BG"/>
        </w:rPr>
      </w:pPr>
    </w:p>
    <w:p w14:paraId="212D99B7" w14:textId="77777777" w:rsidR="00A405B6" w:rsidRPr="00A405B6" w:rsidRDefault="00A405B6" w:rsidP="00A405B6">
      <w:pPr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е необратим стероиден ароматазен инхибитор, структурно сходен с естествения субстрат андростендион. При жени след менопауза естрогени се произвеждат главно чрез превръщане на андрогени в естрогени с помощта на ензима ароматаза в периферните тъкани. Естрогенната депривация чрез инхибиране на ароматазата е ефективно и селективно лечение на хормон-зависимия карцином на гърдата при жени след менопауза. При жени след менопауза пероралният Екземестан е довел до сигнификантно понижение на серумните концентрации на естрогени, започващо при доза 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и достигащо до максимална супресия (&gt;90%) при доза от 10- 25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. </w:t>
      </w:r>
      <w:r w:rsidRPr="00A405B6">
        <w:rPr>
          <w:rFonts w:eastAsia="Times New Roman" w:cs="Arial"/>
          <w:color w:val="000000"/>
          <w:lang w:eastAsia="bg-BG"/>
        </w:rPr>
        <w:t xml:space="preserve">При пациентки с карцином на гърдата след менопауза, лекувани с дневна доза от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eastAsia="bg-BG"/>
        </w:rPr>
        <w:t>ароматазата в целия организъм е намаляла с 98%.</w:t>
      </w:r>
    </w:p>
    <w:p w14:paraId="734F1698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6EB94D" w14:textId="6CD6462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>Екземестан не притежава прогестогенна или естрогенна активност. Леко изразена андрогенна активност, вероятно дължаща се на неговото 17 хидропроизводно, е наблюдавана главно при високи дози. В проучвания с многократно дневно дозиране Екземестан не е показал доловими ефекти върху надбъбречната биосинтеза на кортизол или алдостерон, измерени преди или след стимулация с АСТН (аденокортикотропен хормон), което показва неговата селективност по отношение на другите ензими, участващи в стероидогенезата.</w:t>
      </w:r>
    </w:p>
    <w:p w14:paraId="4BC7A52D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Вследствие на това не се налага заместително лечение с глюкокортикоиди или минералкортикоиди. Даже и при ниски дози е наблюдавано леко, независимо от дозата повишение на серумните концентрации на </w:t>
      </w:r>
      <w:r w:rsidRPr="00A405B6">
        <w:rPr>
          <w:rFonts w:eastAsia="Times New Roman" w:cs="Arial"/>
          <w:color w:val="000000"/>
          <w:lang w:val="en-US"/>
        </w:rPr>
        <w:t>LH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и </w:t>
      </w:r>
      <w:r w:rsidRPr="00A405B6">
        <w:rPr>
          <w:rFonts w:eastAsia="Times New Roman" w:cs="Arial"/>
          <w:color w:val="000000"/>
          <w:lang w:val="en-US"/>
        </w:rPr>
        <w:t>FSH</w:t>
      </w:r>
      <w:r w:rsidRPr="00A405B6">
        <w:rPr>
          <w:rFonts w:eastAsia="Times New Roman" w:cs="Arial"/>
          <w:color w:val="000000"/>
          <w:lang w:val="ru-RU"/>
        </w:rPr>
        <w:t xml:space="preserve">: </w:t>
      </w:r>
      <w:r w:rsidRPr="00A405B6">
        <w:rPr>
          <w:rFonts w:eastAsia="Times New Roman" w:cs="Arial"/>
          <w:color w:val="000000"/>
          <w:lang w:eastAsia="bg-BG"/>
        </w:rPr>
        <w:t>този ефект, обаче, е очакван за фармакологичния клас и вероятно е резултат от обратната връзка на хипофизно ниво, дължаща се на понижението на естрогеновите нива, което стимулира хипофизната секреция на гонадотропини дори и при жени след менопауза.</w:t>
      </w:r>
    </w:p>
    <w:p w14:paraId="4F9D9E7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5187FE5" w14:textId="7E925A42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t>Адювантна терапия на ранен карцином на гърдата</w:t>
      </w:r>
    </w:p>
    <w:p w14:paraId="57EF5825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многоцентрово, рандомизирано, двойно-сляпо проучване, проведено при 4724 пациенти след менопауза с положителен за естрогенни рецептори или неизяснен първичен карцином на гърдата, тези от тях, които са останали без болестни прояви след провеждане на адювантно лечение с тамоксифен за 2 до 3 години, са били рандомизирани да получават 3 до 2 години Екземестан (25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eastAsia="bg-BG"/>
        </w:rPr>
        <w:t xml:space="preserve">/ден) или тамоксифен (20 или 30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eastAsia="bg-BG"/>
        </w:rPr>
        <w:t>/ден), за да завършат пълния 5 - годишен период на хормонално лечение.</w:t>
      </w:r>
    </w:p>
    <w:p w14:paraId="1A842E6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CCF3FF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405B6">
        <w:rPr>
          <w:rFonts w:eastAsia="Times New Roman" w:cs="Arial"/>
          <w:color w:val="000000"/>
          <w:lang w:eastAsia="bg-BG"/>
        </w:rPr>
        <w:t xml:space="preserve">След лечение със средна продължителност около 30 месеца и среден срок на проследяване около 52 месеца резултатите са показали, че последващото лечение с </w:t>
      </w:r>
    </w:p>
    <w:p w14:paraId="7CAF61F0" w14:textId="77777777" w:rsidR="00A405B6" w:rsidRDefault="00A405B6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15691F" w14:textId="0AB92AE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след 2 до 3 години адювантна терапия с тамоксифен е довело до клинично и статистически значимо по-добра преживяемост без прояви на заболяване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disease</w:t>
      </w:r>
      <w:r w:rsidRPr="00A405B6">
        <w:rPr>
          <w:rFonts w:eastAsia="Times New Roman" w:cs="Arial"/>
          <w:color w:val="000000"/>
          <w:lang w:val="ru-RU"/>
        </w:rPr>
        <w:t>-</w:t>
      </w:r>
      <w:r w:rsidRPr="00A405B6">
        <w:rPr>
          <w:rFonts w:eastAsia="Times New Roman" w:cs="Arial"/>
          <w:color w:val="000000"/>
          <w:lang w:val="en-US"/>
        </w:rPr>
        <w:t>free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survival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val="en-US"/>
        </w:rPr>
        <w:t>DFS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 xml:space="preserve">в сравнение с продължаване на лечението с тамоксифен. Анализът е показал, че в рамките на периода на наблюдение в това проучване Екземестан е намалил риска от рецидив на карцинома на гърдата с 24% спрямо тамоксифен (коефициент на риска </w:t>
      </w:r>
      <w:r w:rsidRPr="00A405B6">
        <w:rPr>
          <w:rFonts w:eastAsia="Times New Roman" w:cs="Arial"/>
          <w:color w:val="000000"/>
          <w:lang w:val="ru-RU"/>
        </w:rPr>
        <w:t>[</w:t>
      </w:r>
      <w:r w:rsidRPr="00A405B6">
        <w:rPr>
          <w:rFonts w:eastAsia="Times New Roman" w:cs="Arial"/>
          <w:color w:val="000000"/>
          <w:lang w:val="en-US"/>
        </w:rPr>
        <w:t>hazard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ratio</w:t>
      </w:r>
      <w:r w:rsidRPr="00A405B6">
        <w:rPr>
          <w:rFonts w:eastAsia="Times New Roman" w:cs="Arial"/>
          <w:color w:val="000000"/>
          <w:lang w:val="ru-RU"/>
        </w:rPr>
        <w:t xml:space="preserve">] </w:t>
      </w:r>
      <w:r w:rsidRPr="00A405B6">
        <w:rPr>
          <w:rFonts w:eastAsia="Times New Roman" w:cs="Arial"/>
          <w:color w:val="000000"/>
          <w:lang w:eastAsia="bg-BG"/>
        </w:rPr>
        <w:t>0,76; р—0,00015). По-благоприятният ефект на екземестан спрямо тамоксифен по отношение на преживяемост без прояви на заболяване е бил явен, независимо от степента на засягане на лимфните възли или предшестваща химиотерапия.</w:t>
      </w:r>
    </w:p>
    <w:p w14:paraId="146E9066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Екземестан е довел и до сигнификантно понижение на риска от рак на контралатералната гърда (коефициент на риска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hazard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ratio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0,57, р=0,04158).</w:t>
      </w:r>
    </w:p>
    <w:p w14:paraId="70A64D21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lastRenderedPageBreak/>
        <w:t xml:space="preserve">Наблюдавана е тенденция за подобрена обща преживяемост за екземестан в цялата проучвана популация (222 смъртни случая) в сравнение с тамоксифен (262 смъртни случая) с коефициент на риска 0,85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log</w:t>
      </w:r>
      <w:r w:rsidRPr="00A405B6">
        <w:rPr>
          <w:rFonts w:eastAsia="Times New Roman" w:cs="Arial"/>
          <w:color w:val="000000"/>
          <w:lang w:val="ru-RU"/>
        </w:rPr>
        <w:t>-</w:t>
      </w:r>
      <w:r w:rsidRPr="00A405B6">
        <w:rPr>
          <w:rFonts w:eastAsia="Times New Roman" w:cs="Arial"/>
          <w:color w:val="000000"/>
          <w:lang w:val="en-US"/>
        </w:rPr>
        <w:t>rank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тест: р=0,07362), което представлява намаление с 15% на риска от смърт в полза на екземестан. Наблюдавано е статистически значимо намаление с 23% на риска от смърт (коефициент на риска за общата преживяемост 0,77; квадратен тест на </w:t>
      </w:r>
      <w:r w:rsidRPr="00A405B6">
        <w:rPr>
          <w:rFonts w:eastAsia="Times New Roman" w:cs="Arial"/>
          <w:color w:val="000000"/>
          <w:lang w:val="en-US"/>
        </w:rPr>
        <w:t>Wald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chi</w:t>
      </w:r>
      <w:r w:rsidRPr="00A405B6">
        <w:rPr>
          <w:rFonts w:eastAsia="Times New Roman" w:cs="Arial"/>
          <w:color w:val="000000"/>
          <w:lang w:val="ru-RU"/>
        </w:rPr>
        <w:t xml:space="preserve">: </w:t>
      </w:r>
      <w:r w:rsidRPr="00A405B6">
        <w:rPr>
          <w:rFonts w:eastAsia="Times New Roman" w:cs="Arial"/>
          <w:color w:val="000000"/>
          <w:lang w:eastAsia="bg-BG"/>
        </w:rPr>
        <w:t xml:space="preserve">р=0,0069) за екземестан в сравнение с тамоксифен при адаптиране за предварително определените прогностични фактори (т.е. </w:t>
      </w:r>
      <w:r w:rsidRPr="00A405B6">
        <w:rPr>
          <w:rFonts w:eastAsia="Times New Roman" w:cs="Arial"/>
          <w:color w:val="000000"/>
          <w:lang w:val="en-US"/>
        </w:rPr>
        <w:t>ER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>статус, статус на лимфни възли, предшестваща химиотерапия, употреба на ХЗТ (хормоно-заместителна терапия) и употреба на бифосфонати ).</w:t>
      </w:r>
    </w:p>
    <w:p w14:paraId="6CFDBB58" w14:textId="77777777" w:rsidR="00A405B6" w:rsidRDefault="00A405B6" w:rsidP="00A405B6">
      <w:pPr>
        <w:rPr>
          <w:rFonts w:eastAsia="Times New Roman" w:cs="Arial"/>
        </w:rPr>
      </w:pPr>
    </w:p>
    <w:p w14:paraId="7F4DE6D1" w14:textId="2847FE91" w:rsidR="00A405B6" w:rsidRPr="00A405B6" w:rsidRDefault="00A405B6" w:rsidP="00A405B6">
      <w:pPr>
        <w:rPr>
          <w:rFonts w:eastAsia="Times New Roman" w:cs="Arial"/>
          <w:color w:val="000000"/>
          <w:lang w:eastAsia="bg-BG"/>
        </w:rPr>
      </w:pPr>
      <w:r w:rsidRPr="00A405B6">
        <w:rPr>
          <w:rFonts w:eastAsia="Times New Roman" w:cs="Arial"/>
          <w:color w:val="000000"/>
          <w:lang w:eastAsia="bg-BG"/>
        </w:rPr>
        <w:t xml:space="preserve">Основните резултати по отношение ефикасността при всички пациенти (популация за лечение </w:t>
      </w:r>
      <w:r w:rsidRPr="00A405B6">
        <w:rPr>
          <w:rFonts w:eastAsia="Times New Roman" w:cs="Arial"/>
          <w:color w:val="000000"/>
          <w:lang w:val="en-US"/>
        </w:rPr>
        <w:t>intention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to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treat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population</w:t>
      </w:r>
      <w:r w:rsidRPr="00A405B6">
        <w:rPr>
          <w:rFonts w:eastAsia="Times New Roman" w:cs="Arial"/>
          <w:color w:val="000000"/>
          <w:lang w:val="ru-RU"/>
        </w:rPr>
        <w:t xml:space="preserve"> ) </w:t>
      </w:r>
      <w:r w:rsidRPr="00A405B6">
        <w:rPr>
          <w:rFonts w:eastAsia="Times New Roman" w:cs="Arial"/>
          <w:color w:val="000000"/>
          <w:lang w:eastAsia="bg-BG"/>
        </w:rPr>
        <w:t>и естроген - рецептор позитивни пациенти са обобщени в таблицата по-долу:</w:t>
      </w:r>
    </w:p>
    <w:p w14:paraId="1DBF6692" w14:textId="5D09016C" w:rsidR="00A405B6" w:rsidRDefault="00A405B6" w:rsidP="00A40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2095"/>
        <w:gridCol w:w="2336"/>
        <w:gridCol w:w="1952"/>
        <w:gridCol w:w="1214"/>
      </w:tblGrid>
      <w:tr w:rsidR="00A405B6" w14:paraId="74F60869" w14:textId="77777777" w:rsidTr="00A405B6">
        <w:tc>
          <w:tcPr>
            <w:tcW w:w="1809" w:type="dxa"/>
          </w:tcPr>
          <w:p w14:paraId="218EA2AF" w14:textId="77777777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>Крайна цел</w:t>
            </w:r>
          </w:p>
          <w:p w14:paraId="765DFF84" w14:textId="77777777" w:rsidR="00A405B6" w:rsidRDefault="00A405B6" w:rsidP="00A405B6">
            <w:pPr>
              <w:rPr>
                <w:b/>
              </w:rPr>
            </w:pPr>
          </w:p>
          <w:p w14:paraId="14E1A9C9" w14:textId="4FFEA071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>Популация</w:t>
            </w:r>
          </w:p>
        </w:tc>
        <w:tc>
          <w:tcPr>
            <w:tcW w:w="2127" w:type="dxa"/>
          </w:tcPr>
          <w:p w14:paraId="45FD781E" w14:textId="77777777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val="en-US"/>
              </w:rPr>
              <w:t>Exemestane</w:t>
            </w:r>
          </w:p>
          <w:p w14:paraId="67ADA6DE" w14:textId="77777777" w:rsidR="00A405B6" w:rsidRDefault="00A405B6" w:rsidP="00A405B6">
            <w:pPr>
              <w:rPr>
                <w:b/>
              </w:rPr>
            </w:pPr>
          </w:p>
          <w:p w14:paraId="303B3ED7" w14:textId="0F205D72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 xml:space="preserve">Събития </w:t>
            </w:r>
            <w:r w:rsidRPr="00A405B6">
              <w:rPr>
                <w:b/>
                <w:lang w:val="en-US"/>
              </w:rPr>
              <w:t xml:space="preserve">/N </w:t>
            </w:r>
            <w:r w:rsidRPr="00A405B6">
              <w:rPr>
                <w:b/>
              </w:rPr>
              <w:t>(%)</w:t>
            </w:r>
          </w:p>
        </w:tc>
        <w:tc>
          <w:tcPr>
            <w:tcW w:w="2409" w:type="dxa"/>
          </w:tcPr>
          <w:p w14:paraId="1F276B18" w14:textId="77777777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val="en-US"/>
              </w:rPr>
              <w:t>Tamoxifen</w:t>
            </w:r>
          </w:p>
          <w:p w14:paraId="4BF13E46" w14:textId="77777777" w:rsidR="00A405B6" w:rsidRDefault="00A405B6" w:rsidP="00A405B6">
            <w:pPr>
              <w:rPr>
                <w:b/>
              </w:rPr>
            </w:pPr>
          </w:p>
          <w:p w14:paraId="6BE68822" w14:textId="0BE7854B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>Събития</w:t>
            </w:r>
            <w:r w:rsidRPr="00A405B6">
              <w:rPr>
                <w:b/>
                <w:lang w:val="en-US"/>
              </w:rPr>
              <w:t xml:space="preserve">/N </w:t>
            </w:r>
            <w:r w:rsidRPr="00A405B6">
              <w:rPr>
                <w:b/>
              </w:rPr>
              <w:t>(%)</w:t>
            </w:r>
          </w:p>
        </w:tc>
        <w:tc>
          <w:tcPr>
            <w:tcW w:w="2017" w:type="dxa"/>
          </w:tcPr>
          <w:p w14:paraId="06016BE1" w14:textId="455E739B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 xml:space="preserve">Коефициент на риска (95% </w:t>
            </w:r>
            <w:r w:rsidRPr="00A405B6">
              <w:rPr>
                <w:b/>
                <w:lang w:val="en-US"/>
              </w:rPr>
              <w:t>CI)</w:t>
            </w:r>
          </w:p>
        </w:tc>
        <w:tc>
          <w:tcPr>
            <w:tcW w:w="1214" w:type="dxa"/>
          </w:tcPr>
          <w:p w14:paraId="7F943D06" w14:textId="5385D30E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>р-стойност *</w:t>
            </w:r>
          </w:p>
        </w:tc>
      </w:tr>
      <w:tr w:rsidR="00A405B6" w14:paraId="7B27B7A1" w14:textId="77777777" w:rsidTr="003B1B1C">
        <w:tc>
          <w:tcPr>
            <w:tcW w:w="9576" w:type="dxa"/>
            <w:gridSpan w:val="5"/>
          </w:tcPr>
          <w:p w14:paraId="7277DB5F" w14:textId="02CFCBAF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eastAsia="bg-BG"/>
              </w:rPr>
              <w:t>Свободен от болест период</w:t>
            </w:r>
            <w:r w:rsidRPr="00A405B6">
              <w:rPr>
                <w:b/>
                <w:vertAlign w:val="superscript"/>
                <w:lang w:eastAsia="bg-BG"/>
              </w:rPr>
              <w:t>а</w:t>
            </w:r>
          </w:p>
        </w:tc>
      </w:tr>
      <w:tr w:rsidR="00A405B6" w14:paraId="279B8E00" w14:textId="77777777" w:rsidTr="00A405B6">
        <w:tc>
          <w:tcPr>
            <w:tcW w:w="1809" w:type="dxa"/>
          </w:tcPr>
          <w:p w14:paraId="3DBC9FE3" w14:textId="417C4D90" w:rsidR="00A405B6" w:rsidRDefault="00A405B6" w:rsidP="00A405B6">
            <w:r>
              <w:t>Всички пациенти</w:t>
            </w:r>
          </w:p>
        </w:tc>
        <w:tc>
          <w:tcPr>
            <w:tcW w:w="2127" w:type="dxa"/>
          </w:tcPr>
          <w:p w14:paraId="084E9FCF" w14:textId="58B85218" w:rsidR="00A405B6" w:rsidRDefault="00A405B6" w:rsidP="00A405B6">
            <w:r w:rsidRPr="00A405B6">
              <w:rPr>
                <w:b/>
              </w:rPr>
              <w:t>354</w:t>
            </w:r>
            <w:r>
              <w:t>/2352(15.1%)</w:t>
            </w:r>
          </w:p>
        </w:tc>
        <w:tc>
          <w:tcPr>
            <w:tcW w:w="2409" w:type="dxa"/>
          </w:tcPr>
          <w:p w14:paraId="4B558198" w14:textId="3232592E" w:rsidR="00A405B6" w:rsidRDefault="00A405B6" w:rsidP="00A405B6">
            <w:r w:rsidRPr="00A405B6">
              <w:rPr>
                <w:b/>
              </w:rPr>
              <w:t>453</w:t>
            </w:r>
            <w:r>
              <w:t xml:space="preserve"> /2372(19.1%)</w:t>
            </w:r>
          </w:p>
        </w:tc>
        <w:tc>
          <w:tcPr>
            <w:tcW w:w="2017" w:type="dxa"/>
          </w:tcPr>
          <w:p w14:paraId="2A59834E" w14:textId="50941A38" w:rsidR="00A405B6" w:rsidRDefault="00A405B6" w:rsidP="00A405B6">
            <w:r>
              <w:t>0.76 (0.67-0.88)</w:t>
            </w:r>
          </w:p>
        </w:tc>
        <w:tc>
          <w:tcPr>
            <w:tcW w:w="1214" w:type="dxa"/>
          </w:tcPr>
          <w:p w14:paraId="470F0E11" w14:textId="5CBEAE62" w:rsidR="00A405B6" w:rsidRDefault="00A405B6" w:rsidP="00A405B6">
            <w:r>
              <w:t>0.00015</w:t>
            </w:r>
          </w:p>
        </w:tc>
      </w:tr>
      <w:tr w:rsidR="00A405B6" w14:paraId="604D89B4" w14:textId="77777777" w:rsidTr="00A405B6">
        <w:tc>
          <w:tcPr>
            <w:tcW w:w="1809" w:type="dxa"/>
          </w:tcPr>
          <w:p w14:paraId="15A35817" w14:textId="1A34CFDA" w:rsidR="00A405B6" w:rsidRDefault="00A405B6" w:rsidP="00A405B6">
            <w:r>
              <w:rPr>
                <w:lang w:val="en-US"/>
              </w:rPr>
              <w:t xml:space="preserve">ER+ </w:t>
            </w:r>
            <w:r>
              <w:t>пациенти</w:t>
            </w:r>
          </w:p>
        </w:tc>
        <w:tc>
          <w:tcPr>
            <w:tcW w:w="2127" w:type="dxa"/>
          </w:tcPr>
          <w:p w14:paraId="367725C6" w14:textId="7716A766" w:rsidR="00A405B6" w:rsidRDefault="00A405B6" w:rsidP="00A405B6">
            <w:r w:rsidRPr="00A405B6">
              <w:rPr>
                <w:b/>
              </w:rPr>
              <w:t>289</w:t>
            </w:r>
            <w:r>
              <w:t>/2023 (14.3%)</w:t>
            </w:r>
          </w:p>
        </w:tc>
        <w:tc>
          <w:tcPr>
            <w:tcW w:w="2409" w:type="dxa"/>
          </w:tcPr>
          <w:p w14:paraId="13F0F858" w14:textId="3B20DFA7" w:rsidR="00A405B6" w:rsidRDefault="00A405B6" w:rsidP="00A405B6">
            <w:r w:rsidRPr="00A405B6">
              <w:rPr>
                <w:b/>
              </w:rPr>
              <w:t>370</w:t>
            </w:r>
            <w:r>
              <w:t>/2021 (18.3%)</w:t>
            </w:r>
          </w:p>
        </w:tc>
        <w:tc>
          <w:tcPr>
            <w:tcW w:w="2017" w:type="dxa"/>
          </w:tcPr>
          <w:p w14:paraId="1E741286" w14:textId="7730DD36" w:rsidR="00A405B6" w:rsidRDefault="00A405B6" w:rsidP="00A405B6">
            <w:r>
              <w:t>0.75 (0.65-0.88)</w:t>
            </w:r>
          </w:p>
        </w:tc>
        <w:tc>
          <w:tcPr>
            <w:tcW w:w="1214" w:type="dxa"/>
          </w:tcPr>
          <w:p w14:paraId="65F76E40" w14:textId="28A34EC3" w:rsidR="00A405B6" w:rsidRDefault="00A405B6" w:rsidP="00A405B6">
            <w:r>
              <w:t>0.00030</w:t>
            </w:r>
          </w:p>
        </w:tc>
      </w:tr>
      <w:tr w:rsidR="00A405B6" w14:paraId="561764C8" w14:textId="77777777" w:rsidTr="00AB28AF">
        <w:tc>
          <w:tcPr>
            <w:tcW w:w="9576" w:type="dxa"/>
            <w:gridSpan w:val="5"/>
          </w:tcPr>
          <w:p w14:paraId="6DEDC7D0" w14:textId="79167920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eastAsia="bg-BG"/>
              </w:rPr>
              <w:t>Рак на другата гърда</w:t>
            </w:r>
          </w:p>
        </w:tc>
      </w:tr>
      <w:tr w:rsidR="00A405B6" w14:paraId="6D62FF38" w14:textId="77777777" w:rsidTr="00A405B6">
        <w:tc>
          <w:tcPr>
            <w:tcW w:w="1809" w:type="dxa"/>
          </w:tcPr>
          <w:p w14:paraId="5A822DFD" w14:textId="38D04F16" w:rsidR="00A405B6" w:rsidRDefault="00A405B6" w:rsidP="00A405B6">
            <w:r>
              <w:t>Всички пациенти</w:t>
            </w:r>
          </w:p>
        </w:tc>
        <w:tc>
          <w:tcPr>
            <w:tcW w:w="2127" w:type="dxa"/>
          </w:tcPr>
          <w:p w14:paraId="4F2B1AE0" w14:textId="2A76C38E" w:rsidR="00A405B6" w:rsidRDefault="00A405B6" w:rsidP="00A405B6">
            <w:r w:rsidRPr="00A405B6">
              <w:rPr>
                <w:b/>
              </w:rPr>
              <w:t>20</w:t>
            </w:r>
            <w:r>
              <w:t>/2352 (0.9%)</w:t>
            </w:r>
          </w:p>
        </w:tc>
        <w:tc>
          <w:tcPr>
            <w:tcW w:w="2409" w:type="dxa"/>
          </w:tcPr>
          <w:p w14:paraId="43B2E6A8" w14:textId="2938D9C8" w:rsidR="00A405B6" w:rsidRDefault="00A405B6" w:rsidP="00A405B6">
            <w:r w:rsidRPr="00A405B6">
              <w:rPr>
                <w:b/>
              </w:rPr>
              <w:t>35</w:t>
            </w:r>
            <w:r>
              <w:t xml:space="preserve"> /2372(1.5%)</w:t>
            </w:r>
          </w:p>
        </w:tc>
        <w:tc>
          <w:tcPr>
            <w:tcW w:w="2017" w:type="dxa"/>
          </w:tcPr>
          <w:p w14:paraId="4147885C" w14:textId="0507942B" w:rsidR="00A405B6" w:rsidRDefault="00A405B6" w:rsidP="00A405B6">
            <w:r>
              <w:t>0.57 (0.33-0.99)</w:t>
            </w:r>
          </w:p>
        </w:tc>
        <w:tc>
          <w:tcPr>
            <w:tcW w:w="1214" w:type="dxa"/>
          </w:tcPr>
          <w:p w14:paraId="7046F647" w14:textId="0ECBE62E" w:rsidR="00A405B6" w:rsidRDefault="00A405B6" w:rsidP="00A405B6">
            <w:r>
              <w:t>0.04158</w:t>
            </w:r>
          </w:p>
        </w:tc>
      </w:tr>
      <w:tr w:rsidR="00A405B6" w14:paraId="5706019D" w14:textId="77777777" w:rsidTr="00A405B6">
        <w:tc>
          <w:tcPr>
            <w:tcW w:w="1809" w:type="dxa"/>
          </w:tcPr>
          <w:p w14:paraId="09E60A3F" w14:textId="3F4A1ACC" w:rsidR="00A405B6" w:rsidRDefault="00A405B6" w:rsidP="00A405B6">
            <w:r>
              <w:rPr>
                <w:lang w:val="en-US"/>
              </w:rPr>
              <w:t xml:space="preserve">ER+ </w:t>
            </w:r>
            <w:r>
              <w:t>пациенти</w:t>
            </w:r>
          </w:p>
        </w:tc>
        <w:tc>
          <w:tcPr>
            <w:tcW w:w="2127" w:type="dxa"/>
          </w:tcPr>
          <w:p w14:paraId="5923D2F3" w14:textId="18F2E4C5" w:rsidR="00A405B6" w:rsidRDefault="00A405B6" w:rsidP="00A405B6">
            <w:r w:rsidRPr="00A405B6">
              <w:rPr>
                <w:b/>
              </w:rPr>
              <w:t>18</w:t>
            </w:r>
            <w:r>
              <w:t>/2023 (0.9%)</w:t>
            </w:r>
          </w:p>
        </w:tc>
        <w:tc>
          <w:tcPr>
            <w:tcW w:w="2409" w:type="dxa"/>
          </w:tcPr>
          <w:p w14:paraId="4E6099BB" w14:textId="393F192E" w:rsidR="00A405B6" w:rsidRDefault="00A405B6" w:rsidP="00A405B6">
            <w:r w:rsidRPr="00A405B6">
              <w:rPr>
                <w:b/>
              </w:rPr>
              <w:t>33</w:t>
            </w:r>
            <w:r>
              <w:t xml:space="preserve"> /2021(1.6%)</w:t>
            </w:r>
          </w:p>
        </w:tc>
        <w:tc>
          <w:tcPr>
            <w:tcW w:w="2017" w:type="dxa"/>
          </w:tcPr>
          <w:p w14:paraId="6AF67286" w14:textId="44B5DBB8" w:rsidR="00A405B6" w:rsidRDefault="00A405B6" w:rsidP="00A405B6">
            <w:r>
              <w:t>0.54 (0.30-0.95)</w:t>
            </w:r>
          </w:p>
        </w:tc>
        <w:tc>
          <w:tcPr>
            <w:tcW w:w="1214" w:type="dxa"/>
          </w:tcPr>
          <w:p w14:paraId="0B94657C" w14:textId="0FBAEBCD" w:rsidR="00A405B6" w:rsidRDefault="00A405B6" w:rsidP="00A405B6">
            <w:r>
              <w:t>0.03048</w:t>
            </w:r>
          </w:p>
        </w:tc>
      </w:tr>
      <w:tr w:rsidR="00A405B6" w14:paraId="5D845703" w14:textId="77777777" w:rsidTr="00FC53E0">
        <w:tc>
          <w:tcPr>
            <w:tcW w:w="9576" w:type="dxa"/>
            <w:gridSpan w:val="5"/>
          </w:tcPr>
          <w:p w14:paraId="7B5A97F4" w14:textId="03098700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eastAsia="bg-BG"/>
              </w:rPr>
              <w:t>Преживяемост без прояви на карцином на гърдата</w:t>
            </w:r>
            <w:r w:rsidRPr="00A405B6">
              <w:rPr>
                <w:b/>
                <w:vertAlign w:val="superscript"/>
                <w:lang w:val="en-US"/>
              </w:rPr>
              <w:t>b</w:t>
            </w:r>
          </w:p>
        </w:tc>
      </w:tr>
      <w:tr w:rsidR="000B0217" w14:paraId="1ABFF212" w14:textId="77777777" w:rsidTr="00A405B6">
        <w:tc>
          <w:tcPr>
            <w:tcW w:w="1809" w:type="dxa"/>
          </w:tcPr>
          <w:p w14:paraId="390AF32B" w14:textId="4DA82FA3" w:rsidR="00A405B6" w:rsidRDefault="00A405B6" w:rsidP="00A405B6">
            <w:r>
              <w:t>Всички пациенти</w:t>
            </w:r>
          </w:p>
        </w:tc>
        <w:tc>
          <w:tcPr>
            <w:tcW w:w="2127" w:type="dxa"/>
          </w:tcPr>
          <w:p w14:paraId="741F93BB" w14:textId="483869B7" w:rsidR="00A405B6" w:rsidRDefault="00A405B6" w:rsidP="00A405B6">
            <w:r>
              <w:rPr>
                <w:b/>
                <w:bCs/>
              </w:rPr>
              <w:t xml:space="preserve">289 </w:t>
            </w:r>
            <w:r>
              <w:t>/2352 (12.3%)</w:t>
            </w:r>
          </w:p>
        </w:tc>
        <w:tc>
          <w:tcPr>
            <w:tcW w:w="2409" w:type="dxa"/>
          </w:tcPr>
          <w:p w14:paraId="7A736856" w14:textId="373C61BB" w:rsidR="00A405B6" w:rsidRDefault="00A405B6" w:rsidP="00A405B6">
            <w:r w:rsidRPr="00A405B6">
              <w:rPr>
                <w:b/>
              </w:rPr>
              <w:t>373</w:t>
            </w:r>
            <w:r>
              <w:t xml:space="preserve"> /2372(15.7%)</w:t>
            </w:r>
          </w:p>
        </w:tc>
        <w:tc>
          <w:tcPr>
            <w:tcW w:w="2017" w:type="dxa"/>
          </w:tcPr>
          <w:p w14:paraId="3876B1BD" w14:textId="227E0B04" w:rsidR="00A405B6" w:rsidRDefault="00A405B6" w:rsidP="00A405B6">
            <w:r>
              <w:t>0.76 (0.65-0.89)</w:t>
            </w:r>
          </w:p>
        </w:tc>
        <w:tc>
          <w:tcPr>
            <w:tcW w:w="1214" w:type="dxa"/>
          </w:tcPr>
          <w:p w14:paraId="3C8D7B4C" w14:textId="58796840" w:rsidR="00A405B6" w:rsidRDefault="00A405B6" w:rsidP="00A405B6">
            <w:r>
              <w:t>0.00041</w:t>
            </w:r>
          </w:p>
        </w:tc>
      </w:tr>
      <w:tr w:rsidR="000B0217" w14:paraId="31C844F4" w14:textId="77777777" w:rsidTr="00A405B6">
        <w:tc>
          <w:tcPr>
            <w:tcW w:w="1809" w:type="dxa"/>
          </w:tcPr>
          <w:p w14:paraId="50B65FC0" w14:textId="44A14A3F" w:rsidR="00A405B6" w:rsidRDefault="00A405B6" w:rsidP="00A405B6">
            <w:r>
              <w:rPr>
                <w:lang w:val="en-US"/>
              </w:rPr>
              <w:t xml:space="preserve">ER+ </w:t>
            </w:r>
            <w:r>
              <w:t>пациенти</w:t>
            </w:r>
          </w:p>
        </w:tc>
        <w:tc>
          <w:tcPr>
            <w:tcW w:w="2127" w:type="dxa"/>
          </w:tcPr>
          <w:p w14:paraId="7F841FF7" w14:textId="7AAA3B69" w:rsidR="00A405B6" w:rsidRDefault="00A405B6" w:rsidP="00A405B6">
            <w:r w:rsidRPr="00A405B6">
              <w:rPr>
                <w:b/>
              </w:rPr>
              <w:t>232</w:t>
            </w:r>
            <w:r>
              <w:t>/2023(11.5%)</w:t>
            </w:r>
          </w:p>
        </w:tc>
        <w:tc>
          <w:tcPr>
            <w:tcW w:w="2409" w:type="dxa"/>
          </w:tcPr>
          <w:p w14:paraId="0ACB310F" w14:textId="6FB613E4" w:rsidR="00A405B6" w:rsidRDefault="00A405B6" w:rsidP="00A405B6">
            <w:r w:rsidRPr="00A405B6">
              <w:rPr>
                <w:b/>
              </w:rPr>
              <w:t>305</w:t>
            </w:r>
            <w:r>
              <w:t>/2021 (15.1%)</w:t>
            </w:r>
          </w:p>
        </w:tc>
        <w:tc>
          <w:tcPr>
            <w:tcW w:w="2017" w:type="dxa"/>
          </w:tcPr>
          <w:p w14:paraId="3025B656" w14:textId="37260FA2" w:rsidR="00A405B6" w:rsidRDefault="00A405B6" w:rsidP="00A405B6">
            <w:r>
              <w:t>0.73 (0.62-0.87)</w:t>
            </w:r>
          </w:p>
        </w:tc>
        <w:tc>
          <w:tcPr>
            <w:tcW w:w="1214" w:type="dxa"/>
          </w:tcPr>
          <w:p w14:paraId="31D0C953" w14:textId="4A3292CB" w:rsidR="00A405B6" w:rsidRDefault="00A405B6" w:rsidP="00A405B6">
            <w:r>
              <w:t>0.00038</w:t>
            </w:r>
          </w:p>
        </w:tc>
      </w:tr>
      <w:tr w:rsidR="00A405B6" w14:paraId="3F3D4472" w14:textId="77777777" w:rsidTr="00CF0400">
        <w:tc>
          <w:tcPr>
            <w:tcW w:w="9576" w:type="dxa"/>
            <w:gridSpan w:val="5"/>
          </w:tcPr>
          <w:p w14:paraId="4535E274" w14:textId="188CC875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  <w:lang w:eastAsia="bg-BG"/>
              </w:rPr>
              <w:t>Преживяемост без прояви на далечен рецидив</w:t>
            </w:r>
            <w:r w:rsidRPr="00A405B6">
              <w:rPr>
                <w:b/>
                <w:vertAlign w:val="superscript"/>
                <w:lang w:val="en-US"/>
              </w:rPr>
              <w:t>c</w:t>
            </w:r>
          </w:p>
        </w:tc>
      </w:tr>
      <w:tr w:rsidR="000B0217" w14:paraId="5D1BB99D" w14:textId="77777777" w:rsidTr="00A405B6">
        <w:tc>
          <w:tcPr>
            <w:tcW w:w="1809" w:type="dxa"/>
          </w:tcPr>
          <w:p w14:paraId="2C77AE1F" w14:textId="2634198C" w:rsidR="00A405B6" w:rsidRDefault="00A405B6" w:rsidP="00A405B6">
            <w:r>
              <w:t>Всички пациенти</w:t>
            </w:r>
          </w:p>
        </w:tc>
        <w:tc>
          <w:tcPr>
            <w:tcW w:w="2127" w:type="dxa"/>
          </w:tcPr>
          <w:p w14:paraId="065F9389" w14:textId="37C4D2C5" w:rsidR="00A405B6" w:rsidRDefault="00A405B6" w:rsidP="00A405B6">
            <w:r w:rsidRPr="00A405B6">
              <w:rPr>
                <w:b/>
              </w:rPr>
              <w:t>248</w:t>
            </w:r>
            <w:r>
              <w:t>/2352(10.5%)</w:t>
            </w:r>
          </w:p>
        </w:tc>
        <w:tc>
          <w:tcPr>
            <w:tcW w:w="2409" w:type="dxa"/>
          </w:tcPr>
          <w:p w14:paraId="1BABB20F" w14:textId="14D6B147" w:rsidR="00A405B6" w:rsidRDefault="00A405B6" w:rsidP="00A405B6">
            <w:r w:rsidRPr="00A405B6">
              <w:rPr>
                <w:b/>
              </w:rPr>
              <w:t>297</w:t>
            </w:r>
            <w:r>
              <w:t>/2372(12.5%)</w:t>
            </w:r>
          </w:p>
        </w:tc>
        <w:tc>
          <w:tcPr>
            <w:tcW w:w="2017" w:type="dxa"/>
          </w:tcPr>
          <w:p w14:paraId="24DAA146" w14:textId="0B5B9EE1" w:rsidR="00A405B6" w:rsidRDefault="00A405B6" w:rsidP="00A405B6">
            <w:r>
              <w:t>0.83 (0.70-0.98)</w:t>
            </w:r>
          </w:p>
        </w:tc>
        <w:tc>
          <w:tcPr>
            <w:tcW w:w="1214" w:type="dxa"/>
          </w:tcPr>
          <w:p w14:paraId="7269BA44" w14:textId="54EAC60C" w:rsidR="00A405B6" w:rsidRDefault="00A405B6" w:rsidP="00A405B6">
            <w:r>
              <w:t>0.02621</w:t>
            </w:r>
          </w:p>
        </w:tc>
      </w:tr>
      <w:tr w:rsidR="000B0217" w14:paraId="0D0D2A8D" w14:textId="77777777" w:rsidTr="00A405B6">
        <w:tc>
          <w:tcPr>
            <w:tcW w:w="1809" w:type="dxa"/>
          </w:tcPr>
          <w:p w14:paraId="0BACA011" w14:textId="4DBCAFEC" w:rsidR="00A405B6" w:rsidRDefault="00A405B6" w:rsidP="00A405B6">
            <w:r>
              <w:rPr>
                <w:lang w:val="en-US"/>
              </w:rPr>
              <w:t xml:space="preserve">ER+ </w:t>
            </w:r>
            <w:r>
              <w:t>пациенти</w:t>
            </w:r>
          </w:p>
        </w:tc>
        <w:tc>
          <w:tcPr>
            <w:tcW w:w="2127" w:type="dxa"/>
          </w:tcPr>
          <w:p w14:paraId="78857275" w14:textId="5AB5CA59" w:rsidR="00A405B6" w:rsidRDefault="00A405B6" w:rsidP="00A405B6">
            <w:r w:rsidRPr="00A405B6">
              <w:rPr>
                <w:b/>
              </w:rPr>
              <w:t>194</w:t>
            </w:r>
            <w:r>
              <w:t>/2023 (9.6%)</w:t>
            </w:r>
          </w:p>
        </w:tc>
        <w:tc>
          <w:tcPr>
            <w:tcW w:w="2409" w:type="dxa"/>
          </w:tcPr>
          <w:p w14:paraId="3284DAE1" w14:textId="0B209B77" w:rsidR="00A405B6" w:rsidRDefault="00A405B6" w:rsidP="00A405B6">
            <w:r w:rsidRPr="00A405B6">
              <w:rPr>
                <w:b/>
              </w:rPr>
              <w:t>242</w:t>
            </w:r>
            <w:r>
              <w:t>/2021 (12.0%)</w:t>
            </w:r>
          </w:p>
        </w:tc>
        <w:tc>
          <w:tcPr>
            <w:tcW w:w="2017" w:type="dxa"/>
          </w:tcPr>
          <w:p w14:paraId="2DCDC4A1" w14:textId="7CF8E39E" w:rsidR="00A405B6" w:rsidRDefault="00A405B6" w:rsidP="00A405B6">
            <w:r>
              <w:t>0.78 (0.65-0.95)</w:t>
            </w:r>
          </w:p>
        </w:tc>
        <w:tc>
          <w:tcPr>
            <w:tcW w:w="1214" w:type="dxa"/>
          </w:tcPr>
          <w:p w14:paraId="49FD14A0" w14:textId="734117DC" w:rsidR="00A405B6" w:rsidRDefault="00A405B6" w:rsidP="00A405B6">
            <w:r>
              <w:t>0.01123</w:t>
            </w:r>
          </w:p>
        </w:tc>
      </w:tr>
      <w:tr w:rsidR="00A405B6" w14:paraId="190035AD" w14:textId="77777777" w:rsidTr="00136E96">
        <w:tc>
          <w:tcPr>
            <w:tcW w:w="9576" w:type="dxa"/>
            <w:gridSpan w:val="5"/>
          </w:tcPr>
          <w:p w14:paraId="34075979" w14:textId="475D63CE" w:rsidR="00A405B6" w:rsidRPr="00A405B6" w:rsidRDefault="00A405B6" w:rsidP="00A405B6">
            <w:pPr>
              <w:rPr>
                <w:b/>
              </w:rPr>
            </w:pPr>
            <w:r w:rsidRPr="00A405B6">
              <w:rPr>
                <w:b/>
              </w:rPr>
              <w:t>Обща преживяемост</w:t>
            </w:r>
            <w:r w:rsidRPr="00A405B6">
              <w:rPr>
                <w:b/>
                <w:vertAlign w:val="superscript"/>
                <w:lang w:val="en-US"/>
              </w:rPr>
              <w:t>d</w:t>
            </w:r>
          </w:p>
        </w:tc>
      </w:tr>
      <w:tr w:rsidR="000B0217" w14:paraId="5D24F441" w14:textId="77777777" w:rsidTr="00A405B6">
        <w:tc>
          <w:tcPr>
            <w:tcW w:w="1809" w:type="dxa"/>
          </w:tcPr>
          <w:p w14:paraId="3817E299" w14:textId="15281D88" w:rsidR="00A405B6" w:rsidRDefault="00A405B6" w:rsidP="00A405B6">
            <w:r>
              <w:t>Всички пациенти</w:t>
            </w:r>
          </w:p>
        </w:tc>
        <w:tc>
          <w:tcPr>
            <w:tcW w:w="2127" w:type="dxa"/>
          </w:tcPr>
          <w:p w14:paraId="075CDCA1" w14:textId="3F01A214" w:rsidR="00A405B6" w:rsidRDefault="00A405B6" w:rsidP="00A405B6">
            <w:r>
              <w:rPr>
                <w:b/>
                <w:bCs/>
              </w:rPr>
              <w:t xml:space="preserve">222 </w:t>
            </w:r>
            <w:r>
              <w:t>/2352 (9.4%)</w:t>
            </w:r>
          </w:p>
        </w:tc>
        <w:tc>
          <w:tcPr>
            <w:tcW w:w="2409" w:type="dxa"/>
          </w:tcPr>
          <w:p w14:paraId="1088C630" w14:textId="3CB3B188" w:rsidR="00A405B6" w:rsidRDefault="00A405B6" w:rsidP="00A405B6">
            <w:r w:rsidRPr="00A405B6">
              <w:rPr>
                <w:b/>
                <w:i/>
                <w:iCs/>
              </w:rPr>
              <w:t>262</w:t>
            </w:r>
            <w:r>
              <w:rPr>
                <w:i/>
                <w:iCs/>
              </w:rPr>
              <w:t>/2372(11.0%)</w:t>
            </w:r>
          </w:p>
        </w:tc>
        <w:tc>
          <w:tcPr>
            <w:tcW w:w="2017" w:type="dxa"/>
          </w:tcPr>
          <w:p w14:paraId="6A27CDAA" w14:textId="54AE8732" w:rsidR="00A405B6" w:rsidRDefault="00A405B6" w:rsidP="00A405B6">
            <w:r>
              <w:t>0.85 (0.71-1.02)</w:t>
            </w:r>
          </w:p>
        </w:tc>
        <w:tc>
          <w:tcPr>
            <w:tcW w:w="1214" w:type="dxa"/>
          </w:tcPr>
          <w:p w14:paraId="1409F5BC" w14:textId="46856C5E" w:rsidR="00A405B6" w:rsidRDefault="00A405B6" w:rsidP="00A405B6">
            <w:r>
              <w:t>0.07362</w:t>
            </w:r>
          </w:p>
        </w:tc>
      </w:tr>
      <w:tr w:rsidR="000B0217" w14:paraId="4E4B53F1" w14:textId="77777777" w:rsidTr="00A405B6">
        <w:tc>
          <w:tcPr>
            <w:tcW w:w="1809" w:type="dxa"/>
          </w:tcPr>
          <w:p w14:paraId="6DBB3BF9" w14:textId="079B3EE0" w:rsidR="00A405B6" w:rsidRDefault="00A405B6" w:rsidP="00A405B6">
            <w:r>
              <w:rPr>
                <w:lang w:val="en-US"/>
              </w:rPr>
              <w:t xml:space="preserve">ER+ </w:t>
            </w:r>
            <w:r>
              <w:t>пациенти</w:t>
            </w:r>
          </w:p>
        </w:tc>
        <w:tc>
          <w:tcPr>
            <w:tcW w:w="2127" w:type="dxa"/>
          </w:tcPr>
          <w:p w14:paraId="42F8C1E8" w14:textId="69C7B9FD" w:rsidR="00A405B6" w:rsidRDefault="00A405B6" w:rsidP="00A405B6">
            <w:r>
              <w:rPr>
                <w:b/>
                <w:bCs/>
              </w:rPr>
              <w:t xml:space="preserve">178 </w:t>
            </w:r>
            <w:r>
              <w:t>/2023 (8.8%)</w:t>
            </w:r>
          </w:p>
        </w:tc>
        <w:tc>
          <w:tcPr>
            <w:tcW w:w="2409" w:type="dxa"/>
          </w:tcPr>
          <w:p w14:paraId="5C33C443" w14:textId="2E371BF8" w:rsidR="00A405B6" w:rsidRDefault="00A405B6" w:rsidP="00A405B6">
            <w:r>
              <w:rPr>
                <w:b/>
                <w:bCs/>
              </w:rPr>
              <w:t xml:space="preserve">211 </w:t>
            </w:r>
            <w:r>
              <w:t>/2021 (10.4%)</w:t>
            </w:r>
          </w:p>
        </w:tc>
        <w:tc>
          <w:tcPr>
            <w:tcW w:w="2017" w:type="dxa"/>
          </w:tcPr>
          <w:p w14:paraId="48FD1628" w14:textId="1338B2A4" w:rsidR="00A405B6" w:rsidRDefault="00A405B6" w:rsidP="00A405B6">
            <w:r>
              <w:t>0.84 (0.68-1.02)</w:t>
            </w:r>
          </w:p>
        </w:tc>
        <w:tc>
          <w:tcPr>
            <w:tcW w:w="1214" w:type="dxa"/>
          </w:tcPr>
          <w:p w14:paraId="3047D1E0" w14:textId="012A043D" w:rsidR="00A405B6" w:rsidRDefault="00A405B6" w:rsidP="00A405B6">
            <w:r>
              <w:t>0.07569</w:t>
            </w:r>
          </w:p>
        </w:tc>
      </w:tr>
    </w:tbl>
    <w:p w14:paraId="454CB5E0" w14:textId="23B21AAB" w:rsidR="00A405B6" w:rsidRPr="00A405B6" w:rsidRDefault="00A405B6" w:rsidP="00A405B6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*</w:t>
      </w:r>
      <w:r w:rsidRPr="00A405B6">
        <w:rPr>
          <w:rFonts w:eastAsia="Times New Roman" w:cs="Arial"/>
          <w:color w:val="000000"/>
          <w:lang w:val="en-US"/>
        </w:rPr>
        <w:t>Log</w:t>
      </w:r>
      <w:r w:rsidRPr="00A405B6">
        <w:rPr>
          <w:rFonts w:eastAsia="Times New Roman" w:cs="Arial"/>
          <w:color w:val="000000"/>
          <w:lang w:val="ru-RU"/>
        </w:rPr>
        <w:t>-</w:t>
      </w:r>
      <w:r w:rsidRPr="00A405B6">
        <w:rPr>
          <w:rFonts w:eastAsia="Times New Roman" w:cs="Arial"/>
          <w:color w:val="000000"/>
          <w:lang w:val="en-US"/>
        </w:rPr>
        <w:t>rank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тест; </w:t>
      </w:r>
      <w:r w:rsidRPr="00A405B6">
        <w:rPr>
          <w:rFonts w:eastAsia="Times New Roman" w:cs="Arial"/>
          <w:color w:val="000000"/>
          <w:lang w:val="en-US"/>
        </w:rPr>
        <w:t>ER</w:t>
      </w:r>
      <w:r w:rsidRPr="00A405B6">
        <w:rPr>
          <w:rFonts w:eastAsia="Times New Roman" w:cs="Arial"/>
          <w:color w:val="000000"/>
          <w:lang w:val="ru-RU"/>
        </w:rPr>
        <w:t xml:space="preserve">+ </w:t>
      </w:r>
      <w:r w:rsidRPr="00A405B6">
        <w:rPr>
          <w:rFonts w:eastAsia="Times New Roman" w:cs="Arial"/>
          <w:color w:val="000000"/>
          <w:lang w:eastAsia="bg-BG"/>
        </w:rPr>
        <w:t>пациенти - естроген-рецептор позитивни пациенти;</w:t>
      </w:r>
    </w:p>
    <w:p w14:paraId="2AEA38F4" w14:textId="36F225A6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vertAlign w:val="superscript"/>
          <w:lang w:val="en-US"/>
        </w:rPr>
        <w:t>a</w:t>
      </w:r>
      <w:r w:rsidRPr="00A405B6">
        <w:rPr>
          <w:rFonts w:eastAsia="Times New Roman" w:cs="Arial"/>
          <w:color w:val="000000"/>
          <w:lang w:eastAsia="bg-BG"/>
        </w:rPr>
        <w:t xml:space="preserve">Свободният от болест период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disease</w:t>
      </w:r>
      <w:r w:rsidRPr="00A405B6">
        <w:rPr>
          <w:rFonts w:eastAsia="Times New Roman" w:cs="Arial"/>
          <w:color w:val="000000"/>
          <w:lang w:val="ru-RU"/>
        </w:rPr>
        <w:t>-</w:t>
      </w:r>
      <w:r w:rsidRPr="00A405B6">
        <w:rPr>
          <w:rFonts w:eastAsia="Times New Roman" w:cs="Arial"/>
          <w:color w:val="000000"/>
          <w:lang w:val="en-US"/>
        </w:rPr>
        <w:t>free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survival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се определя според първата поява на локален или отложен рецидив, рак на другата гърда или смърт от каквато и да е причина;</w:t>
      </w:r>
    </w:p>
    <w:p w14:paraId="7697B5AA" w14:textId="1351F8F5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vertAlign w:val="superscript"/>
          <w:lang w:val="en-US"/>
        </w:rPr>
        <w:t>b</w:t>
      </w:r>
      <w:r w:rsidRPr="00A405B6">
        <w:rPr>
          <w:rFonts w:eastAsia="Times New Roman" w:cs="Arial"/>
          <w:color w:val="000000"/>
          <w:lang w:eastAsia="bg-BG"/>
        </w:rPr>
        <w:t xml:space="preserve">Преживяемостта без прояви на карцином на гърдата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breast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cancer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free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survival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се определя според първата поява на локален или отложен рецидив, рак на другата гърда или смърт от рак на гърдата;</w:t>
      </w:r>
    </w:p>
    <w:p w14:paraId="35213079" w14:textId="08EF351D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vertAlign w:val="superscript"/>
          <w:lang w:val="en-US"/>
        </w:rPr>
        <w:t>c</w:t>
      </w:r>
      <w:r w:rsidRPr="00A405B6">
        <w:rPr>
          <w:rFonts w:eastAsia="Times New Roman" w:cs="Arial"/>
          <w:color w:val="000000"/>
          <w:lang w:eastAsia="bg-BG"/>
        </w:rPr>
        <w:t xml:space="preserve">Преживяемостта без прояви на далечен рецидив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distant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recurrence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free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survival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се определя според първата поява на отложен рецидив или смърт от рак на гърдата;</w:t>
      </w:r>
    </w:p>
    <w:p w14:paraId="554D5338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vertAlign w:val="superscript"/>
          <w:lang w:val="en-US"/>
        </w:rPr>
        <w:t>d</w:t>
      </w:r>
      <w:r w:rsidRPr="00A405B6">
        <w:rPr>
          <w:rFonts w:eastAsia="Times New Roman" w:cs="Arial"/>
          <w:color w:val="000000"/>
          <w:lang w:eastAsia="bg-BG"/>
        </w:rPr>
        <w:t xml:space="preserve">Общата преживяемост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overall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survival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се определя според смъртта от каквато и да е причина.</w:t>
      </w:r>
    </w:p>
    <w:p w14:paraId="129B2E0F" w14:textId="77777777" w:rsidR="00A405B6" w:rsidRDefault="00A405B6" w:rsidP="00A405B6">
      <w:pPr>
        <w:rPr>
          <w:rFonts w:eastAsia="Times New Roman" w:cs="Arial"/>
          <w:color w:val="000000"/>
          <w:lang w:eastAsia="bg-BG"/>
        </w:rPr>
      </w:pPr>
    </w:p>
    <w:p w14:paraId="3D888026" w14:textId="6642AF25" w:rsidR="00A405B6" w:rsidRDefault="00A405B6" w:rsidP="00A405B6">
      <w:pPr>
        <w:rPr>
          <w:rFonts w:eastAsia="Times New Roman" w:cs="Arial"/>
          <w:color w:val="000000"/>
          <w:lang w:eastAsia="bg-BG"/>
        </w:rPr>
      </w:pPr>
      <w:r w:rsidRPr="00A405B6">
        <w:rPr>
          <w:rFonts w:eastAsia="Times New Roman" w:cs="Arial"/>
          <w:color w:val="000000"/>
          <w:lang w:eastAsia="bg-BG"/>
        </w:rPr>
        <w:t xml:space="preserve">В допълнителния анализ на подгрупата пациенти положителни за естрогенни рецептори </w:t>
      </w:r>
      <w:r w:rsidRPr="00A405B6">
        <w:rPr>
          <w:rFonts w:eastAsia="Times New Roman" w:cs="Arial"/>
          <w:color w:val="000000"/>
          <w:u w:val="single"/>
          <w:lang w:eastAsia="bg-BG"/>
        </w:rPr>
        <w:t>или</w:t>
      </w:r>
      <w:r w:rsidRPr="00A405B6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A405B6">
        <w:rPr>
          <w:rFonts w:eastAsia="Times New Roman" w:cs="Arial"/>
          <w:color w:val="000000"/>
          <w:u w:val="single"/>
          <w:lang w:eastAsia="bg-BG"/>
        </w:rPr>
        <w:t>с</w:t>
      </w:r>
      <w:r w:rsidRPr="00A405B6">
        <w:rPr>
          <w:rFonts w:eastAsia="Times New Roman" w:cs="Arial"/>
          <w:color w:val="000000"/>
          <w:lang w:eastAsia="bg-BG"/>
        </w:rPr>
        <w:t xml:space="preserve"> неизвестен статус неадаптираният коефициент на риска за обща преживяемост е бил 0,93 (</w:t>
      </w:r>
      <w:r w:rsidRPr="00A405B6">
        <w:rPr>
          <w:rFonts w:eastAsia="Times New Roman" w:cs="Arial"/>
          <w:color w:val="000000"/>
          <w:lang w:val="en-US"/>
        </w:rPr>
        <w:t>log</w:t>
      </w:r>
      <w:r w:rsidRPr="00A405B6">
        <w:rPr>
          <w:rFonts w:eastAsia="Times New Roman" w:cs="Arial"/>
          <w:color w:val="000000"/>
          <w:lang w:val="ru-RU"/>
        </w:rPr>
        <w:t>-</w:t>
      </w:r>
      <w:r w:rsidRPr="00A405B6">
        <w:rPr>
          <w:rFonts w:eastAsia="Times New Roman" w:cs="Arial"/>
          <w:color w:val="000000"/>
          <w:lang w:val="en-US"/>
        </w:rPr>
        <w:t>rank</w:t>
      </w:r>
      <w:r w:rsidRPr="00A405B6">
        <w:rPr>
          <w:rFonts w:eastAsia="Times New Roman" w:cs="Arial"/>
          <w:color w:val="000000"/>
          <w:lang w:eastAsia="bg-BG"/>
        </w:rPr>
        <w:t xml:space="preserve"> тест: р=0,04250), което представлява клинично и статистически значимо намаление с</w:t>
      </w:r>
      <w:r w:rsidRPr="00A405B6">
        <w:rPr>
          <w:rFonts w:eastAsia="Times New Roman" w:cs="Arial"/>
          <w:color w:val="000000"/>
          <w:lang w:val="ru-RU"/>
        </w:rPr>
        <w:t xml:space="preserve"> 17% </w:t>
      </w:r>
      <w:r w:rsidRPr="00A405B6">
        <w:rPr>
          <w:rFonts w:eastAsia="Times New Roman" w:cs="Arial"/>
          <w:color w:val="000000"/>
          <w:lang w:eastAsia="bg-BG"/>
        </w:rPr>
        <w:t>на риска от смърт.</w:t>
      </w:r>
    </w:p>
    <w:p w14:paraId="27460A0A" w14:textId="44FBF52E" w:rsidR="00A405B6" w:rsidRDefault="00A405B6" w:rsidP="00A405B6">
      <w:pPr>
        <w:rPr>
          <w:rFonts w:eastAsia="Times New Roman" w:cs="Arial"/>
          <w:color w:val="000000"/>
          <w:lang w:eastAsia="bg-BG"/>
        </w:rPr>
      </w:pPr>
    </w:p>
    <w:p w14:paraId="774F4A60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Резултатите от подпроучване, оценяващо костните промени, е показало, че </w:t>
      </w:r>
      <w:r w:rsidRPr="00A405B6">
        <w:rPr>
          <w:rFonts w:eastAsia="Times New Roman" w:cs="Arial"/>
          <w:i/>
          <w:iCs/>
          <w:color w:val="000000"/>
          <w:lang w:eastAsia="bg-BG"/>
        </w:rPr>
        <w:t>при</w:t>
      </w:r>
      <w:r w:rsidRPr="00A405B6">
        <w:rPr>
          <w:rFonts w:eastAsia="Times New Roman" w:cs="Arial"/>
          <w:color w:val="000000"/>
          <w:lang w:eastAsia="bg-BG"/>
        </w:rPr>
        <w:t xml:space="preserve"> жени, лекувани с Екземестан след 2 до 3 години лечение с тамоксифен, е настъпило умерено намаление на костната минерална плътност. В цялото проучване честотата на фрактурите в резултат на терапията, оценена по време на 30-месечен период на лечение, е била по-висока при пациенти, лекувани с Екземестан в сравнение с тамоксифен (съответно 4,5% и 3,3%), р=0,038).</w:t>
      </w:r>
    </w:p>
    <w:p w14:paraId="13C43645" w14:textId="77777777" w:rsidR="000B0217" w:rsidRPr="000B0217" w:rsidRDefault="000B0217" w:rsidP="00A405B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E52EAD" w14:textId="5002BAC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Резултатите от подпроучване върху ендометриума показват, че след двугодишно лечение е настъпило средно намаление с 33% на дебелината на ендометриума при пациентите, лекувани с Екземестан, без изразена разлика при пациентите, лекувани с тамоксифен. Задебеляването на ендометриума, докладвано в началото на проучването, е претърпяло обратно развитие към нормализация (&lt; 5 </w:t>
      </w:r>
      <w:r w:rsidRPr="00A405B6">
        <w:rPr>
          <w:rFonts w:eastAsia="Times New Roman" w:cs="Arial"/>
          <w:color w:val="000000"/>
          <w:lang w:val="en-US"/>
        </w:rPr>
        <w:t>mm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при 54% от пациентите, лекувани с Екземестан.</w:t>
      </w:r>
    </w:p>
    <w:p w14:paraId="0AB7795A" w14:textId="77777777" w:rsidR="000B0217" w:rsidRPr="000B0217" w:rsidRDefault="000B0217" w:rsidP="00A405B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3C689A" w14:textId="6962B49A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u w:val="single"/>
          <w:lang w:eastAsia="bg-BG"/>
        </w:rPr>
        <w:t>Лечение на напреднал карцином на гърдата</w:t>
      </w:r>
    </w:p>
    <w:p w14:paraId="1E85E045" w14:textId="77777777" w:rsidR="00A405B6" w:rsidRPr="00A405B6" w:rsidRDefault="00A405B6" w:rsidP="00A405B6">
      <w:pPr>
        <w:spacing w:line="240" w:lineRule="auto"/>
        <w:rPr>
          <w:rFonts w:eastAsia="Times New Roman" w:cs="Arial"/>
        </w:rPr>
      </w:pPr>
      <w:r w:rsidRPr="00A405B6">
        <w:rPr>
          <w:rFonts w:eastAsia="Times New Roman" w:cs="Arial"/>
          <w:color w:val="000000"/>
          <w:lang w:eastAsia="bg-BG"/>
        </w:rPr>
        <w:t xml:space="preserve">В рандомизирано, наблюдавано от независима експертна комисия, контролирано клинично проучване Екземестан в дневна доза от 25 </w:t>
      </w:r>
      <w:r w:rsidRPr="00A405B6">
        <w:rPr>
          <w:rFonts w:eastAsia="Times New Roman" w:cs="Arial"/>
          <w:color w:val="000000"/>
          <w:lang w:val="en-US"/>
        </w:rPr>
        <w:t>mg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eastAsia="bg-BG"/>
        </w:rPr>
        <w:t xml:space="preserve">е показал статистически значимо удължаване на преживяемостта, времето до настъпване на прогресия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time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to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progression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val="en-US"/>
        </w:rPr>
        <w:t>TTP</w:t>
      </w:r>
      <w:r w:rsidRPr="00A405B6">
        <w:rPr>
          <w:rFonts w:eastAsia="Times New Roman" w:cs="Arial"/>
          <w:color w:val="000000"/>
          <w:lang w:val="ru-RU"/>
        </w:rPr>
        <w:t xml:space="preserve">), </w:t>
      </w:r>
      <w:r w:rsidRPr="00A405B6">
        <w:rPr>
          <w:rFonts w:eastAsia="Times New Roman" w:cs="Arial"/>
          <w:color w:val="000000"/>
          <w:lang w:eastAsia="bg-BG"/>
        </w:rPr>
        <w:t xml:space="preserve">времето до неуспех на лечението </w:t>
      </w:r>
      <w:r w:rsidRPr="00A405B6">
        <w:rPr>
          <w:rFonts w:eastAsia="Times New Roman" w:cs="Arial"/>
          <w:color w:val="000000"/>
          <w:lang w:val="ru-RU"/>
        </w:rPr>
        <w:t>(</w:t>
      </w:r>
      <w:r w:rsidRPr="00A405B6">
        <w:rPr>
          <w:rFonts w:eastAsia="Times New Roman" w:cs="Arial"/>
          <w:color w:val="000000"/>
          <w:lang w:val="en-US"/>
        </w:rPr>
        <w:t>time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to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treatment</w:t>
      </w:r>
      <w:r w:rsidRPr="00A405B6">
        <w:rPr>
          <w:rFonts w:eastAsia="Times New Roman" w:cs="Arial"/>
          <w:color w:val="000000"/>
          <w:lang w:val="ru-RU"/>
        </w:rPr>
        <w:t xml:space="preserve"> </w:t>
      </w:r>
      <w:r w:rsidRPr="00A405B6">
        <w:rPr>
          <w:rFonts w:eastAsia="Times New Roman" w:cs="Arial"/>
          <w:color w:val="000000"/>
          <w:lang w:val="en-US"/>
        </w:rPr>
        <w:t>failure</w:t>
      </w:r>
      <w:r w:rsidRPr="00A405B6">
        <w:rPr>
          <w:rFonts w:eastAsia="Times New Roman" w:cs="Arial"/>
          <w:color w:val="000000"/>
          <w:lang w:val="ru-RU"/>
        </w:rPr>
        <w:t xml:space="preserve">, </w:t>
      </w:r>
      <w:r w:rsidRPr="00A405B6">
        <w:rPr>
          <w:rFonts w:eastAsia="Times New Roman" w:cs="Arial"/>
          <w:color w:val="000000"/>
          <w:lang w:val="en-US"/>
        </w:rPr>
        <w:t>TTF</w:t>
      </w:r>
      <w:r w:rsidRPr="00A405B6">
        <w:rPr>
          <w:rFonts w:eastAsia="Times New Roman" w:cs="Arial"/>
          <w:color w:val="000000"/>
          <w:lang w:val="ru-RU"/>
        </w:rPr>
        <w:t xml:space="preserve">) </w:t>
      </w:r>
      <w:r w:rsidRPr="00A405B6">
        <w:rPr>
          <w:rFonts w:eastAsia="Times New Roman" w:cs="Arial"/>
          <w:color w:val="000000"/>
          <w:lang w:eastAsia="bg-BG"/>
        </w:rPr>
        <w:t>в сравнение със стандартно хормонално лечение с мегестрол ацетат при жени след менопауза с напреднал карцином на гърдата, който е прогресирал след или по време на лечение с тамоксифен като адювантна терапия или като лечение от първа линия при напреднало заболяване.</w:t>
      </w:r>
    </w:p>
    <w:p w14:paraId="10F9AD7F" w14:textId="77777777" w:rsidR="00A405B6" w:rsidRPr="00A405B6" w:rsidRDefault="00A405B6" w:rsidP="00A405B6">
      <w:pPr>
        <w:rPr>
          <w:rFonts w:cs="Arial"/>
        </w:rPr>
      </w:pPr>
    </w:p>
    <w:p w14:paraId="35F84B81" w14:textId="5BAA46B0" w:rsidR="00CF77F7" w:rsidRDefault="002C50EE" w:rsidP="004A448E">
      <w:pPr>
        <w:pStyle w:val="Heading2"/>
      </w:pPr>
      <w:r>
        <w:t>5.2. Фармакокинетични свойства</w:t>
      </w:r>
    </w:p>
    <w:p w14:paraId="2E66A66E" w14:textId="330B914B" w:rsidR="000B0217" w:rsidRDefault="000B0217" w:rsidP="000B0217"/>
    <w:p w14:paraId="222E0BF4" w14:textId="77777777" w:rsidR="000B0217" w:rsidRPr="000B0217" w:rsidRDefault="000B0217" w:rsidP="000B0217">
      <w:pPr>
        <w:pStyle w:val="Heading3"/>
        <w:rPr>
          <w:rFonts w:eastAsia="Times New Roman"/>
          <w:u w:val="single"/>
        </w:rPr>
      </w:pPr>
      <w:r w:rsidRPr="000B0217">
        <w:rPr>
          <w:rFonts w:eastAsia="Times New Roman"/>
          <w:u w:val="single"/>
          <w:lang w:eastAsia="bg-BG"/>
        </w:rPr>
        <w:t>Абсорбция:</w:t>
      </w:r>
    </w:p>
    <w:p w14:paraId="5B8D4596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 xml:space="preserve">След перорално приложение на Ксанепра таблетки, екземестан се абсорбира бързо. Фракцията от дозата, абсорбирана от стомашно - чревния тракт, е висока. Абсолютната бионаличност при хора е неизвестна, въпреки че се очаква да бъде ограничена от изразен ефект на първо преминаване през черния дроб. Подобен ефект е довел до абсолютна бионаличност от 5 % при плъхове и кучета. След еднократна доза от 25 </w:t>
      </w:r>
      <w:r w:rsidRPr="000B0217">
        <w:rPr>
          <w:rFonts w:eastAsia="Times New Roman" w:cs="Arial"/>
          <w:color w:val="000000"/>
          <w:lang w:val="en-US"/>
        </w:rPr>
        <w:t>mg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 xml:space="preserve">максималните плазмени нива от 18 </w:t>
      </w:r>
      <w:r w:rsidRPr="000B0217">
        <w:rPr>
          <w:rFonts w:eastAsia="Times New Roman" w:cs="Arial"/>
          <w:color w:val="000000"/>
          <w:lang w:val="en-US"/>
        </w:rPr>
        <w:t>ng</w:t>
      </w:r>
      <w:r w:rsidRPr="000B0217">
        <w:rPr>
          <w:rFonts w:eastAsia="Times New Roman" w:cs="Arial"/>
          <w:color w:val="000000"/>
          <w:lang w:val="ru-RU"/>
        </w:rPr>
        <w:t>/</w:t>
      </w:r>
      <w:r w:rsidRPr="000B0217">
        <w:rPr>
          <w:rFonts w:eastAsia="Times New Roman" w:cs="Arial"/>
          <w:color w:val="000000"/>
          <w:lang w:val="en-US"/>
        </w:rPr>
        <w:t>ml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>се достигат след два часа. Приемът по време на хранене повишава бионаличността с 40 %.</w:t>
      </w:r>
    </w:p>
    <w:p w14:paraId="308A7CF4" w14:textId="77777777" w:rsidR="000B0217" w:rsidRDefault="000B0217" w:rsidP="000B021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B3834D" w14:textId="28D28D7B" w:rsidR="000B0217" w:rsidRPr="000B0217" w:rsidRDefault="000B0217" w:rsidP="000B0217">
      <w:pPr>
        <w:pStyle w:val="Heading3"/>
        <w:rPr>
          <w:rFonts w:eastAsia="Times New Roman"/>
          <w:u w:val="single"/>
        </w:rPr>
      </w:pPr>
      <w:r w:rsidRPr="000B0217">
        <w:rPr>
          <w:rFonts w:eastAsia="Times New Roman"/>
          <w:u w:val="single"/>
          <w:lang w:eastAsia="bg-BG"/>
        </w:rPr>
        <w:t>Разпределение:</w:t>
      </w:r>
    </w:p>
    <w:p w14:paraId="62C10BD2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Обемът на разпределение на екземестан, без корекция за пероралната бионаличност, е около 20 000 I. Кинетиката е линейна и терминалното време на полуживот е 24 часа. Свързването с плазмените протеини е 90% и е независимо от концентрацията. Екземестан и неговите метаболити не се свързват с еритроцитите.</w:t>
      </w:r>
    </w:p>
    <w:p w14:paraId="22EF51E1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Екземестан не кумулира по неочакван начин след многократно дозиране.</w:t>
      </w:r>
    </w:p>
    <w:p w14:paraId="30202DE7" w14:textId="77777777" w:rsidR="000B0217" w:rsidRDefault="000B0217" w:rsidP="000B021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24EF5E" w14:textId="4BE876BE" w:rsidR="000B0217" w:rsidRPr="000B0217" w:rsidRDefault="000B0217" w:rsidP="000B0217">
      <w:pPr>
        <w:pStyle w:val="Heading3"/>
        <w:rPr>
          <w:rFonts w:eastAsia="Times New Roman"/>
          <w:u w:val="single"/>
        </w:rPr>
      </w:pPr>
      <w:r w:rsidRPr="000B0217">
        <w:rPr>
          <w:rFonts w:eastAsia="Times New Roman"/>
          <w:u w:val="single"/>
          <w:lang w:eastAsia="bg-BG"/>
        </w:rPr>
        <w:lastRenderedPageBreak/>
        <w:t>Метаболизъм и екскреция:</w:t>
      </w:r>
    </w:p>
    <w:p w14:paraId="6DFFBFB0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 xml:space="preserve">Екземестан се метаболизира чрез окисление на метиленовата група на 6-та позиция от </w:t>
      </w:r>
      <w:r w:rsidRPr="000B0217">
        <w:rPr>
          <w:rFonts w:eastAsia="Times New Roman" w:cs="Arial"/>
          <w:color w:val="000000"/>
          <w:lang w:val="en-US"/>
        </w:rPr>
        <w:t>CYP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 xml:space="preserve">ЗА4 изоензима и/или редукция на 17-кетогрупата от алдокеторедуктазата, последвани от конюгиране. Клирънсът на екземестан е около 500 </w:t>
      </w:r>
      <w:r w:rsidRPr="000B0217">
        <w:rPr>
          <w:rFonts w:eastAsia="Times New Roman" w:cs="Arial"/>
          <w:color w:val="000000"/>
          <w:lang w:val="ru-RU"/>
        </w:rPr>
        <w:t>1/</w:t>
      </w:r>
      <w:r w:rsidRPr="000B0217">
        <w:rPr>
          <w:rFonts w:eastAsia="Times New Roman" w:cs="Arial"/>
          <w:color w:val="000000"/>
          <w:lang w:val="en-US"/>
        </w:rPr>
        <w:t>h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>без корекция за пероралната бионаличност.</w:t>
      </w:r>
    </w:p>
    <w:p w14:paraId="0769BB47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Метаболитите са неактивни или инхибирането на ароматазата е по-слабо от това на изходното съединение.</w:t>
      </w:r>
    </w:p>
    <w:p w14:paraId="7E423B7A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Количеството, което се екскретира непроменено в урината, е 1% от дозата. В урината и изпражненията за една седмица се елиминират еднакви количества (40%) 14С-белязан екземестан.</w:t>
      </w:r>
    </w:p>
    <w:p w14:paraId="4DF0A95C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</w:p>
    <w:p w14:paraId="249E19F2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u w:val="single"/>
          <w:lang w:eastAsia="bg-BG"/>
        </w:rPr>
        <w:t>Специални популации:</w:t>
      </w:r>
    </w:p>
    <w:p w14:paraId="25324CC7" w14:textId="77777777" w:rsidR="000B0217" w:rsidRDefault="000B0217" w:rsidP="000B0217">
      <w:pPr>
        <w:rPr>
          <w:rFonts w:eastAsia="Times New Roman" w:cs="Arial"/>
          <w:b/>
          <w:bCs/>
          <w:color w:val="000000"/>
          <w:lang w:eastAsia="bg-BG"/>
        </w:rPr>
      </w:pPr>
    </w:p>
    <w:p w14:paraId="5DD1C116" w14:textId="15B842F7" w:rsidR="000B0217" w:rsidRDefault="000B0217" w:rsidP="000B0217">
      <w:pPr>
        <w:rPr>
          <w:rFonts w:eastAsia="Times New Roman" w:cs="Arial"/>
          <w:color w:val="000000"/>
          <w:lang w:eastAsia="bg-BG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 xml:space="preserve">Възраст: </w:t>
      </w:r>
      <w:r w:rsidRPr="000B0217">
        <w:rPr>
          <w:rFonts w:eastAsia="Times New Roman" w:cs="Arial"/>
          <w:color w:val="000000"/>
          <w:lang w:eastAsia="bg-BG"/>
        </w:rPr>
        <w:t>Не е наблюдавана значителна корелация между системното приложение на Екземестан и възрастта на индивидите.</w:t>
      </w:r>
    </w:p>
    <w:p w14:paraId="58EDBAF2" w14:textId="3329BF1D" w:rsidR="000B0217" w:rsidRDefault="000B0217" w:rsidP="000B0217">
      <w:pPr>
        <w:rPr>
          <w:rFonts w:eastAsia="Times New Roman" w:cs="Arial"/>
          <w:color w:val="000000"/>
          <w:lang w:eastAsia="bg-BG"/>
        </w:rPr>
      </w:pPr>
    </w:p>
    <w:p w14:paraId="3225CB66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bookmarkStart w:id="1" w:name="bookmark0"/>
      <w:r w:rsidRPr="000B0217">
        <w:rPr>
          <w:rFonts w:eastAsia="Times New Roman" w:cs="Arial"/>
          <w:b/>
          <w:bCs/>
          <w:color w:val="000000"/>
          <w:lang w:eastAsia="bg-BG"/>
        </w:rPr>
        <w:t>Бъбречна недостатъчност:</w:t>
      </w:r>
      <w:bookmarkEnd w:id="1"/>
    </w:p>
    <w:p w14:paraId="6EF8D6F4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 xml:space="preserve">При пациенти с тежко бъбречно увреждане </w:t>
      </w:r>
      <w:r w:rsidRPr="000B0217">
        <w:rPr>
          <w:rFonts w:eastAsia="Times New Roman" w:cs="Arial"/>
          <w:color w:val="000000"/>
          <w:lang w:val="ru-RU"/>
        </w:rPr>
        <w:t>(</w:t>
      </w:r>
      <w:r w:rsidRPr="000B0217">
        <w:rPr>
          <w:rFonts w:eastAsia="Times New Roman" w:cs="Arial"/>
          <w:color w:val="000000"/>
          <w:lang w:val="en-US"/>
        </w:rPr>
        <w:t>CLcr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 xml:space="preserve">&lt; 30 </w:t>
      </w:r>
      <w:r w:rsidRPr="000B0217">
        <w:rPr>
          <w:rFonts w:eastAsia="Times New Roman" w:cs="Arial"/>
          <w:color w:val="000000"/>
          <w:lang w:val="en-US"/>
        </w:rPr>
        <w:t>ml</w:t>
      </w:r>
      <w:r w:rsidRPr="000B0217">
        <w:rPr>
          <w:rFonts w:eastAsia="Times New Roman" w:cs="Arial"/>
          <w:color w:val="000000"/>
          <w:lang w:val="ru-RU"/>
        </w:rPr>
        <w:t>/</w:t>
      </w:r>
      <w:r w:rsidRPr="000B0217">
        <w:rPr>
          <w:rFonts w:eastAsia="Times New Roman" w:cs="Arial"/>
          <w:color w:val="000000"/>
          <w:lang w:val="en-US"/>
        </w:rPr>
        <w:t>min</w:t>
      </w:r>
      <w:r w:rsidRPr="000B0217">
        <w:rPr>
          <w:rFonts w:eastAsia="Times New Roman" w:cs="Arial"/>
          <w:color w:val="000000"/>
          <w:lang w:val="ru-RU"/>
        </w:rPr>
        <w:t xml:space="preserve">) </w:t>
      </w:r>
      <w:r w:rsidRPr="000B0217">
        <w:rPr>
          <w:rFonts w:eastAsia="Times New Roman" w:cs="Arial"/>
          <w:color w:val="000000"/>
          <w:lang w:eastAsia="bg-BG"/>
        </w:rPr>
        <w:t>системната експозиция към екземестан е била 2 пъти по-висока, отколкото при здрави доброволци.</w:t>
      </w:r>
    </w:p>
    <w:p w14:paraId="5B5B32BE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Предвид профила на безопасност на екземестан не се счита за необходимо коригиране на дозата.</w:t>
      </w:r>
    </w:p>
    <w:p w14:paraId="54A1D374" w14:textId="77777777" w:rsidR="000B0217" w:rsidRPr="000B0217" w:rsidRDefault="000B0217" w:rsidP="000B021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54B696A3" w14:textId="19184F2B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>Чернодробна недостатъчност:</w:t>
      </w:r>
      <w:bookmarkEnd w:id="2"/>
    </w:p>
    <w:p w14:paraId="7BBDCF77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color w:val="000000"/>
          <w:lang w:eastAsia="bg-BG"/>
        </w:rPr>
        <w:t>При пациенти с умерено или тежко чернодробно увреждане експозицията на екземестан е 2-3 пъти по-висока, отколкото при здрави доброволци. Предвид профила на безопасност на екземестан не се счита за необходимо коригиране на дозата.</w:t>
      </w:r>
    </w:p>
    <w:p w14:paraId="63959645" w14:textId="77777777" w:rsidR="000B0217" w:rsidRPr="000B0217" w:rsidRDefault="000B0217" w:rsidP="000B0217">
      <w:pPr>
        <w:rPr>
          <w:rFonts w:cs="Arial"/>
        </w:rPr>
      </w:pPr>
    </w:p>
    <w:p w14:paraId="648E39DA" w14:textId="7AE826FC" w:rsidR="00CF77F7" w:rsidRDefault="002C50EE" w:rsidP="004A448E">
      <w:pPr>
        <w:pStyle w:val="Heading2"/>
      </w:pPr>
      <w:r>
        <w:t>5.3. Предклинични данни за безопасност</w:t>
      </w:r>
    </w:p>
    <w:p w14:paraId="372C9B91" w14:textId="4558D3A1" w:rsidR="000B0217" w:rsidRDefault="000B0217" w:rsidP="000B0217"/>
    <w:p w14:paraId="082BE1A7" w14:textId="77777777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 xml:space="preserve">Токсикологични изпитвания: </w:t>
      </w:r>
      <w:r w:rsidRPr="000B0217">
        <w:rPr>
          <w:rFonts w:eastAsia="Times New Roman" w:cs="Arial"/>
          <w:color w:val="000000"/>
          <w:lang w:eastAsia="bg-BG"/>
        </w:rPr>
        <w:t>Данните в проучвания за токсичност при многократно приложение при плъхове и кучета могат най-общо да бъдат отдадени на фармакологичната активност на екземестан като ефекти върху репродуктивни и аксесорни органи. Други токсикологични ефекти (върху черния дроб, бъбрека или централната нервна система) са били наблюдавани само при приложение, преценено като достатъчно надхвърлящо максималното приложение при човек и показващо несъществено значение за клиничната практика.</w:t>
      </w:r>
    </w:p>
    <w:p w14:paraId="1F4B8578" w14:textId="77777777" w:rsidR="000B0217" w:rsidRDefault="000B0217" w:rsidP="000B021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67C6A42" w14:textId="2BE22FAB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 xml:space="preserve">Мутагенност: </w:t>
      </w:r>
      <w:r w:rsidRPr="000B0217">
        <w:rPr>
          <w:rFonts w:eastAsia="Times New Roman" w:cs="Arial"/>
          <w:color w:val="000000"/>
          <w:lang w:eastAsia="bg-BG"/>
        </w:rPr>
        <w:t xml:space="preserve">Екземестан не е бил генотоксичен при бактерии (тест на </w:t>
      </w:r>
      <w:r w:rsidRPr="000B0217">
        <w:rPr>
          <w:rFonts w:eastAsia="Times New Roman" w:cs="Arial"/>
          <w:color w:val="000000"/>
          <w:lang w:val="en-US"/>
        </w:rPr>
        <w:t>Ames</w:t>
      </w:r>
      <w:r w:rsidRPr="000B0217">
        <w:rPr>
          <w:rFonts w:eastAsia="Times New Roman" w:cs="Arial"/>
          <w:color w:val="000000"/>
          <w:lang w:val="ru-RU"/>
        </w:rPr>
        <w:t xml:space="preserve">), </w:t>
      </w:r>
      <w:r w:rsidRPr="000B0217">
        <w:rPr>
          <w:rFonts w:eastAsia="Times New Roman" w:cs="Arial"/>
          <w:color w:val="000000"/>
          <w:lang w:eastAsia="bg-BG"/>
        </w:rPr>
        <w:t xml:space="preserve">при </w:t>
      </w:r>
      <w:r w:rsidRPr="000B0217">
        <w:rPr>
          <w:rFonts w:eastAsia="Times New Roman" w:cs="Arial"/>
          <w:color w:val="000000"/>
          <w:lang w:val="en-US"/>
        </w:rPr>
        <w:t>V</w:t>
      </w:r>
      <w:r w:rsidRPr="000B0217">
        <w:rPr>
          <w:rFonts w:eastAsia="Times New Roman" w:cs="Arial"/>
          <w:color w:val="000000"/>
          <w:lang w:val="ru-RU"/>
        </w:rPr>
        <w:t xml:space="preserve">79 </w:t>
      </w:r>
      <w:r w:rsidRPr="000B0217">
        <w:rPr>
          <w:rFonts w:eastAsia="Times New Roman" w:cs="Arial"/>
          <w:color w:val="000000"/>
          <w:lang w:eastAsia="bg-BG"/>
        </w:rPr>
        <w:t xml:space="preserve">клетки от китайски хамстер, при хепатоцити от плъх или при миша микронуклеарна проба. Въпреки че екземестан се е оказал кластогенен при лимфоцити </w:t>
      </w:r>
      <w:r w:rsidRPr="000B0217">
        <w:rPr>
          <w:rFonts w:eastAsia="Times New Roman" w:cs="Arial"/>
          <w:color w:val="000000"/>
          <w:lang w:val="en-US"/>
        </w:rPr>
        <w:t>in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val="en-US"/>
        </w:rPr>
        <w:t>vitro</w:t>
      </w:r>
      <w:r w:rsidRPr="000B0217">
        <w:rPr>
          <w:rFonts w:eastAsia="Times New Roman" w:cs="Arial"/>
          <w:color w:val="000000"/>
          <w:lang w:val="ru-RU"/>
        </w:rPr>
        <w:t xml:space="preserve">, </w:t>
      </w:r>
      <w:r w:rsidRPr="000B0217">
        <w:rPr>
          <w:rFonts w:eastAsia="Times New Roman" w:cs="Arial"/>
          <w:color w:val="000000"/>
          <w:lang w:eastAsia="bg-BG"/>
        </w:rPr>
        <w:t xml:space="preserve">той не е бил кластогенен при две </w:t>
      </w:r>
      <w:r w:rsidRPr="000B0217">
        <w:rPr>
          <w:rFonts w:eastAsia="Times New Roman" w:cs="Arial"/>
          <w:color w:val="000000"/>
          <w:lang w:val="en-US"/>
        </w:rPr>
        <w:t>in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val="en-US"/>
        </w:rPr>
        <w:t>vivo</w:t>
      </w:r>
      <w:r w:rsidRPr="000B0217">
        <w:rPr>
          <w:rFonts w:eastAsia="Times New Roman" w:cs="Arial"/>
          <w:color w:val="000000"/>
          <w:lang w:val="ru-RU"/>
        </w:rPr>
        <w:t xml:space="preserve"> </w:t>
      </w:r>
      <w:r w:rsidRPr="000B0217">
        <w:rPr>
          <w:rFonts w:eastAsia="Times New Roman" w:cs="Arial"/>
          <w:color w:val="000000"/>
          <w:lang w:eastAsia="bg-BG"/>
        </w:rPr>
        <w:t>проучвания.</w:t>
      </w:r>
    </w:p>
    <w:p w14:paraId="15407AF5" w14:textId="77777777" w:rsidR="000B0217" w:rsidRDefault="000B0217" w:rsidP="000B021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E052E5C" w14:textId="2F4C17F9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 xml:space="preserve">Репродуктивна токсикология: </w:t>
      </w:r>
      <w:r w:rsidRPr="000B0217">
        <w:rPr>
          <w:rFonts w:eastAsia="Times New Roman" w:cs="Arial"/>
          <w:color w:val="000000"/>
          <w:lang w:eastAsia="bg-BG"/>
        </w:rPr>
        <w:t xml:space="preserve">Екземестан е бил ембриотоксичен за плъхове и зайци при нива на системно приложение, сходни с тези, получени при хора след прилагане на доза 25 </w:t>
      </w:r>
      <w:r w:rsidRPr="000B0217">
        <w:rPr>
          <w:rFonts w:eastAsia="Times New Roman" w:cs="Arial"/>
          <w:color w:val="000000"/>
          <w:lang w:val="en-US"/>
        </w:rPr>
        <w:t>mg</w:t>
      </w:r>
      <w:r w:rsidRPr="000B0217">
        <w:rPr>
          <w:rFonts w:eastAsia="Times New Roman" w:cs="Arial"/>
          <w:color w:val="000000"/>
          <w:lang w:eastAsia="bg-BG"/>
        </w:rPr>
        <w:t>/ден. Не е имало данни за тератогенност.</w:t>
      </w:r>
    </w:p>
    <w:p w14:paraId="25A53CA3" w14:textId="77777777" w:rsidR="000B0217" w:rsidRDefault="000B0217" w:rsidP="000B021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7D044BA" w14:textId="65B9D820" w:rsidR="000B0217" w:rsidRPr="000B0217" w:rsidRDefault="000B0217" w:rsidP="000B0217">
      <w:pPr>
        <w:spacing w:line="240" w:lineRule="auto"/>
        <w:rPr>
          <w:rFonts w:eastAsia="Times New Roman" w:cs="Arial"/>
        </w:rPr>
      </w:pPr>
      <w:r w:rsidRPr="000B0217">
        <w:rPr>
          <w:rFonts w:eastAsia="Times New Roman" w:cs="Arial"/>
          <w:b/>
          <w:bCs/>
          <w:color w:val="000000"/>
          <w:lang w:eastAsia="bg-BG"/>
        </w:rPr>
        <w:t xml:space="preserve">Канцерогенност: </w:t>
      </w:r>
      <w:r w:rsidRPr="000B0217">
        <w:rPr>
          <w:rFonts w:eastAsia="Times New Roman" w:cs="Arial"/>
          <w:color w:val="000000"/>
          <w:lang w:eastAsia="bg-BG"/>
        </w:rPr>
        <w:t xml:space="preserve">В двугодишно проучване за канцерогенност при женски плъхове не е била наблюдавана, свързана с лечението поява на тумори. При мъжки плъхове проучването е приключило на 92-та седмица поради ранна смърт от хронична нефропатия. В двугодишно проучване за канцерогенност при мишки е било наблюдавано </w:t>
      </w:r>
      <w:r w:rsidRPr="000B0217">
        <w:rPr>
          <w:rFonts w:eastAsia="Times New Roman" w:cs="Arial"/>
          <w:color w:val="000000"/>
          <w:lang w:eastAsia="bg-BG"/>
        </w:rPr>
        <w:lastRenderedPageBreak/>
        <w:t xml:space="preserve">повишаване на честотата на чернодробни неоплазми в двата пола при средните и високите дози (150 и 450 </w:t>
      </w:r>
      <w:r w:rsidRPr="000B0217">
        <w:rPr>
          <w:rFonts w:eastAsia="Times New Roman" w:cs="Arial"/>
          <w:color w:val="000000"/>
          <w:lang w:val="en-US"/>
        </w:rPr>
        <w:t>mg</w:t>
      </w:r>
      <w:r w:rsidRPr="000B0217">
        <w:rPr>
          <w:rFonts w:eastAsia="Times New Roman" w:cs="Arial"/>
          <w:color w:val="000000"/>
          <w:lang w:val="ru-RU"/>
        </w:rPr>
        <w:t>/</w:t>
      </w:r>
      <w:r w:rsidRPr="000B0217">
        <w:rPr>
          <w:rFonts w:eastAsia="Times New Roman" w:cs="Arial"/>
          <w:color w:val="000000"/>
          <w:lang w:val="en-US"/>
        </w:rPr>
        <w:t>kg</w:t>
      </w:r>
      <w:r w:rsidRPr="000B0217">
        <w:rPr>
          <w:rFonts w:eastAsia="Times New Roman" w:cs="Arial"/>
          <w:color w:val="000000"/>
          <w:lang w:eastAsia="bg-BG"/>
        </w:rPr>
        <w:t xml:space="preserve">/ден Счита се, че тези резултати са свързани с индукцията на чернодробните микрозомни ензими - ефект, наблюдаван при мишки, но не и в клинични проучвания. При прилагане на високата доза (450 </w:t>
      </w:r>
      <w:r w:rsidRPr="000B0217">
        <w:rPr>
          <w:rFonts w:eastAsia="Times New Roman" w:cs="Arial"/>
          <w:color w:val="000000"/>
          <w:lang w:val="en-US"/>
        </w:rPr>
        <w:t>mg</w:t>
      </w:r>
      <w:r w:rsidRPr="000B0217">
        <w:rPr>
          <w:rFonts w:eastAsia="Times New Roman" w:cs="Arial"/>
          <w:color w:val="000000"/>
          <w:lang w:val="ru-RU"/>
        </w:rPr>
        <w:t>/</w:t>
      </w:r>
      <w:r w:rsidRPr="000B0217">
        <w:rPr>
          <w:rFonts w:eastAsia="Times New Roman" w:cs="Arial"/>
          <w:color w:val="000000"/>
          <w:lang w:val="en-US"/>
        </w:rPr>
        <w:t>kg</w:t>
      </w:r>
      <w:r w:rsidRPr="000B0217">
        <w:rPr>
          <w:rFonts w:eastAsia="Times New Roman" w:cs="Arial"/>
          <w:color w:val="000000"/>
          <w:lang w:eastAsia="bg-BG"/>
        </w:rPr>
        <w:t>/ден) се отбелязва нарастване на честотата на аденомите на бъбречните тубули при мишки от мъжки пол. Тази промяна се счита за видово- и полово-специфична и е настъпвала при доза, която съответства на 63 пъти по-голяма от тази, която настъпва в терапевтични дози при човека. Нито един от тези наблюдавани ефекти не се счита за клинично съответстващ на лечението на пациенти с екземестан.</w:t>
      </w:r>
    </w:p>
    <w:p w14:paraId="7BBBAC0A" w14:textId="77777777" w:rsidR="000B0217" w:rsidRPr="000B0217" w:rsidRDefault="000B0217" w:rsidP="000B0217"/>
    <w:p w14:paraId="6A7820AB" w14:textId="4F13FA1A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C6E9CD3" w14:textId="4A831B46" w:rsidR="000B0217" w:rsidRDefault="000B0217" w:rsidP="000B0217"/>
    <w:p w14:paraId="31AAEA10" w14:textId="77777777" w:rsidR="000B0217" w:rsidRPr="000B0217" w:rsidRDefault="000B0217" w:rsidP="000B0217">
      <w:pPr>
        <w:rPr>
          <w:sz w:val="24"/>
          <w:szCs w:val="24"/>
        </w:rPr>
      </w:pPr>
      <w:r w:rsidRPr="000B0217">
        <w:rPr>
          <w:lang w:eastAsia="bg-BG"/>
        </w:rPr>
        <w:t>НЕОЛА ФАРМА ЕООД</w:t>
      </w:r>
    </w:p>
    <w:p w14:paraId="04E2331F" w14:textId="77777777" w:rsidR="000B0217" w:rsidRPr="000B0217" w:rsidRDefault="000B0217" w:rsidP="000B0217">
      <w:pPr>
        <w:rPr>
          <w:sz w:val="24"/>
          <w:szCs w:val="24"/>
        </w:rPr>
      </w:pPr>
      <w:r w:rsidRPr="000B0217">
        <w:rPr>
          <w:lang w:eastAsia="bg-BG"/>
        </w:rPr>
        <w:t xml:space="preserve">Ул. Бяло поле № 17, ет. </w:t>
      </w:r>
      <w:r w:rsidRPr="000B0217">
        <w:rPr>
          <w:i/>
          <w:iCs/>
          <w:lang w:eastAsia="bg-BG"/>
        </w:rPr>
        <w:t>3,</w:t>
      </w:r>
      <w:r w:rsidRPr="000B0217">
        <w:rPr>
          <w:lang w:eastAsia="bg-BG"/>
        </w:rPr>
        <w:t xml:space="preserve"> ап. 8,</w:t>
      </w:r>
    </w:p>
    <w:p w14:paraId="22BA375B" w14:textId="74CFCE6D" w:rsidR="000B0217" w:rsidRPr="000B0217" w:rsidRDefault="000B0217" w:rsidP="000B0217">
      <w:r w:rsidRPr="000B0217">
        <w:rPr>
          <w:lang w:eastAsia="bg-BG"/>
        </w:rPr>
        <w:t>София 1618, България</w:t>
      </w:r>
    </w:p>
    <w:p w14:paraId="7BA1BA64" w14:textId="632F2534" w:rsidR="00CF77F7" w:rsidRDefault="002C50EE" w:rsidP="004A448E">
      <w:pPr>
        <w:pStyle w:val="Heading1"/>
      </w:pPr>
      <w:r>
        <w:t>8. НОМЕР НА РАЗРЕШЕНИЕТО ЗА УПОТРЕБА</w:t>
      </w:r>
    </w:p>
    <w:p w14:paraId="22B3349A" w14:textId="4FF5C353" w:rsidR="000B0217" w:rsidRDefault="000B0217" w:rsidP="000B0217"/>
    <w:p w14:paraId="225316A7" w14:textId="25C3494A" w:rsidR="000B0217" w:rsidRPr="000B0217" w:rsidRDefault="000B0217" w:rsidP="000B0217">
      <w:r>
        <w:t>Рег.№ 20120324</w:t>
      </w:r>
    </w:p>
    <w:p w14:paraId="2CCB5832" w14:textId="4FDF7379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4A5DCFC2" w14:textId="0BF82769" w:rsidR="000B0217" w:rsidRDefault="000B0217" w:rsidP="000B0217"/>
    <w:p w14:paraId="4A0CAA21" w14:textId="48E916A1" w:rsidR="000B0217" w:rsidRPr="000B0217" w:rsidRDefault="000B0217" w:rsidP="000B0217">
      <w:r>
        <w:t>27.06.2012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54E49E7B" w:rsidR="007C605B" w:rsidRPr="003E3126" w:rsidRDefault="000B0217" w:rsidP="000B0217">
      <w:r>
        <w:t>10/2017</w:t>
      </w:r>
      <w:bookmarkStart w:id="3" w:name="_GoBack"/>
      <w:bookmarkEnd w:id="3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B0217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405B6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3718</Words>
  <Characters>21194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2022-04-27T09:50:00Z</dcterms:created>
  <dcterms:modified xsi:type="dcterms:W3CDTF">2022-04-27T09:50:00Z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