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1"/>
        <w:jc w:val="center"/>
      </w:pPr>
      <w:bookmarkStart w:id="0" w:name="_Hlk63124480"/>
      <w:r>
        <w:t>КРАТКА ХАРАКТЕРИСТИКА НА ПРОДУКТА</w:t>
      </w:r>
    </w:p>
    <w:p w14:paraId="3B239815" w14:textId="342885F9" w:rsidR="00AA23EC" w:rsidRDefault="00DD466D" w:rsidP="00DD466D">
      <w:pPr>
        <w:pStyle w:val="1"/>
      </w:pPr>
      <w:r>
        <w:t>1.ИМЕ НА ЛЕКАРСТВЕНИЯ ПРОДУКТ</w:t>
      </w:r>
    </w:p>
    <w:p w14:paraId="11A87C0C" w14:textId="07ABA2FE" w:rsidR="00A54493" w:rsidRDefault="00A54493" w:rsidP="00A54493"/>
    <w:p w14:paraId="27F2860C" w14:textId="77777777" w:rsidR="00A54493" w:rsidRDefault="00A54493" w:rsidP="00A54493">
      <w:pPr>
        <w:rPr>
          <w:lang w:eastAsia="bg-BG"/>
        </w:rPr>
      </w:pPr>
      <w:proofErr w:type="spellStart"/>
      <w:r w:rsidRPr="00A54493">
        <w:rPr>
          <w:lang w:eastAsia="bg-BG"/>
        </w:rPr>
        <w:t>Ксатрал</w:t>
      </w:r>
      <w:proofErr w:type="spellEnd"/>
      <w:r w:rsidRPr="00A54493">
        <w:rPr>
          <w:lang w:eastAsia="bg-BG"/>
        </w:rPr>
        <w:t xml:space="preserve"> </w:t>
      </w:r>
      <w:r w:rsidRPr="00A54493">
        <w:rPr>
          <w:lang w:val="en-US"/>
        </w:rPr>
        <w:t xml:space="preserve">LP </w:t>
      </w:r>
      <w:r w:rsidRPr="00A54493">
        <w:rPr>
          <w:lang w:eastAsia="bg-BG"/>
        </w:rPr>
        <w:t xml:space="preserve">10 </w:t>
      </w:r>
      <w:r w:rsidRPr="00A54493">
        <w:rPr>
          <w:lang w:val="en-US"/>
        </w:rPr>
        <w:t xml:space="preserve">mg </w:t>
      </w:r>
      <w:r w:rsidRPr="00A54493">
        <w:rPr>
          <w:lang w:eastAsia="bg-BG"/>
        </w:rPr>
        <w:t xml:space="preserve">таблетки с удължено освобождаване </w:t>
      </w:r>
    </w:p>
    <w:p w14:paraId="4EAD140F" w14:textId="60E763F5" w:rsidR="00A54493" w:rsidRPr="00A54493" w:rsidRDefault="00A54493" w:rsidP="00A54493">
      <w:pPr>
        <w:rPr>
          <w:sz w:val="24"/>
          <w:szCs w:val="24"/>
        </w:rPr>
      </w:pPr>
      <w:proofErr w:type="spellStart"/>
      <w:r w:rsidRPr="00A54493">
        <w:rPr>
          <w:lang w:val="en-US"/>
        </w:rPr>
        <w:t>Xatral</w:t>
      </w:r>
      <w:proofErr w:type="spellEnd"/>
      <w:r w:rsidRPr="00A54493">
        <w:rPr>
          <w:lang w:val="en-US"/>
        </w:rPr>
        <w:t xml:space="preserve"> LP </w:t>
      </w:r>
      <w:r w:rsidRPr="00A54493">
        <w:rPr>
          <w:lang w:eastAsia="bg-BG"/>
        </w:rPr>
        <w:t xml:space="preserve">10 </w:t>
      </w:r>
      <w:r w:rsidRPr="00A54493">
        <w:rPr>
          <w:lang w:val="en-US"/>
        </w:rPr>
        <w:t>mg prolonged-release tablets</w:t>
      </w:r>
    </w:p>
    <w:p w14:paraId="5E989A73" w14:textId="77777777" w:rsidR="00A54493" w:rsidRPr="00A54493" w:rsidRDefault="00A54493" w:rsidP="00A54493"/>
    <w:p w14:paraId="0A368469" w14:textId="1E0D3E3F" w:rsidR="00C0049F" w:rsidRDefault="00DD466D" w:rsidP="009F1313">
      <w:pPr>
        <w:pStyle w:val="1"/>
      </w:pPr>
      <w:r>
        <w:t>2. КАЧЕСТВЕН И КОЛИЧЕСТВЕН СЪСТАВ</w:t>
      </w:r>
    </w:p>
    <w:p w14:paraId="7D19C017" w14:textId="5FEB1DF3" w:rsidR="00A54493" w:rsidRDefault="00A54493" w:rsidP="00A54493"/>
    <w:p w14:paraId="59E8ED2F" w14:textId="438DB922" w:rsidR="00A54493" w:rsidRPr="00A54493" w:rsidRDefault="00A54493" w:rsidP="00A54493">
      <w:proofErr w:type="spellStart"/>
      <w:r>
        <w:t>Алфузосинов</w:t>
      </w:r>
      <w:proofErr w:type="spellEnd"/>
      <w:r>
        <w:t xml:space="preserve"> хидрохлорид </w:t>
      </w:r>
      <w:r>
        <w:rPr>
          <w:lang w:val="en-US"/>
        </w:rPr>
        <w:t xml:space="preserve">(Alfuzosin hydrochloride) </w:t>
      </w:r>
      <w:r>
        <w:t xml:space="preserve">10 </w:t>
      </w:r>
      <w:r>
        <w:rPr>
          <w:lang w:val="en-US"/>
        </w:rPr>
        <w:t xml:space="preserve">mg </w:t>
      </w:r>
      <w:r>
        <w:t>за една таблетка с удължено освобождаване.</w:t>
      </w:r>
    </w:p>
    <w:p w14:paraId="5E332777" w14:textId="2F042D30" w:rsidR="005A66D9" w:rsidRDefault="00DD466D" w:rsidP="00CA1B57">
      <w:pPr>
        <w:pStyle w:val="1"/>
      </w:pPr>
      <w:r>
        <w:t>3. ЛЕКАРСТВЕНА ФОРМА</w:t>
      </w:r>
    </w:p>
    <w:p w14:paraId="4E464A20" w14:textId="79969699" w:rsidR="00A54493" w:rsidRDefault="00A54493" w:rsidP="00A54493"/>
    <w:p w14:paraId="0FE289CD" w14:textId="77777777" w:rsidR="00A54493" w:rsidRPr="00A54493" w:rsidRDefault="00A54493" w:rsidP="00A54493">
      <w:pPr>
        <w:rPr>
          <w:sz w:val="24"/>
          <w:szCs w:val="24"/>
        </w:rPr>
      </w:pPr>
      <w:r w:rsidRPr="00A54493">
        <w:rPr>
          <w:lang w:eastAsia="bg-BG"/>
        </w:rPr>
        <w:t>Таблетка с удължено освобождаване.</w:t>
      </w:r>
    </w:p>
    <w:p w14:paraId="211C57C8" w14:textId="00CD2CFB" w:rsidR="00A54493" w:rsidRPr="00A54493" w:rsidRDefault="00A54493" w:rsidP="00A54493">
      <w:r w:rsidRPr="00A54493">
        <w:rPr>
          <w:lang w:eastAsia="bg-BG"/>
        </w:rPr>
        <w:t>Жълта, кръгла двойно-изпъкнала таблетка.</w:t>
      </w:r>
    </w:p>
    <w:p w14:paraId="490FC2C4" w14:textId="77777777" w:rsidR="002C50EE" w:rsidRDefault="002C50EE" w:rsidP="002C50EE">
      <w:pPr>
        <w:pStyle w:val="1"/>
      </w:pPr>
      <w:r>
        <w:t>4. КЛИНИЧНИ ДАННИ</w:t>
      </w:r>
    </w:p>
    <w:p w14:paraId="754A29C8" w14:textId="5A4352CD" w:rsidR="00C0049F" w:rsidRDefault="002C50EE" w:rsidP="009F1313">
      <w:pPr>
        <w:pStyle w:val="2"/>
      </w:pPr>
      <w:r>
        <w:t>4.1. Терапевтични показания</w:t>
      </w:r>
    </w:p>
    <w:p w14:paraId="63CC7676" w14:textId="35E97911" w:rsidR="00A54493" w:rsidRDefault="00A54493" w:rsidP="00A54493"/>
    <w:p w14:paraId="29E729D8" w14:textId="77777777" w:rsidR="00A54493" w:rsidRPr="00A54493" w:rsidRDefault="00A54493" w:rsidP="00A54493">
      <w:pPr>
        <w:rPr>
          <w:sz w:val="24"/>
          <w:szCs w:val="24"/>
        </w:rPr>
      </w:pPr>
      <w:r w:rsidRPr="00A54493">
        <w:rPr>
          <w:lang w:eastAsia="bg-BG"/>
        </w:rPr>
        <w:t>Лечение на функционалните симптоми на доброкачествена (</w:t>
      </w:r>
      <w:proofErr w:type="spellStart"/>
      <w:r w:rsidRPr="00A54493">
        <w:rPr>
          <w:lang w:eastAsia="bg-BG"/>
        </w:rPr>
        <w:t>бенигнена</w:t>
      </w:r>
      <w:proofErr w:type="spellEnd"/>
      <w:r w:rsidRPr="00A54493">
        <w:rPr>
          <w:lang w:eastAsia="bg-BG"/>
        </w:rPr>
        <w:t>) простатна хипертрофия.</w:t>
      </w:r>
    </w:p>
    <w:p w14:paraId="58D63FBD" w14:textId="23B4C01C" w:rsidR="00A54493" w:rsidRDefault="00A54493" w:rsidP="00A54493">
      <w:pPr>
        <w:rPr>
          <w:lang w:eastAsia="bg-BG"/>
        </w:rPr>
      </w:pPr>
      <w:proofErr w:type="spellStart"/>
      <w:r w:rsidRPr="00A54493">
        <w:rPr>
          <w:lang w:eastAsia="bg-BG"/>
        </w:rPr>
        <w:t>Адювантно</w:t>
      </w:r>
      <w:proofErr w:type="spellEnd"/>
      <w:r w:rsidRPr="00A54493">
        <w:rPr>
          <w:lang w:eastAsia="bg-BG"/>
        </w:rPr>
        <w:t xml:space="preserve"> лечение към </w:t>
      </w:r>
      <w:proofErr w:type="spellStart"/>
      <w:r w:rsidRPr="00A54493">
        <w:rPr>
          <w:lang w:eastAsia="bg-BG"/>
        </w:rPr>
        <w:t>катетеризацията</w:t>
      </w:r>
      <w:proofErr w:type="spellEnd"/>
      <w:r w:rsidRPr="00A54493">
        <w:rPr>
          <w:lang w:eastAsia="bg-BG"/>
        </w:rPr>
        <w:t xml:space="preserve"> при остра </w:t>
      </w:r>
      <w:proofErr w:type="spellStart"/>
      <w:r w:rsidRPr="00A54493">
        <w:rPr>
          <w:lang w:eastAsia="bg-BG"/>
        </w:rPr>
        <w:t>ретенция</w:t>
      </w:r>
      <w:proofErr w:type="spellEnd"/>
      <w:r w:rsidRPr="00A54493">
        <w:rPr>
          <w:lang w:eastAsia="bg-BG"/>
        </w:rPr>
        <w:t xml:space="preserve"> на урина, свързана с </w:t>
      </w:r>
      <w:proofErr w:type="spellStart"/>
      <w:r w:rsidRPr="00A54493">
        <w:rPr>
          <w:lang w:eastAsia="bg-BG"/>
        </w:rPr>
        <w:t>бенигнена</w:t>
      </w:r>
      <w:proofErr w:type="spellEnd"/>
      <w:r w:rsidRPr="00A54493">
        <w:rPr>
          <w:lang w:eastAsia="bg-BG"/>
        </w:rPr>
        <w:t xml:space="preserve"> простатна хипертрофия.</w:t>
      </w:r>
    </w:p>
    <w:p w14:paraId="683AC544" w14:textId="77777777" w:rsidR="00A54493" w:rsidRPr="00A54493" w:rsidRDefault="00A54493" w:rsidP="00A54493">
      <w:pPr>
        <w:rPr>
          <w:lang w:eastAsia="bg-BG"/>
        </w:rPr>
      </w:pPr>
    </w:p>
    <w:p w14:paraId="7C0CA5EB" w14:textId="561622D4" w:rsidR="00C0049F" w:rsidRDefault="002C50EE" w:rsidP="009F1313">
      <w:pPr>
        <w:pStyle w:val="2"/>
      </w:pPr>
      <w:r>
        <w:t>4.2. Дозировка и начин на приложение</w:t>
      </w:r>
    </w:p>
    <w:p w14:paraId="2A430BAA" w14:textId="31AEAC67" w:rsidR="00A54493" w:rsidRDefault="00A54493" w:rsidP="00A54493"/>
    <w:p w14:paraId="682276D7" w14:textId="77777777" w:rsidR="00A54493" w:rsidRPr="00A54493" w:rsidRDefault="00A54493" w:rsidP="00A54493">
      <w:pPr>
        <w:pStyle w:val="3"/>
        <w:rPr>
          <w:rFonts w:eastAsia="Times New Roman"/>
          <w:i/>
          <w:iCs/>
        </w:rPr>
      </w:pPr>
      <w:r w:rsidRPr="00A54493">
        <w:rPr>
          <w:rFonts w:eastAsia="Times New Roman"/>
          <w:i/>
          <w:iCs/>
          <w:lang w:eastAsia="bg-BG"/>
        </w:rPr>
        <w:t>Дозировка</w:t>
      </w:r>
    </w:p>
    <w:p w14:paraId="4D35217F" w14:textId="77777777" w:rsidR="00A54493" w:rsidRPr="00A54493" w:rsidRDefault="00A54493" w:rsidP="00A54493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D35F6C4" w14:textId="6E7D04FC" w:rsidR="00A54493" w:rsidRPr="00A54493" w:rsidRDefault="00A54493" w:rsidP="00A54493">
      <w:pPr>
        <w:spacing w:line="240" w:lineRule="auto"/>
        <w:rPr>
          <w:rFonts w:eastAsia="Times New Roman" w:cs="Arial"/>
        </w:rPr>
      </w:pPr>
      <w:r w:rsidRPr="00A54493">
        <w:rPr>
          <w:rFonts w:eastAsia="Times New Roman" w:cs="Arial"/>
          <w:i/>
          <w:iCs/>
          <w:color w:val="000000"/>
          <w:lang w:eastAsia="bg-BG"/>
        </w:rPr>
        <w:t>Педиатрични популации</w:t>
      </w:r>
    </w:p>
    <w:p w14:paraId="6A487CD1" w14:textId="77777777" w:rsidR="00A54493" w:rsidRPr="00A54493" w:rsidRDefault="00A54493" w:rsidP="00A54493">
      <w:pPr>
        <w:spacing w:line="240" w:lineRule="auto"/>
        <w:rPr>
          <w:rFonts w:eastAsia="Times New Roman" w:cs="Arial"/>
        </w:rPr>
      </w:pPr>
      <w:r w:rsidRPr="00A54493">
        <w:rPr>
          <w:rFonts w:eastAsia="Times New Roman" w:cs="Arial"/>
          <w:color w:val="000000"/>
          <w:lang w:eastAsia="bg-BG"/>
        </w:rPr>
        <w:t xml:space="preserve">Ефикасността на </w:t>
      </w:r>
      <w:proofErr w:type="spellStart"/>
      <w:r w:rsidRPr="00A54493">
        <w:rPr>
          <w:rFonts w:eastAsia="Times New Roman" w:cs="Arial"/>
          <w:color w:val="000000"/>
          <w:lang w:eastAsia="bg-BG"/>
        </w:rPr>
        <w:t>Ксатрал</w:t>
      </w:r>
      <w:proofErr w:type="spellEnd"/>
      <w:r w:rsidRPr="00A54493">
        <w:rPr>
          <w:rFonts w:eastAsia="Times New Roman" w:cs="Arial"/>
          <w:color w:val="000000"/>
          <w:lang w:eastAsia="bg-BG"/>
        </w:rPr>
        <w:t xml:space="preserve"> </w:t>
      </w:r>
      <w:r w:rsidRPr="00A54493">
        <w:rPr>
          <w:rFonts w:eastAsia="Times New Roman" w:cs="Arial"/>
          <w:color w:val="000000"/>
          <w:lang w:val="en-US"/>
        </w:rPr>
        <w:t xml:space="preserve">LP </w:t>
      </w:r>
      <w:r w:rsidRPr="00A54493">
        <w:rPr>
          <w:rFonts w:eastAsia="Times New Roman" w:cs="Arial"/>
          <w:color w:val="000000"/>
          <w:lang w:eastAsia="bg-BG"/>
        </w:rPr>
        <w:t>не е установена при деца на възраст между 2 и 16 години (вижте т.5.1).</w:t>
      </w:r>
    </w:p>
    <w:p w14:paraId="79E93FEE" w14:textId="77777777" w:rsidR="00A54493" w:rsidRPr="00A54493" w:rsidRDefault="00A54493" w:rsidP="00A54493">
      <w:pPr>
        <w:spacing w:line="240" w:lineRule="auto"/>
        <w:rPr>
          <w:rFonts w:eastAsia="Times New Roman" w:cs="Arial"/>
        </w:rPr>
      </w:pPr>
      <w:r w:rsidRPr="00A54493">
        <w:rPr>
          <w:rFonts w:eastAsia="Times New Roman" w:cs="Arial"/>
          <w:color w:val="000000"/>
          <w:lang w:eastAsia="bg-BG"/>
        </w:rPr>
        <w:t xml:space="preserve">По тази причина </w:t>
      </w:r>
      <w:proofErr w:type="spellStart"/>
      <w:r w:rsidRPr="00A54493">
        <w:rPr>
          <w:rFonts w:eastAsia="Times New Roman" w:cs="Arial"/>
          <w:color w:val="000000"/>
          <w:lang w:eastAsia="bg-BG"/>
        </w:rPr>
        <w:t>Ксатрал</w:t>
      </w:r>
      <w:proofErr w:type="spellEnd"/>
      <w:r w:rsidRPr="00A54493">
        <w:rPr>
          <w:rFonts w:eastAsia="Times New Roman" w:cs="Arial"/>
          <w:color w:val="000000"/>
          <w:lang w:eastAsia="bg-BG"/>
        </w:rPr>
        <w:t xml:space="preserve"> </w:t>
      </w:r>
      <w:r w:rsidRPr="00A54493">
        <w:rPr>
          <w:rFonts w:eastAsia="Times New Roman" w:cs="Arial"/>
          <w:color w:val="000000"/>
          <w:lang w:val="en-US"/>
        </w:rPr>
        <w:t xml:space="preserve">LP </w:t>
      </w:r>
      <w:r w:rsidRPr="00A54493">
        <w:rPr>
          <w:rFonts w:eastAsia="Times New Roman" w:cs="Arial"/>
          <w:color w:val="000000"/>
          <w:lang w:eastAsia="bg-BG"/>
        </w:rPr>
        <w:t>не е показан за употреба при педиатрични пациенти.</w:t>
      </w:r>
    </w:p>
    <w:p w14:paraId="1B3229DF" w14:textId="77777777" w:rsidR="00A54493" w:rsidRPr="00A54493" w:rsidRDefault="00A54493" w:rsidP="00A54493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4467DC8" w14:textId="2D150A20" w:rsidR="00A54493" w:rsidRPr="00A54493" w:rsidRDefault="00A54493" w:rsidP="00A54493">
      <w:pPr>
        <w:pStyle w:val="3"/>
        <w:rPr>
          <w:rFonts w:eastAsia="Times New Roman"/>
          <w:i/>
          <w:iCs/>
        </w:rPr>
      </w:pPr>
      <w:r w:rsidRPr="00A54493">
        <w:rPr>
          <w:rFonts w:eastAsia="Times New Roman"/>
          <w:i/>
          <w:iCs/>
          <w:lang w:eastAsia="bg-BG"/>
        </w:rPr>
        <w:t>Начин на приложение</w:t>
      </w:r>
    </w:p>
    <w:p w14:paraId="1F541FED" w14:textId="77777777" w:rsidR="00A54493" w:rsidRPr="00A54493" w:rsidRDefault="00A54493" w:rsidP="00A54493">
      <w:pPr>
        <w:spacing w:line="240" w:lineRule="auto"/>
        <w:rPr>
          <w:rFonts w:eastAsia="Times New Roman" w:cs="Arial"/>
        </w:rPr>
      </w:pPr>
      <w:r w:rsidRPr="00A54493">
        <w:rPr>
          <w:rFonts w:eastAsia="Times New Roman" w:cs="Arial"/>
          <w:color w:val="000000"/>
          <w:lang w:eastAsia="bg-BG"/>
        </w:rPr>
        <w:t>Перорално приложение.</w:t>
      </w:r>
    </w:p>
    <w:p w14:paraId="25D30FE2" w14:textId="77777777" w:rsidR="00A54493" w:rsidRPr="00A54493" w:rsidRDefault="00A54493" w:rsidP="00A5449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9597866" w14:textId="4C1D9467" w:rsidR="00A54493" w:rsidRPr="00A54493" w:rsidRDefault="00A54493" w:rsidP="00A54493">
      <w:pPr>
        <w:spacing w:line="240" w:lineRule="auto"/>
        <w:rPr>
          <w:rFonts w:eastAsia="Times New Roman" w:cs="Arial"/>
        </w:rPr>
      </w:pPr>
      <w:r w:rsidRPr="00A54493">
        <w:rPr>
          <w:rFonts w:eastAsia="Times New Roman" w:cs="Arial"/>
          <w:color w:val="000000"/>
          <w:lang w:eastAsia="bg-BG"/>
        </w:rPr>
        <w:t>Таблетките трябва да се поглъщат цели с чаша вода (вижте т, 4.4 Специални предупреждения и предпазни мерки при употреба).</w:t>
      </w:r>
    </w:p>
    <w:p w14:paraId="786CCED2" w14:textId="77777777" w:rsidR="00A54493" w:rsidRPr="00A54493" w:rsidRDefault="00A54493" w:rsidP="00A54493">
      <w:pPr>
        <w:spacing w:line="240" w:lineRule="auto"/>
        <w:rPr>
          <w:rFonts w:eastAsia="Times New Roman" w:cs="Arial"/>
        </w:rPr>
      </w:pPr>
      <w:r w:rsidRPr="00A54493">
        <w:rPr>
          <w:rFonts w:eastAsia="Times New Roman" w:cs="Arial"/>
          <w:color w:val="000000"/>
          <w:lang w:eastAsia="bg-BG"/>
        </w:rPr>
        <w:t xml:space="preserve">Препоръчителната дозировка е една таблетка от 10 </w:t>
      </w:r>
      <w:r w:rsidRPr="00A54493">
        <w:rPr>
          <w:rFonts w:eastAsia="Times New Roman" w:cs="Arial"/>
          <w:color w:val="000000"/>
          <w:lang w:val="en-US"/>
        </w:rPr>
        <w:t xml:space="preserve">mg </w:t>
      </w:r>
      <w:r w:rsidRPr="00A54493">
        <w:rPr>
          <w:rFonts w:eastAsia="Times New Roman" w:cs="Arial"/>
          <w:color w:val="000000"/>
          <w:lang w:eastAsia="bg-BG"/>
        </w:rPr>
        <w:t>дневно, която трябва да се приеме незабавно след вечерното хранене.</w:t>
      </w:r>
    </w:p>
    <w:p w14:paraId="44A369C5" w14:textId="77777777" w:rsidR="00A54493" w:rsidRPr="00A54493" w:rsidRDefault="00A54493" w:rsidP="00A5449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147528B" w14:textId="2836428A" w:rsidR="00A54493" w:rsidRPr="00A54493" w:rsidRDefault="00A54493" w:rsidP="00A54493">
      <w:pPr>
        <w:spacing w:line="240" w:lineRule="auto"/>
        <w:rPr>
          <w:rFonts w:eastAsia="Times New Roman" w:cs="Arial"/>
        </w:rPr>
      </w:pPr>
      <w:proofErr w:type="spellStart"/>
      <w:r w:rsidRPr="00A54493">
        <w:rPr>
          <w:rFonts w:eastAsia="Times New Roman" w:cs="Arial"/>
          <w:color w:val="000000"/>
          <w:lang w:eastAsia="bg-BG"/>
        </w:rPr>
        <w:lastRenderedPageBreak/>
        <w:t>Адювантно</w:t>
      </w:r>
      <w:proofErr w:type="spellEnd"/>
      <w:r w:rsidRPr="00A54493">
        <w:rPr>
          <w:rFonts w:eastAsia="Times New Roman" w:cs="Arial"/>
          <w:color w:val="000000"/>
          <w:lang w:eastAsia="bg-BG"/>
        </w:rPr>
        <w:t xml:space="preserve"> лечение към </w:t>
      </w:r>
      <w:proofErr w:type="spellStart"/>
      <w:r w:rsidRPr="00A54493">
        <w:rPr>
          <w:rFonts w:eastAsia="Times New Roman" w:cs="Arial"/>
          <w:color w:val="000000"/>
          <w:lang w:eastAsia="bg-BG"/>
        </w:rPr>
        <w:t>катетеризацията</w:t>
      </w:r>
      <w:proofErr w:type="spellEnd"/>
      <w:r w:rsidRPr="00A54493">
        <w:rPr>
          <w:rFonts w:eastAsia="Times New Roman" w:cs="Arial"/>
          <w:color w:val="000000"/>
          <w:lang w:eastAsia="bg-BG"/>
        </w:rPr>
        <w:t xml:space="preserve"> при остра </w:t>
      </w:r>
      <w:proofErr w:type="spellStart"/>
      <w:r w:rsidRPr="00A54493">
        <w:rPr>
          <w:rFonts w:eastAsia="Times New Roman" w:cs="Arial"/>
          <w:color w:val="000000"/>
          <w:lang w:eastAsia="bg-BG"/>
        </w:rPr>
        <w:t>ретенция</w:t>
      </w:r>
      <w:proofErr w:type="spellEnd"/>
      <w:r w:rsidRPr="00A54493">
        <w:rPr>
          <w:rFonts w:eastAsia="Times New Roman" w:cs="Arial"/>
          <w:color w:val="000000"/>
          <w:lang w:eastAsia="bg-BG"/>
        </w:rPr>
        <w:t xml:space="preserve"> на урина, свързана с </w:t>
      </w:r>
      <w:proofErr w:type="spellStart"/>
      <w:r w:rsidRPr="00A54493">
        <w:rPr>
          <w:rFonts w:eastAsia="Times New Roman" w:cs="Arial"/>
          <w:color w:val="000000"/>
          <w:lang w:eastAsia="bg-BG"/>
        </w:rPr>
        <w:t>бенигнена</w:t>
      </w:r>
      <w:proofErr w:type="spellEnd"/>
      <w:r w:rsidRPr="00A54493">
        <w:rPr>
          <w:rFonts w:eastAsia="Times New Roman" w:cs="Arial"/>
          <w:color w:val="000000"/>
          <w:lang w:eastAsia="bg-BG"/>
        </w:rPr>
        <w:t xml:space="preserve"> простатна хипертрофия. Препоръчителната доза е една таблетка от 10 </w:t>
      </w:r>
      <w:r w:rsidRPr="00A54493">
        <w:rPr>
          <w:rFonts w:eastAsia="Times New Roman" w:cs="Arial"/>
          <w:color w:val="000000"/>
          <w:lang w:val="en-US"/>
        </w:rPr>
        <w:t xml:space="preserve">mg </w:t>
      </w:r>
      <w:r w:rsidRPr="00A54493">
        <w:rPr>
          <w:rFonts w:eastAsia="Times New Roman" w:cs="Arial"/>
          <w:color w:val="000000"/>
          <w:lang w:eastAsia="bg-BG"/>
        </w:rPr>
        <w:t xml:space="preserve">от първия ден на </w:t>
      </w:r>
      <w:proofErr w:type="spellStart"/>
      <w:r w:rsidRPr="00A54493">
        <w:rPr>
          <w:rFonts w:eastAsia="Times New Roman" w:cs="Arial"/>
          <w:color w:val="000000"/>
          <w:lang w:eastAsia="bg-BG"/>
        </w:rPr>
        <w:t>катетеризацията</w:t>
      </w:r>
      <w:proofErr w:type="spellEnd"/>
      <w:r w:rsidRPr="00A54493">
        <w:rPr>
          <w:rFonts w:eastAsia="Times New Roman" w:cs="Arial"/>
          <w:color w:val="000000"/>
          <w:lang w:eastAsia="bg-BG"/>
        </w:rPr>
        <w:t xml:space="preserve"> нататък. Лечението се прилага в продължение на 3 до 4 дни, докато пациентът е с катетър и 1 ден след отстраняване на катетъра.</w:t>
      </w:r>
    </w:p>
    <w:p w14:paraId="1518B813" w14:textId="77777777" w:rsidR="00A54493" w:rsidRPr="00A54493" w:rsidRDefault="00A54493" w:rsidP="00A54493"/>
    <w:p w14:paraId="78E4CE10" w14:textId="1C7BE24E" w:rsidR="00C0049F" w:rsidRDefault="002C50EE" w:rsidP="009F1313">
      <w:pPr>
        <w:pStyle w:val="2"/>
      </w:pPr>
      <w:r>
        <w:t>4.3. Противопоказания</w:t>
      </w:r>
    </w:p>
    <w:p w14:paraId="57A59410" w14:textId="062E1FD4" w:rsidR="00A54493" w:rsidRDefault="00A54493" w:rsidP="00A54493"/>
    <w:p w14:paraId="5F2B72CF" w14:textId="77777777" w:rsidR="00A54493" w:rsidRPr="00A54493" w:rsidRDefault="00A54493" w:rsidP="00A54493">
      <w:pPr>
        <w:rPr>
          <w:sz w:val="24"/>
          <w:szCs w:val="24"/>
        </w:rPr>
      </w:pPr>
      <w:r w:rsidRPr="00A54493">
        <w:rPr>
          <w:lang w:eastAsia="bg-BG"/>
        </w:rPr>
        <w:t>Това лекарство не трябва да се прилага при следните обстоятелства:</w:t>
      </w:r>
    </w:p>
    <w:p w14:paraId="20E0648A" w14:textId="75CC61C6" w:rsidR="00A54493" w:rsidRPr="00A54493" w:rsidRDefault="00A54493" w:rsidP="00A54493">
      <w:pPr>
        <w:pStyle w:val="a3"/>
        <w:numPr>
          <w:ilvl w:val="0"/>
          <w:numId w:val="31"/>
        </w:numPr>
        <w:rPr>
          <w:lang w:eastAsia="bg-BG"/>
        </w:rPr>
      </w:pPr>
      <w:r w:rsidRPr="00A54493">
        <w:rPr>
          <w:lang w:eastAsia="bg-BG"/>
        </w:rPr>
        <w:t xml:space="preserve">свръхчувствителност към </w:t>
      </w:r>
      <w:r w:rsidRPr="00A54493">
        <w:rPr>
          <w:lang w:val="en-US"/>
        </w:rPr>
        <w:t xml:space="preserve">alfuzosin </w:t>
      </w:r>
      <w:r w:rsidRPr="00A54493">
        <w:rPr>
          <w:lang w:eastAsia="bg-BG"/>
        </w:rPr>
        <w:t>(</w:t>
      </w:r>
      <w:proofErr w:type="spellStart"/>
      <w:r w:rsidRPr="00A54493">
        <w:rPr>
          <w:lang w:eastAsia="bg-BG"/>
        </w:rPr>
        <w:t>алфузосин</w:t>
      </w:r>
      <w:proofErr w:type="spellEnd"/>
      <w:r w:rsidRPr="00A54493">
        <w:rPr>
          <w:lang w:eastAsia="bg-BG"/>
        </w:rPr>
        <w:t>) и/или към някое от помощните вещества,</w:t>
      </w:r>
    </w:p>
    <w:p w14:paraId="5B7DC6D7" w14:textId="77777777" w:rsidR="00A54493" w:rsidRPr="00A54493" w:rsidRDefault="00A54493" w:rsidP="00A54493">
      <w:pPr>
        <w:pStyle w:val="a3"/>
        <w:numPr>
          <w:ilvl w:val="0"/>
          <w:numId w:val="31"/>
        </w:numPr>
        <w:rPr>
          <w:lang w:eastAsia="bg-BG"/>
        </w:rPr>
      </w:pPr>
      <w:r w:rsidRPr="00A54493">
        <w:rPr>
          <w:lang w:eastAsia="bg-BG"/>
        </w:rPr>
        <w:t xml:space="preserve">ортостатична </w:t>
      </w:r>
      <w:proofErr w:type="spellStart"/>
      <w:r w:rsidRPr="00A54493">
        <w:rPr>
          <w:lang w:eastAsia="bg-BG"/>
        </w:rPr>
        <w:t>хипотензия</w:t>
      </w:r>
      <w:proofErr w:type="spellEnd"/>
      <w:r w:rsidRPr="00A54493">
        <w:rPr>
          <w:lang w:eastAsia="bg-BG"/>
        </w:rPr>
        <w:t>,</w:t>
      </w:r>
    </w:p>
    <w:p w14:paraId="0342159A" w14:textId="77777777" w:rsidR="00A54493" w:rsidRPr="00A54493" w:rsidRDefault="00A54493" w:rsidP="00A54493">
      <w:pPr>
        <w:pStyle w:val="a3"/>
        <w:numPr>
          <w:ilvl w:val="0"/>
          <w:numId w:val="31"/>
        </w:numPr>
        <w:rPr>
          <w:lang w:eastAsia="bg-BG"/>
        </w:rPr>
      </w:pPr>
      <w:r w:rsidRPr="00A54493">
        <w:rPr>
          <w:lang w:eastAsia="bg-BG"/>
        </w:rPr>
        <w:t>в комбинация с други алфа-1-блокери,</w:t>
      </w:r>
    </w:p>
    <w:p w14:paraId="19437337" w14:textId="77777777" w:rsidR="00A54493" w:rsidRPr="00A54493" w:rsidRDefault="00A54493" w:rsidP="00A54493">
      <w:pPr>
        <w:pStyle w:val="a3"/>
        <w:numPr>
          <w:ilvl w:val="0"/>
          <w:numId w:val="31"/>
        </w:numPr>
        <w:rPr>
          <w:lang w:eastAsia="bg-BG"/>
        </w:rPr>
      </w:pPr>
      <w:r w:rsidRPr="00A54493">
        <w:rPr>
          <w:lang w:eastAsia="bg-BG"/>
        </w:rPr>
        <w:t>чернодробна недостатъчност,</w:t>
      </w:r>
    </w:p>
    <w:p w14:paraId="4BA7B649" w14:textId="77777777" w:rsidR="00A54493" w:rsidRPr="00A54493" w:rsidRDefault="00A54493" w:rsidP="00A54493">
      <w:pPr>
        <w:pStyle w:val="a3"/>
        <w:numPr>
          <w:ilvl w:val="0"/>
          <w:numId w:val="31"/>
        </w:numPr>
        <w:rPr>
          <w:lang w:eastAsia="bg-BG"/>
        </w:rPr>
      </w:pPr>
      <w:r w:rsidRPr="00A54493">
        <w:rPr>
          <w:lang w:eastAsia="bg-BG"/>
        </w:rPr>
        <w:t>тежко нарушена бъбречна функция (</w:t>
      </w:r>
      <w:proofErr w:type="spellStart"/>
      <w:r w:rsidRPr="00A54493">
        <w:rPr>
          <w:lang w:eastAsia="bg-BG"/>
        </w:rPr>
        <w:t>креатининов</w:t>
      </w:r>
      <w:proofErr w:type="spellEnd"/>
      <w:r w:rsidRPr="00A54493">
        <w:rPr>
          <w:lang w:eastAsia="bg-BG"/>
        </w:rPr>
        <w:t xml:space="preserve"> клирънс &lt; 30 </w:t>
      </w:r>
      <w:r w:rsidRPr="00A54493">
        <w:rPr>
          <w:lang w:val="en-US"/>
        </w:rPr>
        <w:t>ml/min);</w:t>
      </w:r>
    </w:p>
    <w:p w14:paraId="7C08ECED" w14:textId="77777777" w:rsidR="00A54493" w:rsidRPr="00A54493" w:rsidRDefault="00A54493" w:rsidP="00A54493">
      <w:pPr>
        <w:pStyle w:val="a3"/>
        <w:numPr>
          <w:ilvl w:val="0"/>
          <w:numId w:val="31"/>
        </w:numPr>
        <w:rPr>
          <w:lang w:eastAsia="bg-BG"/>
        </w:rPr>
      </w:pPr>
      <w:r w:rsidRPr="00A54493">
        <w:rPr>
          <w:lang w:eastAsia="bg-BG"/>
        </w:rPr>
        <w:t>чревна непроходимост поради прилагане на рициново масло.</w:t>
      </w:r>
    </w:p>
    <w:p w14:paraId="3287BEB7" w14:textId="77777777" w:rsidR="00A54493" w:rsidRPr="00A54493" w:rsidRDefault="00A54493" w:rsidP="00A54493"/>
    <w:p w14:paraId="447F6F23" w14:textId="056BE629" w:rsidR="00C0049F" w:rsidRDefault="002C50EE" w:rsidP="009F1313">
      <w:pPr>
        <w:pStyle w:val="2"/>
      </w:pPr>
      <w:r>
        <w:t>4.4. Специални предупреждения и предпазни мерки при употреба</w:t>
      </w:r>
    </w:p>
    <w:p w14:paraId="17696121" w14:textId="40BFE53D" w:rsidR="00A54493" w:rsidRDefault="00A54493" w:rsidP="00A54493"/>
    <w:p w14:paraId="76159866" w14:textId="77777777" w:rsidR="00A54493" w:rsidRPr="00A54493" w:rsidRDefault="00A54493" w:rsidP="00A54493">
      <w:pPr>
        <w:spacing w:line="240" w:lineRule="auto"/>
        <w:rPr>
          <w:rFonts w:eastAsia="Times New Roman" w:cs="Arial"/>
        </w:rPr>
      </w:pPr>
      <w:bookmarkStart w:id="1" w:name="bookmark0"/>
      <w:r w:rsidRPr="00A54493">
        <w:rPr>
          <w:rFonts w:eastAsia="Times New Roman" w:cs="Arial"/>
          <w:b/>
          <w:bCs/>
          <w:color w:val="000000"/>
          <w:lang w:eastAsia="bg-BG"/>
        </w:rPr>
        <w:t>Предупреждения</w:t>
      </w:r>
      <w:bookmarkEnd w:id="1"/>
    </w:p>
    <w:p w14:paraId="00AC0F7C" w14:textId="77777777" w:rsidR="00A54493" w:rsidRDefault="00A54493" w:rsidP="00A5449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5847904" w14:textId="56B53481" w:rsidR="00A54493" w:rsidRPr="00A54493" w:rsidRDefault="00A54493" w:rsidP="00A54493">
      <w:pPr>
        <w:spacing w:line="240" w:lineRule="auto"/>
        <w:rPr>
          <w:rFonts w:eastAsia="Times New Roman" w:cs="Arial"/>
        </w:rPr>
      </w:pPr>
      <w:r w:rsidRPr="00A54493">
        <w:rPr>
          <w:rFonts w:eastAsia="Times New Roman" w:cs="Arial"/>
          <w:color w:val="000000"/>
          <w:lang w:eastAsia="bg-BG"/>
        </w:rPr>
        <w:t xml:space="preserve">Както всички алфа-1 </w:t>
      </w:r>
      <w:proofErr w:type="spellStart"/>
      <w:r w:rsidRPr="00A54493">
        <w:rPr>
          <w:rFonts w:eastAsia="Times New Roman" w:cs="Arial"/>
          <w:color w:val="000000"/>
          <w:lang w:eastAsia="bg-BG"/>
        </w:rPr>
        <w:t>блокери</w:t>
      </w:r>
      <w:proofErr w:type="spellEnd"/>
      <w:r w:rsidRPr="00A54493">
        <w:rPr>
          <w:rFonts w:eastAsia="Times New Roman" w:cs="Arial"/>
          <w:color w:val="000000"/>
          <w:lang w:eastAsia="bg-BG"/>
        </w:rPr>
        <w:t>, при някои индивиди, особено такива лекувани с антихипертензивни средства, може да се развие ортостатична хипотония, с или без симптоми (чувство на замаяност, отпадналост, изпотяване), в рамките на няколко часа след приемането на лекарството. В такива случаи пациентът трябва да лежи до пълното изчезване на симптомите. Тези реакции обикновено са преходни, възникват в началото на лечението и обикновено не са пречка за продължаване на лечението.</w:t>
      </w:r>
    </w:p>
    <w:p w14:paraId="5D899EFF" w14:textId="77777777" w:rsidR="00A54493" w:rsidRDefault="00A54493" w:rsidP="00A5449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62360F3" w14:textId="14B0CBDD" w:rsidR="00A54493" w:rsidRPr="00A54493" w:rsidRDefault="00A54493" w:rsidP="00A54493">
      <w:pPr>
        <w:spacing w:line="240" w:lineRule="auto"/>
        <w:rPr>
          <w:rFonts w:eastAsia="Times New Roman" w:cs="Arial"/>
        </w:rPr>
      </w:pPr>
      <w:r w:rsidRPr="00A54493">
        <w:rPr>
          <w:rFonts w:eastAsia="Times New Roman" w:cs="Arial"/>
          <w:color w:val="000000"/>
          <w:lang w:eastAsia="bg-BG"/>
        </w:rPr>
        <w:t>Изразено спадане на кръвното налягане е докладвано при наблюдение след пускането на пазара на този лекарствен продукт, при пациенти с предшестващи рискови фактори (като сърдечно-съдови заболявания и / или съпътстващо лечение с антихипертензивни лекарства). Рискът от развитие на хипотония и свързаните с това нежелани реакции може да бъде по-голям при пациенти в старческа възраст.</w:t>
      </w:r>
    </w:p>
    <w:p w14:paraId="593656E7" w14:textId="77777777" w:rsidR="00A54493" w:rsidRDefault="00A54493" w:rsidP="00A5449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64B2399" w14:textId="03A581F2" w:rsidR="00A54493" w:rsidRDefault="00A54493" w:rsidP="00A54493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A54493">
        <w:rPr>
          <w:rFonts w:eastAsia="Times New Roman" w:cs="Arial"/>
          <w:color w:val="000000"/>
          <w:lang w:eastAsia="bg-BG"/>
        </w:rPr>
        <w:t>Пациентът трябва да бъде уведомен за възможната поява на такива инциденти.</w:t>
      </w:r>
    </w:p>
    <w:p w14:paraId="7F76C434" w14:textId="77777777" w:rsidR="00A54493" w:rsidRPr="00A54493" w:rsidRDefault="00A54493" w:rsidP="00A54493">
      <w:pPr>
        <w:spacing w:line="240" w:lineRule="auto"/>
        <w:rPr>
          <w:rFonts w:eastAsia="Times New Roman" w:cs="Arial"/>
        </w:rPr>
      </w:pPr>
    </w:p>
    <w:p w14:paraId="0BA1457B" w14:textId="431B9087" w:rsidR="00A54493" w:rsidRPr="00A54493" w:rsidRDefault="00A54493" w:rsidP="00A54493">
      <w:pPr>
        <w:pStyle w:val="a3"/>
        <w:numPr>
          <w:ilvl w:val="0"/>
          <w:numId w:val="32"/>
        </w:numPr>
        <w:spacing w:line="240" w:lineRule="auto"/>
        <w:rPr>
          <w:rFonts w:eastAsia="Times New Roman" w:cs="Arial"/>
        </w:rPr>
      </w:pPr>
      <w:proofErr w:type="spellStart"/>
      <w:r w:rsidRPr="00A54493">
        <w:rPr>
          <w:rFonts w:eastAsia="Times New Roman" w:cs="Arial"/>
          <w:color w:val="000000"/>
          <w:lang w:eastAsia="bg-BG"/>
        </w:rPr>
        <w:t>Ксатрал</w:t>
      </w:r>
      <w:proofErr w:type="spellEnd"/>
      <w:r w:rsidRPr="00A54493">
        <w:rPr>
          <w:rFonts w:eastAsia="Times New Roman" w:cs="Arial"/>
          <w:color w:val="000000"/>
          <w:lang w:eastAsia="bg-BG"/>
        </w:rPr>
        <w:t xml:space="preserve"> </w:t>
      </w:r>
      <w:r w:rsidRPr="00A54493">
        <w:rPr>
          <w:rFonts w:eastAsia="Times New Roman" w:cs="Arial"/>
          <w:color w:val="000000"/>
          <w:lang w:val="en-US"/>
        </w:rPr>
        <w:t xml:space="preserve">LP </w:t>
      </w:r>
      <w:r w:rsidRPr="00A54493">
        <w:rPr>
          <w:rFonts w:eastAsia="Times New Roman" w:cs="Arial"/>
          <w:color w:val="000000"/>
          <w:lang w:eastAsia="bg-BG"/>
        </w:rPr>
        <w:t>трябва да се прилага с повишено внимание при пациенти със симптоматична ортостатична хипотония или при пациенти на анти-</w:t>
      </w:r>
      <w:proofErr w:type="spellStart"/>
      <w:r w:rsidRPr="00A54493">
        <w:rPr>
          <w:rFonts w:eastAsia="Times New Roman" w:cs="Arial"/>
          <w:color w:val="000000"/>
          <w:lang w:eastAsia="bg-BG"/>
        </w:rPr>
        <w:t>хипертензивно</w:t>
      </w:r>
      <w:proofErr w:type="spellEnd"/>
      <w:r w:rsidRPr="00A54493">
        <w:rPr>
          <w:rFonts w:eastAsia="Times New Roman" w:cs="Arial"/>
          <w:color w:val="000000"/>
          <w:lang w:eastAsia="bg-BG"/>
        </w:rPr>
        <w:t xml:space="preserve"> лечение или при лечение с нитрати (вижте т.4.5).</w:t>
      </w:r>
    </w:p>
    <w:p w14:paraId="44F32932" w14:textId="6330184D" w:rsidR="00A54493" w:rsidRPr="00A54493" w:rsidRDefault="00A54493" w:rsidP="00A54493">
      <w:pPr>
        <w:pStyle w:val="a3"/>
        <w:numPr>
          <w:ilvl w:val="0"/>
          <w:numId w:val="32"/>
        </w:numPr>
        <w:spacing w:line="240" w:lineRule="auto"/>
        <w:rPr>
          <w:rFonts w:eastAsia="Times New Roman" w:cs="Arial"/>
        </w:rPr>
      </w:pPr>
      <w:r w:rsidRPr="00A54493">
        <w:rPr>
          <w:rFonts w:eastAsia="Times New Roman" w:cs="Arial"/>
          <w:color w:val="000000"/>
          <w:lang w:eastAsia="bg-BG"/>
        </w:rPr>
        <w:t xml:space="preserve">Да се употребява с внимание при пациенти с </w:t>
      </w:r>
      <w:proofErr w:type="spellStart"/>
      <w:r w:rsidRPr="00A54493">
        <w:rPr>
          <w:rFonts w:eastAsia="Times New Roman" w:cs="Arial"/>
          <w:color w:val="000000"/>
          <w:lang w:eastAsia="bg-BG"/>
        </w:rPr>
        <w:t>продобит</w:t>
      </w:r>
      <w:proofErr w:type="spellEnd"/>
      <w:r w:rsidRPr="00A54493">
        <w:rPr>
          <w:rFonts w:eastAsia="Times New Roman" w:cs="Arial"/>
          <w:color w:val="000000"/>
          <w:lang w:eastAsia="bg-BG"/>
        </w:rPr>
        <w:t xml:space="preserve"> или вроден удължен </w:t>
      </w:r>
      <w:r w:rsidRPr="00A54493">
        <w:rPr>
          <w:rFonts w:eastAsia="Times New Roman" w:cs="Arial"/>
          <w:color w:val="000000"/>
          <w:lang w:val="en-US"/>
        </w:rPr>
        <w:t xml:space="preserve">QT </w:t>
      </w:r>
      <w:r w:rsidRPr="00A54493">
        <w:rPr>
          <w:rFonts w:eastAsia="Times New Roman" w:cs="Arial"/>
          <w:color w:val="000000"/>
          <w:lang w:eastAsia="bg-BG"/>
        </w:rPr>
        <w:t xml:space="preserve">интервал или пациенти, приемащи лекарствени продукти за които се знае, че удължават </w:t>
      </w:r>
      <w:r w:rsidRPr="00A54493">
        <w:rPr>
          <w:rFonts w:eastAsia="Times New Roman" w:cs="Arial"/>
          <w:color w:val="000000"/>
          <w:lang w:val="en-US"/>
        </w:rPr>
        <w:t xml:space="preserve">QT </w:t>
      </w:r>
      <w:r w:rsidRPr="00A54493">
        <w:rPr>
          <w:rFonts w:eastAsia="Times New Roman" w:cs="Arial"/>
          <w:color w:val="000000"/>
          <w:lang w:eastAsia="bg-BG"/>
        </w:rPr>
        <w:t>интервала.</w:t>
      </w:r>
    </w:p>
    <w:p w14:paraId="0421CB29" w14:textId="77777777" w:rsidR="00A54493" w:rsidRDefault="00A54493" w:rsidP="00A5449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F802EC4" w14:textId="0A51EDF0" w:rsidR="00A54493" w:rsidRPr="00A54493" w:rsidRDefault="00A54493" w:rsidP="00A54493">
      <w:pPr>
        <w:spacing w:line="240" w:lineRule="auto"/>
        <w:rPr>
          <w:rFonts w:eastAsia="Times New Roman" w:cs="Arial"/>
        </w:rPr>
      </w:pPr>
      <w:proofErr w:type="spellStart"/>
      <w:r w:rsidRPr="00A54493">
        <w:rPr>
          <w:rFonts w:eastAsia="Times New Roman" w:cs="Arial"/>
          <w:color w:val="000000"/>
          <w:lang w:eastAsia="bg-BG"/>
        </w:rPr>
        <w:t>Алфузосин</w:t>
      </w:r>
      <w:proofErr w:type="spellEnd"/>
      <w:r w:rsidRPr="00A54493">
        <w:rPr>
          <w:rFonts w:eastAsia="Times New Roman" w:cs="Arial"/>
          <w:color w:val="000000"/>
          <w:lang w:eastAsia="bg-BG"/>
        </w:rPr>
        <w:t xml:space="preserve"> подобно на другите </w:t>
      </w:r>
      <w:proofErr w:type="spellStart"/>
      <w:r w:rsidRPr="00A54493">
        <w:rPr>
          <w:rFonts w:eastAsia="Times New Roman" w:cs="Arial"/>
          <w:color w:val="000000"/>
          <w:lang w:eastAsia="bg-BG"/>
        </w:rPr>
        <w:t>адренергични</w:t>
      </w:r>
      <w:proofErr w:type="spellEnd"/>
      <w:r w:rsidRPr="00A54493">
        <w:rPr>
          <w:rFonts w:eastAsia="Times New Roman" w:cs="Arial"/>
          <w:color w:val="000000"/>
          <w:lang w:eastAsia="bg-BG"/>
        </w:rPr>
        <w:t xml:space="preserve"> антагонисти се свързва с </w:t>
      </w:r>
      <w:proofErr w:type="spellStart"/>
      <w:r w:rsidRPr="00A54493">
        <w:rPr>
          <w:rFonts w:eastAsia="Times New Roman" w:cs="Arial"/>
          <w:color w:val="000000"/>
          <w:lang w:eastAsia="bg-BG"/>
        </w:rPr>
        <w:t>приапизъм</w:t>
      </w:r>
      <w:proofErr w:type="spellEnd"/>
      <w:r w:rsidRPr="00A54493">
        <w:rPr>
          <w:rFonts w:eastAsia="Times New Roman" w:cs="Arial"/>
          <w:color w:val="000000"/>
          <w:lang w:eastAsia="bg-BG"/>
        </w:rPr>
        <w:t xml:space="preserve"> (персистираща болезнена ерекция на пениса, която не е свързана с половата активност). Тъй като това състояние, ако не се лекува правилно може да доведе до трайна импотентност, пациентите трябва да бъдат информирани за сериозността на това състояние (виж точка 4.8).</w:t>
      </w:r>
    </w:p>
    <w:p w14:paraId="63230C6A" w14:textId="77777777" w:rsidR="00A54493" w:rsidRDefault="00A54493" w:rsidP="00A54493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2" w:name="bookmark2"/>
    </w:p>
    <w:p w14:paraId="338EF99C" w14:textId="1F7B9580" w:rsidR="00A54493" w:rsidRPr="00A54493" w:rsidRDefault="00A54493" w:rsidP="00A54493">
      <w:pPr>
        <w:spacing w:line="240" w:lineRule="auto"/>
        <w:rPr>
          <w:rFonts w:eastAsia="Times New Roman" w:cs="Arial"/>
        </w:rPr>
      </w:pPr>
      <w:r w:rsidRPr="00A54493">
        <w:rPr>
          <w:rFonts w:eastAsia="Times New Roman" w:cs="Arial"/>
          <w:b/>
          <w:bCs/>
          <w:color w:val="000000"/>
          <w:lang w:eastAsia="bg-BG"/>
        </w:rPr>
        <w:t>Специални предпазни мерки при употреба</w:t>
      </w:r>
      <w:bookmarkEnd w:id="2"/>
    </w:p>
    <w:p w14:paraId="0F0A9870" w14:textId="411C6010" w:rsidR="00A54493" w:rsidRDefault="00A54493" w:rsidP="00A54493">
      <w:pPr>
        <w:pStyle w:val="a3"/>
        <w:numPr>
          <w:ilvl w:val="0"/>
          <w:numId w:val="37"/>
        </w:numPr>
        <w:rPr>
          <w:lang w:eastAsia="bg-BG"/>
        </w:rPr>
      </w:pPr>
      <w:r w:rsidRPr="00A54493">
        <w:rPr>
          <w:lang w:eastAsia="bg-BG"/>
        </w:rPr>
        <w:lastRenderedPageBreak/>
        <w:t xml:space="preserve">Препоръчва се внимателно прилагане на </w:t>
      </w:r>
      <w:proofErr w:type="spellStart"/>
      <w:r w:rsidRPr="00A54493">
        <w:rPr>
          <w:lang w:eastAsia="bg-BG"/>
        </w:rPr>
        <w:t>Ксатрал</w:t>
      </w:r>
      <w:proofErr w:type="spellEnd"/>
      <w:r w:rsidRPr="00A54493">
        <w:rPr>
          <w:lang w:eastAsia="bg-BG"/>
        </w:rPr>
        <w:t xml:space="preserve"> </w:t>
      </w:r>
      <w:r w:rsidRPr="00A54493">
        <w:rPr>
          <w:lang w:val="en-US"/>
        </w:rPr>
        <w:t xml:space="preserve">LP </w:t>
      </w:r>
      <w:r w:rsidRPr="00A54493">
        <w:rPr>
          <w:lang w:eastAsia="bg-BG"/>
        </w:rPr>
        <w:t xml:space="preserve">когато се използва при пациенти, които са имали изразен </w:t>
      </w:r>
      <w:proofErr w:type="spellStart"/>
      <w:r w:rsidRPr="00A54493">
        <w:rPr>
          <w:lang w:eastAsia="bg-BG"/>
        </w:rPr>
        <w:t>хипотензивен</w:t>
      </w:r>
      <w:proofErr w:type="spellEnd"/>
      <w:r w:rsidRPr="00A54493">
        <w:rPr>
          <w:lang w:eastAsia="bg-BG"/>
        </w:rPr>
        <w:t xml:space="preserve"> отговор към друг алфа-1 </w:t>
      </w:r>
      <w:proofErr w:type="spellStart"/>
      <w:r w:rsidRPr="00A54493">
        <w:rPr>
          <w:lang w:eastAsia="bg-BG"/>
        </w:rPr>
        <w:t>блокер</w:t>
      </w:r>
      <w:proofErr w:type="spellEnd"/>
      <w:r w:rsidRPr="00A54493">
        <w:rPr>
          <w:lang w:eastAsia="bg-BG"/>
        </w:rPr>
        <w:t>.</w:t>
      </w:r>
    </w:p>
    <w:p w14:paraId="66B29362" w14:textId="77777777" w:rsidR="00A54493" w:rsidRPr="00A54493" w:rsidRDefault="00A54493" w:rsidP="00A54493"/>
    <w:p w14:paraId="2486AE19" w14:textId="6DE1DAFC" w:rsidR="00A54493" w:rsidRPr="00A54493" w:rsidRDefault="00A54493" w:rsidP="00A54493">
      <w:pPr>
        <w:pStyle w:val="a3"/>
        <w:numPr>
          <w:ilvl w:val="0"/>
          <w:numId w:val="37"/>
        </w:numPr>
      </w:pPr>
      <w:r w:rsidRPr="00A54493">
        <w:rPr>
          <w:lang w:eastAsia="bg-BG"/>
        </w:rPr>
        <w:t xml:space="preserve">При пациенти с коронарно заболяване, специфичното лечение за коронарна недостатъчност трябва да продължи. В случай на повторна поява или влошаване на </w:t>
      </w:r>
      <w:r w:rsidRPr="00A54493">
        <w:rPr>
          <w:lang w:val="en-US"/>
        </w:rPr>
        <w:t xml:space="preserve">angina pectoris, </w:t>
      </w:r>
      <w:r w:rsidRPr="00A54493">
        <w:rPr>
          <w:lang w:eastAsia="bg-BG"/>
        </w:rPr>
        <w:t xml:space="preserve">лечението с </w:t>
      </w:r>
      <w:proofErr w:type="spellStart"/>
      <w:r w:rsidRPr="00A54493">
        <w:rPr>
          <w:lang w:eastAsia="bg-BG"/>
        </w:rPr>
        <w:t>Ксатрал</w:t>
      </w:r>
      <w:proofErr w:type="spellEnd"/>
      <w:r w:rsidRPr="00A54493">
        <w:rPr>
          <w:lang w:eastAsia="bg-BG"/>
        </w:rPr>
        <w:t xml:space="preserve"> </w:t>
      </w:r>
      <w:r w:rsidRPr="00A54493">
        <w:rPr>
          <w:lang w:val="en-US"/>
        </w:rPr>
        <w:t xml:space="preserve">LP </w:t>
      </w:r>
      <w:r w:rsidRPr="00A54493">
        <w:rPr>
          <w:lang w:eastAsia="bg-BG"/>
        </w:rPr>
        <w:t>трябва да се прекрати.</w:t>
      </w:r>
    </w:p>
    <w:p w14:paraId="3586534B" w14:textId="77777777" w:rsidR="00A54493" w:rsidRDefault="00A54493" w:rsidP="00A5449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DD1AB67" w14:textId="7D363CBC" w:rsidR="00A54493" w:rsidRDefault="00A54493" w:rsidP="00A54493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A54493">
        <w:rPr>
          <w:rFonts w:eastAsia="Times New Roman" w:cs="Arial"/>
          <w:color w:val="000000"/>
          <w:lang w:eastAsia="bg-BG"/>
        </w:rPr>
        <w:t xml:space="preserve">Както при всички алфа-1 рецепторни </w:t>
      </w:r>
      <w:proofErr w:type="spellStart"/>
      <w:r w:rsidRPr="00A54493">
        <w:rPr>
          <w:rFonts w:eastAsia="Times New Roman" w:cs="Arial"/>
          <w:color w:val="000000"/>
          <w:lang w:eastAsia="bg-BG"/>
        </w:rPr>
        <w:t>блокери</w:t>
      </w:r>
      <w:proofErr w:type="spellEnd"/>
      <w:r w:rsidRPr="00A54493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A54493">
        <w:rPr>
          <w:rFonts w:eastAsia="Times New Roman" w:cs="Arial"/>
          <w:color w:val="000000"/>
          <w:lang w:eastAsia="bg-BG"/>
        </w:rPr>
        <w:t>алфузосин</w:t>
      </w:r>
      <w:proofErr w:type="spellEnd"/>
      <w:r w:rsidRPr="00A54493">
        <w:rPr>
          <w:rFonts w:eastAsia="Times New Roman" w:cs="Arial"/>
          <w:color w:val="000000"/>
          <w:lang w:eastAsia="bg-BG"/>
        </w:rPr>
        <w:t xml:space="preserve"> трябва да се прилага с внимание при пациенти с остра сърдечна недостатъчност.</w:t>
      </w:r>
    </w:p>
    <w:p w14:paraId="24C4E5FE" w14:textId="77777777" w:rsidR="00A54493" w:rsidRPr="00A54493" w:rsidRDefault="00A54493" w:rsidP="00A54493">
      <w:pPr>
        <w:spacing w:line="240" w:lineRule="auto"/>
        <w:rPr>
          <w:rFonts w:eastAsia="Times New Roman" w:cs="Arial"/>
        </w:rPr>
      </w:pPr>
    </w:p>
    <w:p w14:paraId="4FA982B5" w14:textId="0C5FA976" w:rsidR="00A54493" w:rsidRPr="00A54493" w:rsidRDefault="00A54493" w:rsidP="00A54493">
      <w:pPr>
        <w:pStyle w:val="a3"/>
        <w:numPr>
          <w:ilvl w:val="0"/>
          <w:numId w:val="38"/>
        </w:numPr>
        <w:spacing w:line="240" w:lineRule="auto"/>
        <w:rPr>
          <w:rFonts w:eastAsia="Times New Roman" w:cs="Arial"/>
        </w:rPr>
      </w:pPr>
      <w:proofErr w:type="spellStart"/>
      <w:r w:rsidRPr="00A54493">
        <w:rPr>
          <w:rFonts w:eastAsia="Times New Roman" w:cs="Arial"/>
          <w:color w:val="000000"/>
          <w:lang w:eastAsia="bg-BG"/>
        </w:rPr>
        <w:t>Интраоперативен</w:t>
      </w:r>
      <w:proofErr w:type="spellEnd"/>
      <w:r w:rsidRPr="00A54493">
        <w:rPr>
          <w:rFonts w:eastAsia="Times New Roman" w:cs="Arial"/>
          <w:color w:val="000000"/>
          <w:lang w:eastAsia="bg-BG"/>
        </w:rPr>
        <w:t xml:space="preserve"> Флопи Ирис Синдром </w:t>
      </w:r>
      <w:r w:rsidRPr="00A54493">
        <w:rPr>
          <w:rFonts w:eastAsia="Times New Roman" w:cs="Arial"/>
          <w:color w:val="000000"/>
          <w:lang w:val="en-US"/>
        </w:rPr>
        <w:t xml:space="preserve">(IFIS, </w:t>
      </w:r>
      <w:r w:rsidRPr="00A54493">
        <w:rPr>
          <w:rFonts w:eastAsia="Times New Roman" w:cs="Arial"/>
          <w:color w:val="000000"/>
          <w:lang w:eastAsia="bg-BG"/>
        </w:rPr>
        <w:t>тясна зеница), е наблюдаван по време на операция на катаракта при някои пациенти приемащи или приемали някои алфа-1-блокери.</w:t>
      </w:r>
    </w:p>
    <w:p w14:paraId="35082FFF" w14:textId="77777777" w:rsidR="00A54493" w:rsidRPr="00A54493" w:rsidRDefault="00A54493" w:rsidP="00A54493">
      <w:pPr>
        <w:spacing w:line="240" w:lineRule="auto"/>
        <w:rPr>
          <w:rFonts w:eastAsia="Times New Roman" w:cs="Arial"/>
        </w:rPr>
      </w:pPr>
      <w:r w:rsidRPr="00A54493">
        <w:rPr>
          <w:rFonts w:eastAsia="Times New Roman" w:cs="Arial"/>
          <w:color w:val="000000"/>
          <w:lang w:eastAsia="bg-BG"/>
        </w:rPr>
        <w:t xml:space="preserve">Въпреки, че рискът от такова събитие при употребата на </w:t>
      </w:r>
      <w:proofErr w:type="spellStart"/>
      <w:r w:rsidRPr="00A54493">
        <w:rPr>
          <w:rFonts w:eastAsia="Times New Roman" w:cs="Arial"/>
          <w:color w:val="000000"/>
          <w:lang w:eastAsia="bg-BG"/>
        </w:rPr>
        <w:t>Ксатрал</w:t>
      </w:r>
      <w:proofErr w:type="spellEnd"/>
      <w:r w:rsidRPr="00A54493">
        <w:rPr>
          <w:rFonts w:eastAsia="Times New Roman" w:cs="Arial"/>
          <w:color w:val="000000"/>
          <w:lang w:eastAsia="bg-BG"/>
        </w:rPr>
        <w:t xml:space="preserve"> </w:t>
      </w:r>
      <w:r w:rsidRPr="00A54493">
        <w:rPr>
          <w:rFonts w:eastAsia="Times New Roman" w:cs="Arial"/>
          <w:color w:val="000000"/>
          <w:lang w:val="en-US"/>
        </w:rPr>
        <w:t xml:space="preserve">LP </w:t>
      </w:r>
      <w:r w:rsidRPr="00A54493">
        <w:rPr>
          <w:rFonts w:eastAsia="Times New Roman" w:cs="Arial"/>
          <w:color w:val="000000"/>
          <w:lang w:eastAsia="bg-BG"/>
        </w:rPr>
        <w:t xml:space="preserve">е много малък, очният хирург трябва да бъде информиран предварително за сегашна или минала употреба на алфа-1-блокери, в случай на операция на катаракта, тъй като </w:t>
      </w:r>
      <w:r w:rsidRPr="00A54493">
        <w:rPr>
          <w:rFonts w:eastAsia="Times New Roman" w:cs="Arial"/>
          <w:color w:val="000000"/>
          <w:lang w:val="en-US"/>
        </w:rPr>
        <w:t xml:space="preserve">IFIS </w:t>
      </w:r>
      <w:r w:rsidRPr="00A54493">
        <w:rPr>
          <w:rFonts w:eastAsia="Times New Roman" w:cs="Arial"/>
          <w:color w:val="000000"/>
          <w:lang w:eastAsia="bg-BG"/>
        </w:rPr>
        <w:t>може да доведе до повишаване на усложненията по време на операцията. Очните хирурзи трябва да бъдат подготвени за възможни промени на тяхната хирургична техника.</w:t>
      </w:r>
    </w:p>
    <w:p w14:paraId="2181FE62" w14:textId="77777777" w:rsidR="00A54493" w:rsidRDefault="00A54493" w:rsidP="00A5449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C0F1EEB" w14:textId="77777777" w:rsidR="00A54493" w:rsidRPr="00A54493" w:rsidRDefault="00A54493" w:rsidP="00A54493">
      <w:pPr>
        <w:rPr>
          <w:sz w:val="24"/>
          <w:szCs w:val="24"/>
        </w:rPr>
      </w:pPr>
      <w:r w:rsidRPr="00A54493">
        <w:rPr>
          <w:rFonts w:cs="Arial"/>
          <w:lang w:eastAsia="bg-BG"/>
        </w:rPr>
        <w:t xml:space="preserve">Пациентите трябва да бъдат уведомени, че таблетките трябва да се поглъщат цели. Таблетките не </w:t>
      </w:r>
      <w:proofErr w:type="spellStart"/>
      <w:r w:rsidRPr="00A54493">
        <w:rPr>
          <w:rFonts w:cs="Arial"/>
          <w:lang w:eastAsia="bg-BG"/>
        </w:rPr>
        <w:t>трявба</w:t>
      </w:r>
      <w:proofErr w:type="spellEnd"/>
      <w:r w:rsidRPr="00A54493">
        <w:rPr>
          <w:rFonts w:cs="Arial"/>
          <w:lang w:eastAsia="bg-BG"/>
        </w:rPr>
        <w:t xml:space="preserve"> да се чупят, дъвчат, раздробяват или стриват на прах. Тези действия могат да доведат до неправилно</w:t>
      </w:r>
      <w:r>
        <w:rPr>
          <w:rFonts w:cs="Arial"/>
          <w:lang w:eastAsia="bg-BG"/>
        </w:rPr>
        <w:t xml:space="preserve"> </w:t>
      </w:r>
      <w:r w:rsidRPr="00A54493">
        <w:rPr>
          <w:lang w:eastAsia="bg-BG"/>
        </w:rPr>
        <w:t>освобождаване и абсорбция на лекарството и като следствие от това, до нежелани реакции, които могат да се развият бързо.</w:t>
      </w:r>
    </w:p>
    <w:p w14:paraId="70F9012E" w14:textId="77777777" w:rsidR="00A54493" w:rsidRDefault="00A54493" w:rsidP="00A54493">
      <w:pPr>
        <w:rPr>
          <w:lang w:eastAsia="bg-BG"/>
        </w:rPr>
      </w:pPr>
    </w:p>
    <w:p w14:paraId="6B2213E8" w14:textId="1B99A91A" w:rsidR="00A54493" w:rsidRPr="00A54493" w:rsidRDefault="00A54493" w:rsidP="00A54493">
      <w:pPr>
        <w:rPr>
          <w:sz w:val="24"/>
          <w:szCs w:val="24"/>
        </w:rPr>
      </w:pPr>
      <w:proofErr w:type="spellStart"/>
      <w:r w:rsidRPr="00A54493">
        <w:rPr>
          <w:lang w:eastAsia="bg-BG"/>
        </w:rPr>
        <w:t>Ксатрал</w:t>
      </w:r>
      <w:proofErr w:type="spellEnd"/>
      <w:r w:rsidRPr="00A54493">
        <w:rPr>
          <w:lang w:eastAsia="bg-BG"/>
        </w:rPr>
        <w:t xml:space="preserve"> </w:t>
      </w:r>
      <w:r w:rsidRPr="00A54493">
        <w:rPr>
          <w:lang w:val="en-US"/>
        </w:rPr>
        <w:t xml:space="preserve">LP </w:t>
      </w:r>
      <w:r w:rsidRPr="00A54493">
        <w:rPr>
          <w:lang w:eastAsia="bg-BG"/>
        </w:rPr>
        <w:t xml:space="preserve">10 </w:t>
      </w:r>
      <w:r w:rsidRPr="00A54493">
        <w:rPr>
          <w:lang w:val="en-US"/>
        </w:rPr>
        <w:t xml:space="preserve">mg </w:t>
      </w:r>
      <w:r w:rsidRPr="00A54493">
        <w:rPr>
          <w:lang w:eastAsia="bg-BG"/>
        </w:rPr>
        <w:t>таблетки с удължено освобождаване, съдържа хидрогенирано рициново масло, което може да предизвика стомашно разстройство и диария.</w:t>
      </w:r>
    </w:p>
    <w:p w14:paraId="32C71C69" w14:textId="77777777" w:rsidR="00A54493" w:rsidRDefault="00A54493" w:rsidP="00A54493">
      <w:pPr>
        <w:rPr>
          <w:lang w:eastAsia="bg-BG"/>
        </w:rPr>
      </w:pPr>
    </w:p>
    <w:p w14:paraId="156292E9" w14:textId="0C36F0F8" w:rsidR="00A54493" w:rsidRPr="00A54493" w:rsidRDefault="00A54493" w:rsidP="00A54493">
      <w:pPr>
        <w:rPr>
          <w:sz w:val="24"/>
          <w:szCs w:val="24"/>
        </w:rPr>
      </w:pPr>
      <w:r w:rsidRPr="00A54493">
        <w:rPr>
          <w:lang w:eastAsia="bg-BG"/>
        </w:rPr>
        <w:t xml:space="preserve">Тъй като няма налични данни за клинична </w:t>
      </w:r>
      <w:proofErr w:type="spellStart"/>
      <w:r w:rsidRPr="00A54493">
        <w:rPr>
          <w:lang w:eastAsia="bg-BG"/>
        </w:rPr>
        <w:t>безопастност</w:t>
      </w:r>
      <w:proofErr w:type="spellEnd"/>
      <w:r w:rsidRPr="00A54493">
        <w:rPr>
          <w:lang w:eastAsia="bg-BG"/>
        </w:rPr>
        <w:t xml:space="preserve"> при пациенти с тежко нарушена бъбречна функция (</w:t>
      </w:r>
      <w:proofErr w:type="spellStart"/>
      <w:r w:rsidRPr="00A54493">
        <w:rPr>
          <w:lang w:eastAsia="bg-BG"/>
        </w:rPr>
        <w:t>креатининов</w:t>
      </w:r>
      <w:proofErr w:type="spellEnd"/>
      <w:r w:rsidRPr="00A54493">
        <w:rPr>
          <w:lang w:eastAsia="bg-BG"/>
        </w:rPr>
        <w:t xml:space="preserve"> клирънс &lt;30 </w:t>
      </w:r>
      <w:r w:rsidRPr="00A54493">
        <w:rPr>
          <w:lang w:val="en-US"/>
        </w:rPr>
        <w:t xml:space="preserve">ml/min), </w:t>
      </w:r>
      <w:proofErr w:type="spellStart"/>
      <w:r w:rsidRPr="00A54493">
        <w:rPr>
          <w:lang w:eastAsia="bg-BG"/>
        </w:rPr>
        <w:t>Ксатрал</w:t>
      </w:r>
      <w:proofErr w:type="spellEnd"/>
      <w:r w:rsidRPr="00A54493">
        <w:rPr>
          <w:lang w:eastAsia="bg-BG"/>
        </w:rPr>
        <w:t xml:space="preserve"> </w:t>
      </w:r>
      <w:r w:rsidRPr="00A54493">
        <w:rPr>
          <w:lang w:val="en-US"/>
        </w:rPr>
        <w:t xml:space="preserve">LP </w:t>
      </w:r>
      <w:r w:rsidRPr="00A54493">
        <w:rPr>
          <w:lang w:eastAsia="bg-BG"/>
        </w:rPr>
        <w:t xml:space="preserve">10 </w:t>
      </w:r>
      <w:r w:rsidRPr="00A54493">
        <w:rPr>
          <w:lang w:val="en-US"/>
        </w:rPr>
        <w:t xml:space="preserve">mg </w:t>
      </w:r>
      <w:r w:rsidRPr="00A54493">
        <w:rPr>
          <w:lang w:eastAsia="bg-BG"/>
        </w:rPr>
        <w:t>таблетки с удължено освобождаване не трябва да се прилага при тази група от пациенти.</w:t>
      </w:r>
    </w:p>
    <w:p w14:paraId="1626261A" w14:textId="01AAB037" w:rsidR="00A54493" w:rsidRPr="00A54493" w:rsidRDefault="00A54493" w:rsidP="00A54493">
      <w:pPr>
        <w:spacing w:line="240" w:lineRule="auto"/>
        <w:rPr>
          <w:rFonts w:eastAsia="Times New Roman" w:cs="Arial"/>
        </w:rPr>
      </w:pPr>
    </w:p>
    <w:p w14:paraId="1CCA1C1F" w14:textId="77777777" w:rsidR="00A54493" w:rsidRPr="00A54493" w:rsidRDefault="00A54493" w:rsidP="00A54493"/>
    <w:p w14:paraId="46F5FD89" w14:textId="6B66A6B2" w:rsidR="00C0049F" w:rsidRDefault="002C50EE" w:rsidP="009F1313">
      <w:pPr>
        <w:pStyle w:val="2"/>
      </w:pPr>
      <w:r>
        <w:t>4.5. Взаимодействие с други лекарствени продукти и други форми на взаимодействие</w:t>
      </w:r>
    </w:p>
    <w:p w14:paraId="5C15D95F" w14:textId="4D410221" w:rsidR="00A54493" w:rsidRDefault="00A54493" w:rsidP="00A54493"/>
    <w:p w14:paraId="1B35FF67" w14:textId="77777777" w:rsidR="00A54493" w:rsidRPr="00A54493" w:rsidRDefault="00A54493" w:rsidP="00A54493">
      <w:pPr>
        <w:spacing w:line="240" w:lineRule="auto"/>
        <w:rPr>
          <w:rFonts w:eastAsia="Times New Roman" w:cs="Arial"/>
        </w:rPr>
      </w:pPr>
      <w:r w:rsidRPr="00A54493">
        <w:rPr>
          <w:rFonts w:eastAsia="Times New Roman" w:cs="Arial"/>
          <w:b/>
          <w:bCs/>
          <w:color w:val="000000"/>
          <w:u w:val="single"/>
          <w:lang w:eastAsia="bg-BG"/>
        </w:rPr>
        <w:t>Комбинации, които са противопоказани</w:t>
      </w:r>
    </w:p>
    <w:p w14:paraId="41AD3AA8" w14:textId="77777777" w:rsidR="00A54493" w:rsidRPr="00A54493" w:rsidRDefault="00A54493" w:rsidP="00A54493">
      <w:pPr>
        <w:pStyle w:val="a3"/>
        <w:numPr>
          <w:ilvl w:val="0"/>
          <w:numId w:val="39"/>
        </w:numPr>
        <w:spacing w:line="240" w:lineRule="auto"/>
        <w:rPr>
          <w:rFonts w:eastAsia="Times New Roman" w:cs="Arial"/>
        </w:rPr>
      </w:pPr>
      <w:r w:rsidRPr="00A54493">
        <w:rPr>
          <w:rFonts w:eastAsia="Times New Roman" w:cs="Arial"/>
          <w:color w:val="000000"/>
          <w:lang w:eastAsia="bg-BG"/>
        </w:rPr>
        <w:t xml:space="preserve">Антихипертензивни алфа- рецепторни </w:t>
      </w:r>
      <w:proofErr w:type="spellStart"/>
      <w:r w:rsidRPr="00A54493">
        <w:rPr>
          <w:rFonts w:eastAsia="Times New Roman" w:cs="Arial"/>
          <w:color w:val="000000"/>
          <w:lang w:eastAsia="bg-BG"/>
        </w:rPr>
        <w:t>блокери</w:t>
      </w:r>
      <w:proofErr w:type="spellEnd"/>
      <w:r w:rsidRPr="00A54493">
        <w:rPr>
          <w:rFonts w:eastAsia="Times New Roman" w:cs="Arial"/>
          <w:color w:val="000000"/>
          <w:lang w:eastAsia="bg-BG"/>
        </w:rPr>
        <w:t xml:space="preserve"> </w:t>
      </w:r>
      <w:r w:rsidRPr="00A54493">
        <w:rPr>
          <w:rFonts w:eastAsia="Times New Roman" w:cs="Arial"/>
          <w:color w:val="000000"/>
          <w:lang w:val="en-US"/>
        </w:rPr>
        <w:t>(prazosin, urapidil, minoxidil):</w:t>
      </w:r>
    </w:p>
    <w:p w14:paraId="1ECDC056" w14:textId="6E6F5F70" w:rsidR="00A54493" w:rsidRPr="00A54493" w:rsidRDefault="00A54493" w:rsidP="00A54493">
      <w:pPr>
        <w:pStyle w:val="a3"/>
        <w:spacing w:line="240" w:lineRule="auto"/>
        <w:rPr>
          <w:rFonts w:eastAsia="Times New Roman" w:cs="Arial"/>
        </w:rPr>
      </w:pPr>
      <w:r w:rsidRPr="00A54493">
        <w:rPr>
          <w:rFonts w:eastAsia="Times New Roman" w:cs="Arial"/>
          <w:color w:val="000000"/>
          <w:lang w:eastAsia="bg-BG"/>
        </w:rPr>
        <w:t xml:space="preserve">Усилва се </w:t>
      </w:r>
      <w:proofErr w:type="spellStart"/>
      <w:r w:rsidRPr="00A54493">
        <w:rPr>
          <w:rFonts w:eastAsia="Times New Roman" w:cs="Arial"/>
          <w:color w:val="000000"/>
          <w:lang w:eastAsia="bg-BG"/>
        </w:rPr>
        <w:t>хипотензивния</w:t>
      </w:r>
      <w:proofErr w:type="spellEnd"/>
      <w:r w:rsidRPr="00A54493">
        <w:rPr>
          <w:rFonts w:eastAsia="Times New Roman" w:cs="Arial"/>
          <w:color w:val="000000"/>
          <w:lang w:eastAsia="bg-BG"/>
        </w:rPr>
        <w:t xml:space="preserve"> ефект. Риск от тежка ортостатична </w:t>
      </w:r>
      <w:proofErr w:type="spellStart"/>
      <w:r w:rsidRPr="00A54493">
        <w:rPr>
          <w:rFonts w:eastAsia="Times New Roman" w:cs="Arial"/>
          <w:color w:val="000000"/>
          <w:lang w:eastAsia="bg-BG"/>
        </w:rPr>
        <w:t>хипотензия</w:t>
      </w:r>
      <w:proofErr w:type="spellEnd"/>
      <w:r w:rsidRPr="00A54493">
        <w:rPr>
          <w:rFonts w:eastAsia="Times New Roman" w:cs="Arial"/>
          <w:color w:val="000000"/>
          <w:lang w:eastAsia="bg-BG"/>
        </w:rPr>
        <w:t xml:space="preserve"> (вижте т.4.3. Противопоказания).</w:t>
      </w:r>
    </w:p>
    <w:p w14:paraId="1BD175C0" w14:textId="77777777" w:rsidR="00A54493" w:rsidRPr="00A54493" w:rsidRDefault="00A54493" w:rsidP="00A54493">
      <w:pPr>
        <w:spacing w:line="240" w:lineRule="auto"/>
        <w:rPr>
          <w:rFonts w:eastAsia="Times New Roman" w:cs="Arial"/>
          <w:b/>
          <w:bCs/>
          <w:color w:val="000000"/>
          <w:u w:val="single"/>
          <w:lang w:eastAsia="bg-BG"/>
        </w:rPr>
      </w:pPr>
    </w:p>
    <w:p w14:paraId="5658742A" w14:textId="5CB4B6B0" w:rsidR="00A54493" w:rsidRPr="00A54493" w:rsidRDefault="00A54493" w:rsidP="00A54493">
      <w:pPr>
        <w:spacing w:line="240" w:lineRule="auto"/>
        <w:rPr>
          <w:rFonts w:eastAsia="Times New Roman" w:cs="Arial"/>
        </w:rPr>
      </w:pPr>
      <w:r w:rsidRPr="00A54493">
        <w:rPr>
          <w:rFonts w:eastAsia="Times New Roman" w:cs="Arial"/>
          <w:b/>
          <w:bCs/>
          <w:color w:val="000000"/>
          <w:u w:val="single"/>
          <w:lang w:eastAsia="bg-BG"/>
        </w:rPr>
        <w:t>Комбинации, които трябва да се имат предвид</w:t>
      </w:r>
    </w:p>
    <w:p w14:paraId="1A6D5B32" w14:textId="367C324F" w:rsidR="00A54493" w:rsidRPr="00A54493" w:rsidRDefault="00A54493" w:rsidP="00A54493">
      <w:pPr>
        <w:pStyle w:val="a3"/>
        <w:numPr>
          <w:ilvl w:val="0"/>
          <w:numId w:val="39"/>
        </w:numPr>
        <w:spacing w:line="240" w:lineRule="auto"/>
        <w:rPr>
          <w:rFonts w:eastAsia="Times New Roman" w:cs="Arial"/>
        </w:rPr>
      </w:pPr>
      <w:r w:rsidRPr="00A54493">
        <w:rPr>
          <w:rFonts w:eastAsia="Times New Roman" w:cs="Arial"/>
          <w:color w:val="000000"/>
          <w:lang w:eastAsia="bg-BG"/>
        </w:rPr>
        <w:t>Антихипертензивни лекарства (вижте точка 4.4 Специални предупреждения и специални предпазни мерки при употреба):</w:t>
      </w:r>
    </w:p>
    <w:p w14:paraId="7050468E" w14:textId="77777777" w:rsidR="00A54493" w:rsidRPr="00A54493" w:rsidRDefault="00A54493" w:rsidP="00A54493">
      <w:pPr>
        <w:pStyle w:val="a3"/>
        <w:spacing w:line="240" w:lineRule="auto"/>
        <w:rPr>
          <w:rFonts w:eastAsia="Times New Roman" w:cs="Arial"/>
        </w:rPr>
      </w:pPr>
      <w:r w:rsidRPr="00A54493">
        <w:rPr>
          <w:rFonts w:eastAsia="Times New Roman" w:cs="Arial"/>
          <w:color w:val="000000"/>
          <w:lang w:eastAsia="bg-BG"/>
        </w:rPr>
        <w:t xml:space="preserve">Антихипертензивният ефект и рискът от ортостатична </w:t>
      </w:r>
      <w:proofErr w:type="spellStart"/>
      <w:r w:rsidRPr="00A54493">
        <w:rPr>
          <w:rFonts w:eastAsia="Times New Roman" w:cs="Arial"/>
          <w:color w:val="000000"/>
          <w:lang w:eastAsia="bg-BG"/>
        </w:rPr>
        <w:t>хипотензия</w:t>
      </w:r>
      <w:proofErr w:type="spellEnd"/>
      <w:r w:rsidRPr="00A54493">
        <w:rPr>
          <w:rFonts w:eastAsia="Times New Roman" w:cs="Arial"/>
          <w:color w:val="000000"/>
          <w:lang w:eastAsia="bg-BG"/>
        </w:rPr>
        <w:t xml:space="preserve"> се усилват (адитивен ефект),</w:t>
      </w:r>
    </w:p>
    <w:p w14:paraId="52AFBB08" w14:textId="55BD75BF" w:rsidR="00A54493" w:rsidRPr="00A54493" w:rsidRDefault="00A54493" w:rsidP="00A54493">
      <w:pPr>
        <w:pStyle w:val="a3"/>
        <w:numPr>
          <w:ilvl w:val="0"/>
          <w:numId w:val="39"/>
        </w:numPr>
        <w:spacing w:line="240" w:lineRule="auto"/>
        <w:rPr>
          <w:rFonts w:eastAsia="Times New Roman" w:cs="Arial"/>
        </w:rPr>
      </w:pPr>
      <w:r w:rsidRPr="00A54493">
        <w:rPr>
          <w:rFonts w:eastAsia="Times New Roman" w:cs="Arial"/>
          <w:color w:val="000000"/>
          <w:lang w:eastAsia="bg-BG"/>
        </w:rPr>
        <w:t>Нитрати,</w:t>
      </w:r>
    </w:p>
    <w:p w14:paraId="3AA70F14" w14:textId="0D9F4957" w:rsidR="00A54493" w:rsidRPr="00A54493" w:rsidRDefault="00A54493" w:rsidP="00A54493">
      <w:pPr>
        <w:pStyle w:val="a3"/>
        <w:numPr>
          <w:ilvl w:val="0"/>
          <w:numId w:val="39"/>
        </w:numPr>
        <w:spacing w:line="240" w:lineRule="auto"/>
        <w:rPr>
          <w:rFonts w:eastAsia="Times New Roman" w:cs="Arial"/>
        </w:rPr>
      </w:pPr>
      <w:proofErr w:type="spellStart"/>
      <w:r w:rsidRPr="00A54493">
        <w:rPr>
          <w:rFonts w:eastAsia="Times New Roman" w:cs="Arial"/>
          <w:color w:val="000000"/>
          <w:lang w:eastAsia="bg-BG"/>
        </w:rPr>
        <w:t>Кетоконазол</w:t>
      </w:r>
      <w:proofErr w:type="spellEnd"/>
      <w:r w:rsidRPr="00A54493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A54493">
        <w:rPr>
          <w:rFonts w:eastAsia="Times New Roman" w:cs="Arial"/>
          <w:color w:val="000000"/>
          <w:lang w:eastAsia="bg-BG"/>
        </w:rPr>
        <w:t>итраконазол</w:t>
      </w:r>
      <w:proofErr w:type="spellEnd"/>
      <w:r w:rsidRPr="00A54493">
        <w:rPr>
          <w:rFonts w:eastAsia="Times New Roman" w:cs="Arial"/>
          <w:color w:val="000000"/>
          <w:lang w:eastAsia="bg-BG"/>
        </w:rPr>
        <w:t xml:space="preserve"> и ритонавир:</w:t>
      </w:r>
    </w:p>
    <w:p w14:paraId="35FA3EB2" w14:textId="77777777" w:rsidR="00A54493" w:rsidRPr="00A54493" w:rsidRDefault="00A54493" w:rsidP="00A54493">
      <w:pPr>
        <w:spacing w:line="240" w:lineRule="auto"/>
        <w:rPr>
          <w:rFonts w:eastAsia="Times New Roman" w:cs="Arial"/>
        </w:rPr>
      </w:pPr>
      <w:r w:rsidRPr="00A54493">
        <w:rPr>
          <w:rFonts w:eastAsia="Times New Roman" w:cs="Arial"/>
          <w:color w:val="000000"/>
          <w:lang w:eastAsia="bg-BG"/>
        </w:rPr>
        <w:lastRenderedPageBreak/>
        <w:t xml:space="preserve">Употребата им инхибира чернодробния ензим </w:t>
      </w:r>
      <w:r w:rsidRPr="00A54493">
        <w:rPr>
          <w:rFonts w:eastAsia="Times New Roman" w:cs="Arial"/>
          <w:color w:val="000000"/>
          <w:lang w:val="en-US"/>
        </w:rPr>
        <w:t xml:space="preserve">CYP3A4 </w:t>
      </w:r>
      <w:r w:rsidRPr="00A54493">
        <w:rPr>
          <w:rFonts w:eastAsia="Times New Roman" w:cs="Arial"/>
          <w:color w:val="000000"/>
          <w:lang w:eastAsia="bg-BG"/>
        </w:rPr>
        <w:t xml:space="preserve">участващ в метаболизма на </w:t>
      </w:r>
      <w:proofErr w:type="spellStart"/>
      <w:r w:rsidRPr="00A54493">
        <w:rPr>
          <w:rFonts w:eastAsia="Times New Roman" w:cs="Arial"/>
          <w:color w:val="000000"/>
          <w:lang w:eastAsia="bg-BG"/>
        </w:rPr>
        <w:t>алфузосин</w:t>
      </w:r>
      <w:proofErr w:type="spellEnd"/>
      <w:r w:rsidRPr="00A54493">
        <w:rPr>
          <w:rFonts w:eastAsia="Times New Roman" w:cs="Arial"/>
          <w:color w:val="000000"/>
          <w:lang w:eastAsia="bg-BG"/>
        </w:rPr>
        <w:t>, което води до увеличаване на нивата му в кръвта.</w:t>
      </w:r>
    </w:p>
    <w:p w14:paraId="1F6ABBD6" w14:textId="77777777" w:rsidR="00A54493" w:rsidRPr="00A54493" w:rsidRDefault="00A54493" w:rsidP="00A5449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C43F0A1" w14:textId="357332A5" w:rsidR="00A54493" w:rsidRPr="00A54493" w:rsidRDefault="00A54493" w:rsidP="00A54493">
      <w:pPr>
        <w:spacing w:line="240" w:lineRule="auto"/>
        <w:rPr>
          <w:rFonts w:eastAsia="Times New Roman" w:cs="Arial"/>
        </w:rPr>
      </w:pPr>
      <w:r w:rsidRPr="00A54493">
        <w:rPr>
          <w:rFonts w:eastAsia="Times New Roman" w:cs="Arial"/>
          <w:color w:val="000000"/>
          <w:lang w:eastAsia="bg-BG"/>
        </w:rPr>
        <w:t xml:space="preserve">Приложението на общи </w:t>
      </w:r>
      <w:proofErr w:type="spellStart"/>
      <w:r w:rsidRPr="00A54493">
        <w:rPr>
          <w:rFonts w:eastAsia="Times New Roman" w:cs="Arial"/>
          <w:color w:val="000000"/>
          <w:lang w:eastAsia="bg-BG"/>
        </w:rPr>
        <w:t>анестетици</w:t>
      </w:r>
      <w:proofErr w:type="spellEnd"/>
      <w:r w:rsidRPr="00A54493">
        <w:rPr>
          <w:rFonts w:eastAsia="Times New Roman" w:cs="Arial"/>
          <w:color w:val="000000"/>
          <w:lang w:eastAsia="bg-BG"/>
        </w:rPr>
        <w:t xml:space="preserve"> при пациенти лекувани с </w:t>
      </w:r>
      <w:proofErr w:type="spellStart"/>
      <w:r w:rsidRPr="00A54493">
        <w:rPr>
          <w:rFonts w:eastAsia="Times New Roman" w:cs="Arial"/>
          <w:color w:val="000000"/>
          <w:lang w:eastAsia="bg-BG"/>
        </w:rPr>
        <w:t>алфузосин</w:t>
      </w:r>
      <w:proofErr w:type="spellEnd"/>
      <w:r w:rsidRPr="00A54493">
        <w:rPr>
          <w:rFonts w:eastAsia="Times New Roman" w:cs="Arial"/>
          <w:color w:val="000000"/>
          <w:lang w:eastAsia="bg-BG"/>
        </w:rPr>
        <w:t xml:space="preserve"> може да доведе до нестабилност на кръвното налягане.</w:t>
      </w:r>
    </w:p>
    <w:p w14:paraId="51FB860D" w14:textId="77777777" w:rsidR="00A54493" w:rsidRPr="00A54493" w:rsidRDefault="00A54493" w:rsidP="00A54493"/>
    <w:p w14:paraId="2ABE132C" w14:textId="4CC6C3F6" w:rsidR="00C0049F" w:rsidRDefault="002C50EE" w:rsidP="009F1313">
      <w:pPr>
        <w:pStyle w:val="2"/>
      </w:pPr>
      <w:r>
        <w:t xml:space="preserve">4.6. </w:t>
      </w:r>
      <w:proofErr w:type="spellStart"/>
      <w:r>
        <w:t>Фертилитет</w:t>
      </w:r>
      <w:proofErr w:type="spellEnd"/>
      <w:r>
        <w:t>, бременност и кърмене</w:t>
      </w:r>
    </w:p>
    <w:p w14:paraId="00589BB3" w14:textId="6259C1A5" w:rsidR="00A54493" w:rsidRDefault="00A54493" w:rsidP="00A54493"/>
    <w:p w14:paraId="73C80956" w14:textId="77777777" w:rsidR="00A54493" w:rsidRPr="00A54493" w:rsidRDefault="00A54493" w:rsidP="00A54493">
      <w:pPr>
        <w:rPr>
          <w:sz w:val="24"/>
          <w:szCs w:val="24"/>
        </w:rPr>
      </w:pPr>
      <w:r w:rsidRPr="00A54493">
        <w:rPr>
          <w:lang w:eastAsia="bg-BG"/>
        </w:rPr>
        <w:t>Предвид показанията, продукта не се прилага при жени.</w:t>
      </w:r>
    </w:p>
    <w:p w14:paraId="13C4524D" w14:textId="77777777" w:rsidR="00A54493" w:rsidRDefault="00A54493" w:rsidP="00A54493">
      <w:pPr>
        <w:rPr>
          <w:b/>
          <w:bCs/>
          <w:lang w:eastAsia="bg-BG"/>
        </w:rPr>
      </w:pPr>
    </w:p>
    <w:p w14:paraId="5C1B17A9" w14:textId="1D77B0BF" w:rsidR="00A54493" w:rsidRPr="00A54493" w:rsidRDefault="00A54493" w:rsidP="00A54493">
      <w:pPr>
        <w:pStyle w:val="3"/>
        <w:rPr>
          <w:rFonts w:eastAsia="Times New Roman"/>
          <w:b/>
          <w:bCs/>
        </w:rPr>
      </w:pPr>
      <w:r w:rsidRPr="00A54493">
        <w:rPr>
          <w:rFonts w:eastAsia="Times New Roman"/>
          <w:b/>
          <w:bCs/>
          <w:lang w:eastAsia="bg-BG"/>
        </w:rPr>
        <w:t>Кърмене</w:t>
      </w:r>
    </w:p>
    <w:p w14:paraId="16678C22" w14:textId="77777777" w:rsidR="00A54493" w:rsidRPr="00A54493" w:rsidRDefault="00A54493" w:rsidP="00A54493">
      <w:pPr>
        <w:rPr>
          <w:sz w:val="24"/>
          <w:szCs w:val="24"/>
        </w:rPr>
      </w:pPr>
      <w:r w:rsidRPr="00A54493">
        <w:rPr>
          <w:lang w:eastAsia="bg-BG"/>
        </w:rPr>
        <w:t>Предвид показанията, продукта не се прилага при жени.</w:t>
      </w:r>
    </w:p>
    <w:p w14:paraId="2866C9CF" w14:textId="77777777" w:rsidR="00A54493" w:rsidRPr="00A54493" w:rsidRDefault="00A54493" w:rsidP="00A54493"/>
    <w:p w14:paraId="13465597" w14:textId="6D960F50" w:rsidR="003765DC" w:rsidRDefault="002C50EE" w:rsidP="002B3C38">
      <w:pPr>
        <w:pStyle w:val="2"/>
      </w:pPr>
      <w:r>
        <w:t>4.7. Ефекти върху способността за шофиране и работа с машини</w:t>
      </w:r>
    </w:p>
    <w:p w14:paraId="30D66ADF" w14:textId="2CCEBBC3" w:rsidR="00A54493" w:rsidRDefault="00A54493" w:rsidP="00A54493"/>
    <w:p w14:paraId="7391E417" w14:textId="77777777" w:rsidR="00A54493" w:rsidRPr="00A54493" w:rsidRDefault="00A54493" w:rsidP="00A54493">
      <w:pPr>
        <w:rPr>
          <w:sz w:val="24"/>
          <w:szCs w:val="24"/>
        </w:rPr>
      </w:pPr>
      <w:r w:rsidRPr="00A54493">
        <w:rPr>
          <w:lang w:eastAsia="bg-BG"/>
        </w:rPr>
        <w:t xml:space="preserve">Няма данни относно ефекта при шофиране и работа с машини. Нежелани реакции като световъртеж, замайване или </w:t>
      </w:r>
      <w:proofErr w:type="spellStart"/>
      <w:r w:rsidRPr="00A54493">
        <w:rPr>
          <w:lang w:eastAsia="bg-BG"/>
        </w:rPr>
        <w:t>астения</w:t>
      </w:r>
      <w:proofErr w:type="spellEnd"/>
      <w:r w:rsidRPr="00A54493">
        <w:rPr>
          <w:lang w:eastAsia="bg-BG"/>
        </w:rPr>
        <w:t xml:space="preserve"> могат да се появят основно при започване на лечението. Това трябва да се има в предвид при шофиране и работа с машини.</w:t>
      </w:r>
    </w:p>
    <w:p w14:paraId="1205FE03" w14:textId="77777777" w:rsidR="00A54493" w:rsidRPr="00A54493" w:rsidRDefault="00A54493" w:rsidP="00A54493"/>
    <w:p w14:paraId="7CF9AE95" w14:textId="3EE83E64" w:rsidR="00C0049F" w:rsidRDefault="002C50EE" w:rsidP="009F1313">
      <w:pPr>
        <w:pStyle w:val="2"/>
      </w:pPr>
      <w:r>
        <w:t>4.8. Нежелани лекарствени реакции</w:t>
      </w:r>
    </w:p>
    <w:p w14:paraId="6EAE5BDD" w14:textId="32072FD0" w:rsidR="00A54493" w:rsidRDefault="00A54493" w:rsidP="00A54493"/>
    <w:p w14:paraId="60E71A47" w14:textId="77777777" w:rsidR="00A54493" w:rsidRPr="00A54493" w:rsidRDefault="00A54493" w:rsidP="00A54493">
      <w:pPr>
        <w:rPr>
          <w:sz w:val="24"/>
          <w:szCs w:val="24"/>
        </w:rPr>
      </w:pPr>
      <w:r w:rsidRPr="00A54493">
        <w:rPr>
          <w:lang w:eastAsia="bg-BG"/>
        </w:rPr>
        <w:t>Следните честоти при отчитането на нежеланите лекарствени реакции са взети в предвид:</w:t>
      </w:r>
    </w:p>
    <w:p w14:paraId="23B14DD0" w14:textId="5D408821" w:rsidR="00A54493" w:rsidRDefault="00A54493" w:rsidP="00A54493">
      <w:pPr>
        <w:rPr>
          <w:lang w:eastAsia="bg-BG"/>
        </w:rPr>
      </w:pPr>
      <w:r w:rsidRPr="00A54493">
        <w:rPr>
          <w:lang w:eastAsia="bg-BG"/>
        </w:rPr>
        <w:t xml:space="preserve">Много чести </w:t>
      </w:r>
      <w:r w:rsidRPr="00A54493">
        <w:rPr>
          <w:lang w:val="en-US"/>
        </w:rPr>
        <w:t>≥</w:t>
      </w:r>
      <w:r w:rsidRPr="00A54493">
        <w:rPr>
          <w:lang w:eastAsia="bg-BG"/>
        </w:rPr>
        <w:t xml:space="preserve"> 10 %; Чести </w:t>
      </w:r>
      <w:r w:rsidRPr="00A54493">
        <w:rPr>
          <w:lang w:val="en-US"/>
        </w:rPr>
        <w:t>≥</w:t>
      </w:r>
      <w:r w:rsidRPr="00A54493">
        <w:rPr>
          <w:lang w:eastAsia="bg-BG"/>
        </w:rPr>
        <w:t xml:space="preserve"> 1 и &lt;10 % ; Нечести </w:t>
      </w:r>
      <w:r w:rsidRPr="00A54493">
        <w:rPr>
          <w:lang w:val="en-US"/>
        </w:rPr>
        <w:t>≥</w:t>
      </w:r>
      <w:r w:rsidRPr="00A54493">
        <w:rPr>
          <w:lang w:eastAsia="bg-BG"/>
        </w:rPr>
        <w:t xml:space="preserve">0.1 и &lt; 1 %; Редки </w:t>
      </w:r>
      <w:r w:rsidRPr="00A54493">
        <w:rPr>
          <w:lang w:val="en-US"/>
        </w:rPr>
        <w:t>≥</w:t>
      </w:r>
      <w:r w:rsidRPr="00A54493">
        <w:rPr>
          <w:lang w:eastAsia="bg-BG"/>
        </w:rPr>
        <w:t xml:space="preserve"> 0.01 и &lt; 0.1 %; Много редки &lt; 0.01 %; С неизвестна честота (честотата не може да се оцени от наличните данни).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82"/>
        <w:gridCol w:w="4668"/>
      </w:tblGrid>
      <w:tr w:rsidR="00A54493" w14:paraId="58C78B2B" w14:textId="77777777" w:rsidTr="00575171">
        <w:tc>
          <w:tcPr>
            <w:tcW w:w="4788" w:type="dxa"/>
            <w:vAlign w:val="bottom"/>
          </w:tcPr>
          <w:p w14:paraId="74D65EAC" w14:textId="230B554D" w:rsidR="00A54493" w:rsidRPr="00A54493" w:rsidRDefault="00A54493" w:rsidP="00A54493">
            <w:pPr>
              <w:rPr>
                <w:lang w:eastAsia="bg-BG"/>
              </w:rPr>
            </w:pPr>
            <w:proofErr w:type="spellStart"/>
            <w:r w:rsidRPr="00A54493">
              <w:t>оск</w:t>
            </w:r>
            <w:proofErr w:type="spellEnd"/>
          </w:p>
        </w:tc>
        <w:tc>
          <w:tcPr>
            <w:tcW w:w="4788" w:type="dxa"/>
            <w:vAlign w:val="bottom"/>
          </w:tcPr>
          <w:p w14:paraId="5EFADB9A" w14:textId="04D43109" w:rsidR="00A54493" w:rsidRPr="00A54493" w:rsidRDefault="00A54493" w:rsidP="00A54493">
            <w:pPr>
              <w:rPr>
                <w:lang w:eastAsia="bg-BG"/>
              </w:rPr>
            </w:pPr>
            <w:r w:rsidRPr="00A54493">
              <w:t>Нежелани лек. реакции</w:t>
            </w:r>
          </w:p>
        </w:tc>
      </w:tr>
      <w:tr w:rsidR="00A54493" w14:paraId="2A76DA89" w14:textId="77777777" w:rsidTr="00575171">
        <w:tc>
          <w:tcPr>
            <w:tcW w:w="4788" w:type="dxa"/>
          </w:tcPr>
          <w:p w14:paraId="7A32E3DC" w14:textId="5B69D360" w:rsidR="00A54493" w:rsidRPr="00A54493" w:rsidRDefault="00A54493" w:rsidP="00A54493">
            <w:pPr>
              <w:rPr>
                <w:lang w:eastAsia="bg-BG"/>
              </w:rPr>
            </w:pPr>
            <w:r w:rsidRPr="00A54493">
              <w:t>Сърдечно-съдови нарушения</w:t>
            </w:r>
          </w:p>
        </w:tc>
        <w:tc>
          <w:tcPr>
            <w:tcW w:w="4788" w:type="dxa"/>
            <w:vAlign w:val="bottom"/>
          </w:tcPr>
          <w:p w14:paraId="05DEF10E" w14:textId="77777777" w:rsidR="00A54493" w:rsidRPr="00A54493" w:rsidRDefault="00A54493" w:rsidP="00A54493">
            <w:r w:rsidRPr="00A54493">
              <w:rPr>
                <w:i/>
                <w:iCs/>
              </w:rPr>
              <w:t>Нечести -</w:t>
            </w:r>
            <w:r w:rsidRPr="00A54493">
              <w:rPr>
                <w:b/>
                <w:bCs/>
              </w:rPr>
              <w:t xml:space="preserve"> тахикардия,</w:t>
            </w:r>
          </w:p>
          <w:p w14:paraId="54D25E22" w14:textId="77777777" w:rsidR="00A54493" w:rsidRPr="00A54493" w:rsidRDefault="00A54493" w:rsidP="00A54493">
            <w:r w:rsidRPr="00A54493">
              <w:rPr>
                <w:i/>
                <w:iCs/>
              </w:rPr>
              <w:t>Много редки -</w:t>
            </w:r>
            <w:r w:rsidRPr="00A54493">
              <w:t xml:space="preserve"> ангина </w:t>
            </w:r>
            <w:proofErr w:type="spellStart"/>
            <w:r w:rsidRPr="00A54493">
              <w:t>пекторис</w:t>
            </w:r>
            <w:proofErr w:type="spellEnd"/>
            <w:r w:rsidRPr="00A54493">
              <w:t xml:space="preserve"> при пациенти със съществуваща коронарна болест (виж т.4.4)</w:t>
            </w:r>
          </w:p>
          <w:p w14:paraId="0D5C56B3" w14:textId="25721319" w:rsidR="00A54493" w:rsidRPr="00A54493" w:rsidRDefault="00A54493" w:rsidP="00A54493">
            <w:pPr>
              <w:rPr>
                <w:lang w:eastAsia="bg-BG"/>
              </w:rPr>
            </w:pPr>
            <w:r w:rsidRPr="00A54493">
              <w:t xml:space="preserve">С </w:t>
            </w:r>
            <w:r w:rsidRPr="00A54493">
              <w:rPr>
                <w:i/>
                <w:iCs/>
              </w:rPr>
              <w:t>неизвестна честота -</w:t>
            </w:r>
            <w:r w:rsidRPr="00A54493">
              <w:t xml:space="preserve"> </w:t>
            </w:r>
            <w:proofErr w:type="spellStart"/>
            <w:r w:rsidRPr="00A54493">
              <w:t>предсърдно</w:t>
            </w:r>
            <w:proofErr w:type="spellEnd"/>
            <w:r w:rsidRPr="00A54493">
              <w:t xml:space="preserve"> мъждене</w:t>
            </w:r>
          </w:p>
        </w:tc>
      </w:tr>
      <w:tr w:rsidR="00A54493" w14:paraId="3FFAF5BC" w14:textId="77777777" w:rsidTr="00575171">
        <w:tc>
          <w:tcPr>
            <w:tcW w:w="4788" w:type="dxa"/>
            <w:vAlign w:val="bottom"/>
          </w:tcPr>
          <w:p w14:paraId="2CAA7484" w14:textId="24536A45" w:rsidR="00A54493" w:rsidRPr="00A54493" w:rsidRDefault="00A54493" w:rsidP="00A54493">
            <w:pPr>
              <w:rPr>
                <w:lang w:eastAsia="bg-BG"/>
              </w:rPr>
            </w:pPr>
            <w:r w:rsidRPr="00A54493">
              <w:t>Нарушения на очите</w:t>
            </w:r>
          </w:p>
        </w:tc>
        <w:tc>
          <w:tcPr>
            <w:tcW w:w="4788" w:type="dxa"/>
            <w:vAlign w:val="bottom"/>
          </w:tcPr>
          <w:p w14:paraId="68512C3A" w14:textId="77777777" w:rsidR="00A54493" w:rsidRDefault="00A54493" w:rsidP="00A54493">
            <w:pPr>
              <w:rPr>
                <w:b/>
                <w:bCs/>
              </w:rPr>
            </w:pPr>
            <w:r w:rsidRPr="00A54493">
              <w:t xml:space="preserve">С </w:t>
            </w:r>
            <w:r w:rsidRPr="00A54493">
              <w:rPr>
                <w:i/>
                <w:iCs/>
              </w:rPr>
              <w:t>неизвестна честота</w:t>
            </w:r>
            <w:r>
              <w:rPr>
                <w:i/>
                <w:iCs/>
              </w:rPr>
              <w:t xml:space="preserve"> - </w:t>
            </w:r>
            <w:proofErr w:type="spellStart"/>
            <w:r w:rsidRPr="00A54493">
              <w:rPr>
                <w:b/>
                <w:bCs/>
              </w:rPr>
              <w:t>Интраоперативен</w:t>
            </w:r>
            <w:proofErr w:type="spellEnd"/>
            <w:r w:rsidRPr="00A54493">
              <w:rPr>
                <w:b/>
                <w:bCs/>
              </w:rPr>
              <w:t xml:space="preserve"> Флопи</w:t>
            </w:r>
          </w:p>
          <w:p w14:paraId="2244AF04" w14:textId="031E291B" w:rsidR="00A54493" w:rsidRPr="00A54493" w:rsidRDefault="00A54493" w:rsidP="00A54493">
            <w:pPr>
              <w:rPr>
                <w:sz w:val="24"/>
                <w:szCs w:val="24"/>
              </w:rPr>
            </w:pPr>
            <w:r w:rsidRPr="00A54493">
              <w:rPr>
                <w:lang w:eastAsia="bg-BG"/>
              </w:rPr>
              <w:t xml:space="preserve">Ирис Синдром (вижте т.4.4) </w:t>
            </w:r>
            <w:r w:rsidRPr="00A54493">
              <w:rPr>
                <w:lang w:val="en-US"/>
              </w:rPr>
              <w:t xml:space="preserve">(IFIS- </w:t>
            </w:r>
            <w:r w:rsidRPr="00A54493">
              <w:rPr>
                <w:lang w:eastAsia="bg-BG"/>
              </w:rPr>
              <w:t>тясна зеница).</w:t>
            </w:r>
          </w:p>
        </w:tc>
      </w:tr>
      <w:tr w:rsidR="00A54493" w14:paraId="0DEEB642" w14:textId="77777777" w:rsidTr="00A54493">
        <w:tc>
          <w:tcPr>
            <w:tcW w:w="4788" w:type="dxa"/>
          </w:tcPr>
          <w:p w14:paraId="19B1F980" w14:textId="0B8553F2" w:rsidR="00A54493" w:rsidRPr="00A54493" w:rsidRDefault="00A54493" w:rsidP="00A54493">
            <w:pPr>
              <w:rPr>
                <w:lang w:eastAsia="bg-BG"/>
              </w:rPr>
            </w:pPr>
            <w:r w:rsidRPr="00A54493">
              <w:t>Общи нарушения и ефекти на мястото на приложение</w:t>
            </w:r>
          </w:p>
        </w:tc>
        <w:tc>
          <w:tcPr>
            <w:tcW w:w="4788" w:type="dxa"/>
          </w:tcPr>
          <w:p w14:paraId="14F22FF7" w14:textId="77777777" w:rsidR="00A54493" w:rsidRPr="00A54493" w:rsidRDefault="00A54493" w:rsidP="00A54493">
            <w:r w:rsidRPr="00A54493">
              <w:rPr>
                <w:i/>
                <w:iCs/>
              </w:rPr>
              <w:t>Чести</w:t>
            </w:r>
            <w:r w:rsidRPr="00A54493">
              <w:t xml:space="preserve"> - </w:t>
            </w:r>
            <w:proofErr w:type="spellStart"/>
            <w:r w:rsidRPr="00A54493">
              <w:t>астения</w:t>
            </w:r>
            <w:proofErr w:type="spellEnd"/>
          </w:p>
          <w:p w14:paraId="5BBD72EC" w14:textId="2A26C5AD" w:rsidR="00A54493" w:rsidRPr="00A54493" w:rsidRDefault="00A54493" w:rsidP="00A54493">
            <w:pPr>
              <w:rPr>
                <w:lang w:eastAsia="bg-BG"/>
              </w:rPr>
            </w:pPr>
            <w:r w:rsidRPr="00A54493">
              <w:rPr>
                <w:i/>
                <w:iCs/>
              </w:rPr>
              <w:t>Нечести</w:t>
            </w:r>
            <w:r w:rsidRPr="00A54493">
              <w:t xml:space="preserve"> - оток, болка в гърдите</w:t>
            </w:r>
          </w:p>
        </w:tc>
      </w:tr>
      <w:tr w:rsidR="00A54493" w14:paraId="2880B370" w14:textId="77777777" w:rsidTr="00A54493">
        <w:tc>
          <w:tcPr>
            <w:tcW w:w="4788" w:type="dxa"/>
          </w:tcPr>
          <w:p w14:paraId="19D2B262" w14:textId="2C7A3CC0" w:rsidR="00A54493" w:rsidRPr="00A54493" w:rsidRDefault="00A54493" w:rsidP="00A54493">
            <w:pPr>
              <w:rPr>
                <w:lang w:eastAsia="bg-BG"/>
              </w:rPr>
            </w:pPr>
            <w:r w:rsidRPr="00A54493">
              <w:t>Стомашно-чревни нарушения</w:t>
            </w:r>
          </w:p>
        </w:tc>
        <w:tc>
          <w:tcPr>
            <w:tcW w:w="4788" w:type="dxa"/>
          </w:tcPr>
          <w:p w14:paraId="68796B1A" w14:textId="77777777" w:rsidR="00A54493" w:rsidRPr="00A54493" w:rsidRDefault="00A54493" w:rsidP="00A54493">
            <w:r w:rsidRPr="00A54493">
              <w:rPr>
                <w:i/>
                <w:iCs/>
              </w:rPr>
              <w:t>Чести -</w:t>
            </w:r>
            <w:r w:rsidRPr="00A54493">
              <w:t xml:space="preserve"> гадене, коремни болки </w:t>
            </w:r>
            <w:r w:rsidRPr="00A54493">
              <w:rPr>
                <w:i/>
                <w:iCs/>
              </w:rPr>
              <w:t>Нечести -</w:t>
            </w:r>
            <w:r w:rsidRPr="00A54493">
              <w:t xml:space="preserve"> диария,</w:t>
            </w:r>
          </w:p>
          <w:p w14:paraId="43121A1D" w14:textId="150EA25F" w:rsidR="00A54493" w:rsidRPr="00A54493" w:rsidRDefault="00A54493" w:rsidP="00A54493">
            <w:pPr>
              <w:rPr>
                <w:lang w:eastAsia="bg-BG"/>
              </w:rPr>
            </w:pPr>
            <w:r w:rsidRPr="00A54493">
              <w:rPr>
                <w:i/>
                <w:iCs/>
              </w:rPr>
              <w:t>С неизвестна честота -</w:t>
            </w:r>
            <w:r w:rsidRPr="00A54493">
              <w:t xml:space="preserve"> повръщане</w:t>
            </w:r>
          </w:p>
        </w:tc>
      </w:tr>
      <w:tr w:rsidR="00A54493" w14:paraId="33266A62" w14:textId="77777777" w:rsidTr="00A54493">
        <w:tc>
          <w:tcPr>
            <w:tcW w:w="4788" w:type="dxa"/>
          </w:tcPr>
          <w:p w14:paraId="6C708E8D" w14:textId="6D77D11A" w:rsidR="00A54493" w:rsidRPr="00A54493" w:rsidRDefault="00A54493" w:rsidP="00A54493">
            <w:pPr>
              <w:rPr>
                <w:lang w:eastAsia="bg-BG"/>
              </w:rPr>
            </w:pPr>
            <w:proofErr w:type="spellStart"/>
            <w:r w:rsidRPr="00A54493">
              <w:t>Хепатобилиарни</w:t>
            </w:r>
            <w:proofErr w:type="spellEnd"/>
            <w:r w:rsidRPr="00A54493">
              <w:t xml:space="preserve"> нарушения</w:t>
            </w:r>
          </w:p>
        </w:tc>
        <w:tc>
          <w:tcPr>
            <w:tcW w:w="4788" w:type="dxa"/>
          </w:tcPr>
          <w:p w14:paraId="3519A046" w14:textId="289DD44C" w:rsidR="00A54493" w:rsidRPr="00A54493" w:rsidRDefault="00A54493" w:rsidP="00A54493">
            <w:pPr>
              <w:rPr>
                <w:lang w:eastAsia="bg-BG"/>
              </w:rPr>
            </w:pPr>
            <w:r w:rsidRPr="00A54493">
              <w:t xml:space="preserve">С </w:t>
            </w:r>
            <w:r w:rsidRPr="00A54493">
              <w:rPr>
                <w:i/>
                <w:iCs/>
              </w:rPr>
              <w:t>неизвестна честота</w:t>
            </w:r>
            <w:r w:rsidRPr="00A54493">
              <w:t xml:space="preserve"> - </w:t>
            </w:r>
            <w:proofErr w:type="spellStart"/>
            <w:r w:rsidRPr="00A54493">
              <w:t>хепатоцелуларни</w:t>
            </w:r>
            <w:proofErr w:type="spellEnd"/>
            <w:r w:rsidRPr="00A54493">
              <w:t xml:space="preserve"> нарушения, </w:t>
            </w:r>
            <w:proofErr w:type="spellStart"/>
            <w:r w:rsidRPr="00A54493">
              <w:t>холестатична</w:t>
            </w:r>
            <w:proofErr w:type="spellEnd"/>
            <w:r w:rsidRPr="00A54493">
              <w:t xml:space="preserve"> болест</w:t>
            </w:r>
          </w:p>
        </w:tc>
      </w:tr>
      <w:tr w:rsidR="00A54493" w14:paraId="35B49513" w14:textId="77777777" w:rsidTr="00A54493">
        <w:tc>
          <w:tcPr>
            <w:tcW w:w="4788" w:type="dxa"/>
          </w:tcPr>
          <w:p w14:paraId="63CBF9FB" w14:textId="49E63935" w:rsidR="00A54493" w:rsidRPr="00A54493" w:rsidRDefault="00A54493" w:rsidP="00A54493">
            <w:pPr>
              <w:rPr>
                <w:lang w:eastAsia="bg-BG"/>
              </w:rPr>
            </w:pPr>
            <w:r w:rsidRPr="00A54493">
              <w:t>Нарушения на нервната система</w:t>
            </w:r>
          </w:p>
        </w:tc>
        <w:tc>
          <w:tcPr>
            <w:tcW w:w="4788" w:type="dxa"/>
          </w:tcPr>
          <w:p w14:paraId="2341FDDC" w14:textId="202D78AD" w:rsidR="00A54493" w:rsidRPr="00A54493" w:rsidRDefault="00A54493" w:rsidP="00A54493">
            <w:pPr>
              <w:rPr>
                <w:lang w:eastAsia="bg-BG"/>
              </w:rPr>
            </w:pPr>
            <w:r w:rsidRPr="00A54493">
              <w:rPr>
                <w:i/>
                <w:iCs/>
              </w:rPr>
              <w:t>Чести -</w:t>
            </w:r>
            <w:r w:rsidRPr="00A54493">
              <w:t xml:space="preserve"> прималяване/ замайване, главоболие </w:t>
            </w:r>
            <w:r w:rsidRPr="00A54493">
              <w:rPr>
                <w:i/>
                <w:iCs/>
              </w:rPr>
              <w:t>Нечести -</w:t>
            </w:r>
            <w:r w:rsidRPr="00A54493">
              <w:t xml:space="preserve"> </w:t>
            </w:r>
            <w:proofErr w:type="spellStart"/>
            <w:r w:rsidRPr="00A54493">
              <w:t>вертиго</w:t>
            </w:r>
            <w:proofErr w:type="spellEnd"/>
            <w:r w:rsidRPr="00A54493">
              <w:t xml:space="preserve">, </w:t>
            </w:r>
            <w:proofErr w:type="spellStart"/>
            <w:r w:rsidRPr="00A54493">
              <w:t>синкоп</w:t>
            </w:r>
            <w:proofErr w:type="spellEnd"/>
          </w:p>
        </w:tc>
      </w:tr>
      <w:tr w:rsidR="00A54493" w14:paraId="2C64A392" w14:textId="77777777" w:rsidTr="00A54493">
        <w:tc>
          <w:tcPr>
            <w:tcW w:w="4788" w:type="dxa"/>
          </w:tcPr>
          <w:p w14:paraId="6BC7BD8F" w14:textId="2FCA8759" w:rsidR="00A54493" w:rsidRPr="00A54493" w:rsidRDefault="00A54493" w:rsidP="00A54493">
            <w:pPr>
              <w:rPr>
                <w:lang w:eastAsia="bg-BG"/>
              </w:rPr>
            </w:pPr>
            <w:r w:rsidRPr="00A54493">
              <w:lastRenderedPageBreak/>
              <w:t>Нарушения на възпроизводителната система и гърдата</w:t>
            </w:r>
          </w:p>
        </w:tc>
        <w:tc>
          <w:tcPr>
            <w:tcW w:w="4788" w:type="dxa"/>
          </w:tcPr>
          <w:p w14:paraId="68C017F9" w14:textId="07B73FBF" w:rsidR="00A54493" w:rsidRPr="00A54493" w:rsidRDefault="00A54493" w:rsidP="00A54493">
            <w:pPr>
              <w:rPr>
                <w:lang w:eastAsia="bg-BG"/>
              </w:rPr>
            </w:pPr>
            <w:r w:rsidRPr="00A54493">
              <w:rPr>
                <w:i/>
                <w:iCs/>
              </w:rPr>
              <w:t>С неизвестна честота -</w:t>
            </w:r>
            <w:r w:rsidRPr="00A54493">
              <w:t xml:space="preserve"> </w:t>
            </w:r>
            <w:proofErr w:type="spellStart"/>
            <w:r w:rsidRPr="00A54493">
              <w:t>приапизъм</w:t>
            </w:r>
            <w:proofErr w:type="spellEnd"/>
          </w:p>
        </w:tc>
      </w:tr>
      <w:tr w:rsidR="00A54493" w14:paraId="5E59C800" w14:textId="77777777" w:rsidTr="00A54493">
        <w:tc>
          <w:tcPr>
            <w:tcW w:w="4788" w:type="dxa"/>
          </w:tcPr>
          <w:p w14:paraId="2BE3D209" w14:textId="1C1530C5" w:rsidR="00A54493" w:rsidRPr="00A54493" w:rsidRDefault="00A54493" w:rsidP="00A54493">
            <w:pPr>
              <w:rPr>
                <w:lang w:eastAsia="bg-BG"/>
              </w:rPr>
            </w:pPr>
            <w:r w:rsidRPr="00A54493">
              <w:t xml:space="preserve">Респираторни, гръдни и </w:t>
            </w:r>
            <w:proofErr w:type="spellStart"/>
            <w:r w:rsidRPr="00A54493">
              <w:t>медиастинални</w:t>
            </w:r>
            <w:proofErr w:type="spellEnd"/>
            <w:r w:rsidRPr="00A54493">
              <w:t xml:space="preserve"> </w:t>
            </w:r>
            <w:proofErr w:type="spellStart"/>
            <w:r w:rsidRPr="00A54493">
              <w:t>наушения</w:t>
            </w:r>
            <w:proofErr w:type="spellEnd"/>
          </w:p>
        </w:tc>
        <w:tc>
          <w:tcPr>
            <w:tcW w:w="4788" w:type="dxa"/>
          </w:tcPr>
          <w:p w14:paraId="5DFD6D5F" w14:textId="73FCB9C0" w:rsidR="00A54493" w:rsidRPr="00A54493" w:rsidRDefault="00A54493" w:rsidP="00A54493">
            <w:pPr>
              <w:rPr>
                <w:lang w:eastAsia="bg-BG"/>
              </w:rPr>
            </w:pPr>
            <w:r w:rsidRPr="00A54493">
              <w:rPr>
                <w:i/>
                <w:iCs/>
              </w:rPr>
              <w:t>Нечести -</w:t>
            </w:r>
            <w:r w:rsidRPr="00A54493">
              <w:t xml:space="preserve"> ринит</w:t>
            </w:r>
          </w:p>
        </w:tc>
      </w:tr>
      <w:tr w:rsidR="00A54493" w14:paraId="3B2D0B12" w14:textId="77777777" w:rsidTr="00A54493">
        <w:tc>
          <w:tcPr>
            <w:tcW w:w="4788" w:type="dxa"/>
          </w:tcPr>
          <w:p w14:paraId="355A96D2" w14:textId="416EDFD4" w:rsidR="00A54493" w:rsidRPr="00A54493" w:rsidRDefault="00A54493" w:rsidP="00A54493">
            <w:pPr>
              <w:rPr>
                <w:lang w:eastAsia="bg-BG"/>
              </w:rPr>
            </w:pPr>
            <w:r w:rsidRPr="00A54493">
              <w:t>Нарушения на кожа и подкожната тъкан</w:t>
            </w:r>
          </w:p>
        </w:tc>
        <w:tc>
          <w:tcPr>
            <w:tcW w:w="4788" w:type="dxa"/>
          </w:tcPr>
          <w:p w14:paraId="6F58C290" w14:textId="558DA334" w:rsidR="00A54493" w:rsidRPr="00A54493" w:rsidRDefault="00A54493" w:rsidP="00A54493">
            <w:pPr>
              <w:rPr>
                <w:lang w:eastAsia="bg-BG"/>
              </w:rPr>
            </w:pPr>
            <w:r w:rsidRPr="00A54493">
              <w:rPr>
                <w:i/>
                <w:iCs/>
              </w:rPr>
              <w:t>Нечести -</w:t>
            </w:r>
            <w:r w:rsidRPr="00A54493">
              <w:t xml:space="preserve"> кожни обриви, </w:t>
            </w:r>
            <w:proofErr w:type="spellStart"/>
            <w:r w:rsidRPr="00A54493">
              <w:t>пруритус</w:t>
            </w:r>
            <w:proofErr w:type="spellEnd"/>
            <w:r w:rsidRPr="00A54493">
              <w:t xml:space="preserve"> </w:t>
            </w:r>
            <w:r w:rsidRPr="00A54493">
              <w:rPr>
                <w:i/>
                <w:iCs/>
              </w:rPr>
              <w:t>Много редки -</w:t>
            </w:r>
            <w:r w:rsidRPr="00A54493">
              <w:t xml:space="preserve"> уртикария, ангиоедем</w:t>
            </w:r>
          </w:p>
        </w:tc>
      </w:tr>
      <w:tr w:rsidR="00A54493" w14:paraId="2EC1A4BE" w14:textId="77777777" w:rsidTr="00A54493">
        <w:tc>
          <w:tcPr>
            <w:tcW w:w="4788" w:type="dxa"/>
          </w:tcPr>
          <w:p w14:paraId="4A0E75A6" w14:textId="35BADDE7" w:rsidR="00A54493" w:rsidRPr="00A54493" w:rsidRDefault="00A54493" w:rsidP="00A54493">
            <w:pPr>
              <w:rPr>
                <w:lang w:eastAsia="bg-BG"/>
              </w:rPr>
            </w:pPr>
            <w:r w:rsidRPr="00A54493">
              <w:t>Съдови нарушения</w:t>
            </w:r>
          </w:p>
        </w:tc>
        <w:tc>
          <w:tcPr>
            <w:tcW w:w="4788" w:type="dxa"/>
          </w:tcPr>
          <w:p w14:paraId="27C43F6B" w14:textId="5CDFC2DB" w:rsidR="00A54493" w:rsidRPr="00A54493" w:rsidRDefault="00A54493" w:rsidP="00A54493">
            <w:pPr>
              <w:rPr>
                <w:lang w:eastAsia="bg-BG"/>
              </w:rPr>
            </w:pPr>
            <w:r w:rsidRPr="00A54493">
              <w:rPr>
                <w:i/>
                <w:iCs/>
              </w:rPr>
              <w:t>Нечести -</w:t>
            </w:r>
            <w:r w:rsidRPr="00A54493">
              <w:t xml:space="preserve"> зачервяване, ортостатична хипотония.</w:t>
            </w:r>
          </w:p>
        </w:tc>
      </w:tr>
      <w:tr w:rsidR="00A54493" w14:paraId="74446EEF" w14:textId="77777777" w:rsidTr="00A54493">
        <w:tc>
          <w:tcPr>
            <w:tcW w:w="4788" w:type="dxa"/>
          </w:tcPr>
          <w:p w14:paraId="55D9E1B1" w14:textId="0F432088" w:rsidR="00A54493" w:rsidRPr="00A54493" w:rsidRDefault="00A54493" w:rsidP="00A54493">
            <w:pPr>
              <w:rPr>
                <w:lang w:eastAsia="bg-BG"/>
              </w:rPr>
            </w:pPr>
            <w:r w:rsidRPr="00A54493">
              <w:t>Нарушения на кръвта и лимфната система</w:t>
            </w:r>
          </w:p>
        </w:tc>
        <w:tc>
          <w:tcPr>
            <w:tcW w:w="4788" w:type="dxa"/>
          </w:tcPr>
          <w:p w14:paraId="22B426E2" w14:textId="1D43B423" w:rsidR="00A54493" w:rsidRPr="00A54493" w:rsidRDefault="00A54493" w:rsidP="00A54493">
            <w:pPr>
              <w:rPr>
                <w:lang w:eastAsia="bg-BG"/>
              </w:rPr>
            </w:pPr>
            <w:r w:rsidRPr="00A54493">
              <w:rPr>
                <w:i/>
                <w:iCs/>
              </w:rPr>
              <w:t>С неизвестна честота -</w:t>
            </w:r>
            <w:r w:rsidRPr="00A54493">
              <w:t xml:space="preserve"> </w:t>
            </w:r>
            <w:proofErr w:type="spellStart"/>
            <w:r w:rsidRPr="00A54493">
              <w:t>тромбоцитопения</w:t>
            </w:r>
            <w:proofErr w:type="spellEnd"/>
          </w:p>
        </w:tc>
      </w:tr>
    </w:tbl>
    <w:p w14:paraId="0FB35420" w14:textId="77777777" w:rsidR="00A54493" w:rsidRPr="00A54493" w:rsidRDefault="00A54493" w:rsidP="00A54493">
      <w:pPr>
        <w:rPr>
          <w:lang w:eastAsia="bg-BG"/>
        </w:rPr>
      </w:pPr>
    </w:p>
    <w:p w14:paraId="5B24E78A" w14:textId="77777777" w:rsidR="00A54493" w:rsidRPr="00A54493" w:rsidRDefault="00A54493" w:rsidP="00A54493">
      <w:pPr>
        <w:spacing w:line="240" w:lineRule="auto"/>
        <w:rPr>
          <w:rFonts w:eastAsia="Times New Roman" w:cs="Arial"/>
        </w:rPr>
      </w:pPr>
      <w:r w:rsidRPr="00A54493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58C20239" w14:textId="13C624AF" w:rsidR="00A54493" w:rsidRDefault="00A54493" w:rsidP="00A54493">
      <w:pPr>
        <w:rPr>
          <w:rFonts w:eastAsia="Times New Roman" w:cs="Arial"/>
          <w:color w:val="000000"/>
          <w:lang w:val="en-US"/>
        </w:rPr>
      </w:pPr>
      <w:r w:rsidRPr="00A54493">
        <w:rPr>
          <w:rFonts w:eastAsia="Times New Roman" w:cs="Arial"/>
          <w:color w:val="000000"/>
          <w:lang w:eastAsia="bg-BG"/>
        </w:rPr>
        <w:t xml:space="preserve"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Изпълнителна агенция по лекарствата ул. „Дамян Груев” № 8 , 1303 София, Тел.: +35 928903417, уебсайт: </w:t>
      </w:r>
      <w:hyperlink r:id="rId5" w:history="1">
        <w:r w:rsidRPr="00A54493">
          <w:rPr>
            <w:rFonts w:eastAsia="Times New Roman" w:cs="Arial"/>
            <w:color w:val="000000"/>
            <w:lang w:val="en-US"/>
          </w:rPr>
          <w:t>www.bda.bg</w:t>
        </w:r>
      </w:hyperlink>
      <w:r w:rsidRPr="00A54493">
        <w:rPr>
          <w:rFonts w:eastAsia="Times New Roman" w:cs="Arial"/>
          <w:color w:val="000000"/>
          <w:lang w:val="en-US"/>
        </w:rPr>
        <w:t>.</w:t>
      </w:r>
    </w:p>
    <w:p w14:paraId="3379F8BC" w14:textId="77777777" w:rsidR="00A54493" w:rsidRPr="00A54493" w:rsidRDefault="00A54493" w:rsidP="00A54493">
      <w:pPr>
        <w:rPr>
          <w:rFonts w:cs="Arial"/>
        </w:rPr>
      </w:pPr>
    </w:p>
    <w:p w14:paraId="4ED30546" w14:textId="69480FBF" w:rsidR="007C605B" w:rsidRDefault="002C50EE" w:rsidP="009F1313">
      <w:pPr>
        <w:pStyle w:val="2"/>
      </w:pPr>
      <w:r>
        <w:t>4.9. Предозиране</w:t>
      </w:r>
    </w:p>
    <w:p w14:paraId="0C910F39" w14:textId="3401A259" w:rsidR="00A54493" w:rsidRDefault="00A54493" w:rsidP="00A54493"/>
    <w:p w14:paraId="4E078D9E" w14:textId="77777777" w:rsidR="00A54493" w:rsidRPr="00A54493" w:rsidRDefault="00A54493" w:rsidP="00A54493">
      <w:pPr>
        <w:rPr>
          <w:sz w:val="24"/>
          <w:szCs w:val="24"/>
        </w:rPr>
      </w:pPr>
      <w:r w:rsidRPr="00A54493">
        <w:rPr>
          <w:lang w:eastAsia="bg-BG"/>
        </w:rPr>
        <w:t xml:space="preserve">В случай на предозиране, пациентът трябва да бъде хоспитализиран и поставен в легнало положение. Трябва да се започне стандартно лечение на </w:t>
      </w:r>
      <w:proofErr w:type="spellStart"/>
      <w:r w:rsidRPr="00A54493">
        <w:rPr>
          <w:lang w:eastAsia="bg-BG"/>
        </w:rPr>
        <w:t>хипотензията</w:t>
      </w:r>
      <w:proofErr w:type="spellEnd"/>
      <w:r w:rsidRPr="00A54493">
        <w:rPr>
          <w:lang w:eastAsia="bg-BG"/>
        </w:rPr>
        <w:t>.</w:t>
      </w:r>
    </w:p>
    <w:p w14:paraId="12D0C02A" w14:textId="77777777" w:rsidR="00A54493" w:rsidRPr="00A54493" w:rsidRDefault="00A54493" w:rsidP="00A54493">
      <w:pPr>
        <w:rPr>
          <w:sz w:val="24"/>
          <w:szCs w:val="24"/>
        </w:rPr>
      </w:pPr>
      <w:r w:rsidRPr="00A54493">
        <w:rPr>
          <w:lang w:eastAsia="bg-BG"/>
        </w:rPr>
        <w:t xml:space="preserve">В случай на значителна </w:t>
      </w:r>
      <w:proofErr w:type="spellStart"/>
      <w:r w:rsidRPr="00A54493">
        <w:rPr>
          <w:lang w:eastAsia="bg-BG"/>
        </w:rPr>
        <w:t>хипотензия</w:t>
      </w:r>
      <w:proofErr w:type="spellEnd"/>
      <w:r w:rsidRPr="00A54493">
        <w:rPr>
          <w:lang w:eastAsia="bg-BG"/>
        </w:rPr>
        <w:t xml:space="preserve">, трябва да се предприеме подходящо лечение като например </w:t>
      </w:r>
      <w:proofErr w:type="spellStart"/>
      <w:r w:rsidRPr="00A54493">
        <w:rPr>
          <w:lang w:eastAsia="bg-BG"/>
        </w:rPr>
        <w:t>вазоконстриктор</w:t>
      </w:r>
      <w:proofErr w:type="spellEnd"/>
      <w:r w:rsidRPr="00A54493">
        <w:rPr>
          <w:lang w:eastAsia="bg-BG"/>
        </w:rPr>
        <w:t xml:space="preserve"> които действа директно на гладката мускулатура на съдовата стена.</w:t>
      </w:r>
    </w:p>
    <w:p w14:paraId="73DA7691" w14:textId="1F039E0D" w:rsidR="00A54493" w:rsidRPr="00A54493" w:rsidRDefault="00A54493" w:rsidP="00A54493">
      <w:pPr>
        <w:rPr>
          <w:sz w:val="24"/>
          <w:szCs w:val="24"/>
        </w:rPr>
      </w:pPr>
      <w:proofErr w:type="spellStart"/>
      <w:r w:rsidRPr="00A54493">
        <w:rPr>
          <w:lang w:eastAsia="bg-BG"/>
        </w:rPr>
        <w:t>Алфузосин</w:t>
      </w:r>
      <w:proofErr w:type="spellEnd"/>
      <w:r w:rsidRPr="00A54493">
        <w:rPr>
          <w:lang w:eastAsia="bg-BG"/>
        </w:rPr>
        <w:t xml:space="preserve"> е с висока степен на свързване с протеините, следователно, диализата може да не бъде от полза.</w:t>
      </w:r>
    </w:p>
    <w:p w14:paraId="18EF4AFE" w14:textId="77777777" w:rsidR="002C50EE" w:rsidRDefault="002C50EE" w:rsidP="002C50EE">
      <w:pPr>
        <w:pStyle w:val="1"/>
      </w:pPr>
      <w:r>
        <w:t>5. ФАРМАКОЛОГИЧНИ СВОЙСТВА</w:t>
      </w:r>
    </w:p>
    <w:p w14:paraId="1334F0B3" w14:textId="68D3187C" w:rsidR="007C605B" w:rsidRDefault="002C50EE" w:rsidP="009F1313">
      <w:pPr>
        <w:pStyle w:val="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свойства</w:t>
      </w:r>
    </w:p>
    <w:p w14:paraId="055F3CFE" w14:textId="31B39DFD" w:rsidR="00A54493" w:rsidRDefault="00A54493" w:rsidP="00A54493"/>
    <w:p w14:paraId="2EDAC0FF" w14:textId="77777777" w:rsidR="00A54493" w:rsidRPr="00A54493" w:rsidRDefault="00A54493" w:rsidP="00A54493">
      <w:pPr>
        <w:spacing w:line="240" w:lineRule="auto"/>
        <w:rPr>
          <w:rFonts w:eastAsia="Times New Roman" w:cs="Arial"/>
        </w:rPr>
      </w:pPr>
      <w:r w:rsidRPr="00A54493">
        <w:rPr>
          <w:rFonts w:eastAsia="Times New Roman" w:cs="Arial"/>
          <w:color w:val="000000"/>
          <w:lang w:eastAsia="bg-BG"/>
        </w:rPr>
        <w:t>АЛФА-БЛОКЕРИ</w:t>
      </w:r>
    </w:p>
    <w:p w14:paraId="192AC4F1" w14:textId="77777777" w:rsidR="00A54493" w:rsidRPr="00A54493" w:rsidRDefault="00A54493" w:rsidP="00A54493">
      <w:pPr>
        <w:spacing w:line="240" w:lineRule="auto"/>
        <w:rPr>
          <w:rFonts w:eastAsia="Times New Roman" w:cs="Arial"/>
        </w:rPr>
      </w:pPr>
      <w:r w:rsidRPr="00A54493">
        <w:rPr>
          <w:rFonts w:eastAsia="Times New Roman" w:cs="Arial"/>
          <w:color w:val="000000"/>
          <w:lang w:eastAsia="bg-BG"/>
        </w:rPr>
        <w:t xml:space="preserve">АТС код: </w:t>
      </w:r>
      <w:r w:rsidRPr="00A54493">
        <w:rPr>
          <w:rFonts w:eastAsia="Times New Roman" w:cs="Arial"/>
          <w:i/>
          <w:iCs/>
          <w:color w:val="000000"/>
          <w:lang w:val="en-US"/>
        </w:rPr>
        <w:t>G04CA01</w:t>
      </w:r>
    </w:p>
    <w:p w14:paraId="18D1FDE9" w14:textId="77777777" w:rsidR="00A54493" w:rsidRPr="00A54493" w:rsidRDefault="00A54493" w:rsidP="00A54493">
      <w:pPr>
        <w:spacing w:line="240" w:lineRule="auto"/>
        <w:rPr>
          <w:rFonts w:eastAsia="Times New Roman" w:cs="Arial"/>
        </w:rPr>
      </w:pPr>
      <w:r w:rsidRPr="00A54493">
        <w:rPr>
          <w:rFonts w:eastAsia="Times New Roman" w:cs="Arial"/>
          <w:color w:val="000000"/>
          <w:lang w:val="en-US"/>
        </w:rPr>
        <w:t xml:space="preserve">(G: </w:t>
      </w:r>
      <w:proofErr w:type="spellStart"/>
      <w:r w:rsidRPr="00A54493">
        <w:rPr>
          <w:rFonts w:eastAsia="Times New Roman" w:cs="Arial"/>
          <w:color w:val="000000"/>
          <w:lang w:eastAsia="bg-BG"/>
        </w:rPr>
        <w:t>генито-уринарна</w:t>
      </w:r>
      <w:proofErr w:type="spellEnd"/>
      <w:r w:rsidRPr="00A54493">
        <w:rPr>
          <w:rFonts w:eastAsia="Times New Roman" w:cs="Arial"/>
          <w:color w:val="000000"/>
          <w:lang w:eastAsia="bg-BG"/>
        </w:rPr>
        <w:t xml:space="preserve"> система и полови хормони).</w:t>
      </w:r>
    </w:p>
    <w:p w14:paraId="4C538F08" w14:textId="77777777" w:rsidR="00A54493" w:rsidRPr="00A54493" w:rsidRDefault="00A54493" w:rsidP="00A54493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B069B80" w14:textId="7A669448" w:rsidR="00A54493" w:rsidRPr="00A54493" w:rsidRDefault="00A54493" w:rsidP="00A54493">
      <w:pPr>
        <w:spacing w:line="240" w:lineRule="auto"/>
        <w:rPr>
          <w:rFonts w:eastAsia="Times New Roman" w:cs="Arial"/>
        </w:rPr>
      </w:pPr>
      <w:r w:rsidRPr="00A54493">
        <w:rPr>
          <w:rFonts w:eastAsia="Times New Roman" w:cs="Arial"/>
          <w:i/>
          <w:iCs/>
          <w:color w:val="000000"/>
          <w:lang w:eastAsia="bg-BG"/>
        </w:rPr>
        <w:t>Механизъм на действие</w:t>
      </w:r>
    </w:p>
    <w:p w14:paraId="57885EC1" w14:textId="77777777" w:rsidR="00A54493" w:rsidRPr="00A54493" w:rsidRDefault="00A54493" w:rsidP="00A54493">
      <w:pPr>
        <w:spacing w:line="240" w:lineRule="auto"/>
        <w:rPr>
          <w:rFonts w:eastAsia="Times New Roman" w:cs="Arial"/>
        </w:rPr>
      </w:pPr>
      <w:proofErr w:type="spellStart"/>
      <w:r w:rsidRPr="00A54493">
        <w:rPr>
          <w:rFonts w:eastAsia="Times New Roman" w:cs="Arial"/>
          <w:color w:val="000000"/>
          <w:lang w:eastAsia="bg-BG"/>
        </w:rPr>
        <w:t>Алфузосин</w:t>
      </w:r>
      <w:proofErr w:type="spellEnd"/>
      <w:r w:rsidRPr="00A54493">
        <w:rPr>
          <w:rFonts w:eastAsia="Times New Roman" w:cs="Arial"/>
          <w:color w:val="000000"/>
          <w:lang w:eastAsia="bg-BG"/>
        </w:rPr>
        <w:t xml:space="preserve"> е производно на </w:t>
      </w:r>
      <w:r w:rsidRPr="00A54493">
        <w:rPr>
          <w:rFonts w:eastAsia="Times New Roman" w:cs="Arial"/>
          <w:color w:val="000000"/>
          <w:lang w:val="en-US"/>
        </w:rPr>
        <w:t xml:space="preserve">quinazoline, </w:t>
      </w:r>
      <w:r w:rsidRPr="00A54493">
        <w:rPr>
          <w:rFonts w:eastAsia="Times New Roman" w:cs="Arial"/>
          <w:color w:val="000000"/>
          <w:lang w:eastAsia="bg-BG"/>
        </w:rPr>
        <w:t xml:space="preserve">активно при перорален прием. Той представлява селективен антагонист на </w:t>
      </w:r>
      <w:proofErr w:type="spellStart"/>
      <w:r w:rsidRPr="00A54493">
        <w:rPr>
          <w:rFonts w:eastAsia="Times New Roman" w:cs="Arial"/>
          <w:color w:val="000000"/>
          <w:lang w:eastAsia="bg-BG"/>
        </w:rPr>
        <w:t>постсинаптичните</w:t>
      </w:r>
      <w:proofErr w:type="spellEnd"/>
      <w:r w:rsidRPr="00A54493">
        <w:rPr>
          <w:rFonts w:eastAsia="Times New Roman" w:cs="Arial"/>
          <w:color w:val="000000"/>
          <w:lang w:eastAsia="bg-BG"/>
        </w:rPr>
        <w:t xml:space="preserve"> алфа-1 </w:t>
      </w:r>
      <w:proofErr w:type="spellStart"/>
      <w:r w:rsidRPr="00A54493">
        <w:rPr>
          <w:rFonts w:eastAsia="Times New Roman" w:cs="Arial"/>
          <w:color w:val="000000"/>
          <w:lang w:eastAsia="bg-BG"/>
        </w:rPr>
        <w:t>адренергични</w:t>
      </w:r>
      <w:proofErr w:type="spellEnd"/>
      <w:r w:rsidRPr="00A54493">
        <w:rPr>
          <w:rFonts w:eastAsia="Times New Roman" w:cs="Arial"/>
          <w:color w:val="000000"/>
          <w:lang w:eastAsia="bg-BG"/>
        </w:rPr>
        <w:t xml:space="preserve"> рецептори. Благодарение на прякото си въздействие върху гладката мускулатура на простатната тъкан, алфа-</w:t>
      </w:r>
      <w:proofErr w:type="spellStart"/>
      <w:r w:rsidRPr="00A54493">
        <w:rPr>
          <w:rFonts w:eastAsia="Times New Roman" w:cs="Arial"/>
          <w:color w:val="000000"/>
          <w:lang w:eastAsia="bg-BG"/>
        </w:rPr>
        <w:t>блокерите</w:t>
      </w:r>
      <w:proofErr w:type="spellEnd"/>
      <w:r w:rsidRPr="00A54493">
        <w:rPr>
          <w:rFonts w:eastAsia="Times New Roman" w:cs="Arial"/>
          <w:color w:val="000000"/>
          <w:lang w:eastAsia="bg-BG"/>
        </w:rPr>
        <w:t xml:space="preserve"> намаляват обструкцията на долната част на отделителната система.</w:t>
      </w:r>
    </w:p>
    <w:p w14:paraId="405AE742" w14:textId="77777777" w:rsidR="00A54493" w:rsidRPr="00A54493" w:rsidRDefault="00A54493" w:rsidP="00A54493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5A8097A" w14:textId="674AEC5F" w:rsidR="00A54493" w:rsidRPr="00A54493" w:rsidRDefault="00A54493" w:rsidP="00A54493">
      <w:pPr>
        <w:spacing w:line="240" w:lineRule="auto"/>
        <w:rPr>
          <w:rFonts w:eastAsia="Times New Roman" w:cs="Arial"/>
        </w:rPr>
      </w:pPr>
      <w:proofErr w:type="spellStart"/>
      <w:r w:rsidRPr="00A54493">
        <w:rPr>
          <w:rFonts w:eastAsia="Times New Roman" w:cs="Arial"/>
          <w:i/>
          <w:iCs/>
          <w:color w:val="000000"/>
          <w:lang w:eastAsia="bg-BG"/>
        </w:rPr>
        <w:t>Фармакодинамични</w:t>
      </w:r>
      <w:proofErr w:type="spellEnd"/>
      <w:r w:rsidRPr="00A54493">
        <w:rPr>
          <w:rFonts w:eastAsia="Times New Roman" w:cs="Arial"/>
          <w:i/>
          <w:iCs/>
          <w:color w:val="000000"/>
          <w:lang w:eastAsia="bg-BG"/>
        </w:rPr>
        <w:t xml:space="preserve"> ефекти</w:t>
      </w:r>
    </w:p>
    <w:p w14:paraId="52C0B1D9" w14:textId="0D62AA56" w:rsidR="00A54493" w:rsidRDefault="00A54493" w:rsidP="00A54493">
      <w:pPr>
        <w:rPr>
          <w:rFonts w:eastAsia="Times New Roman" w:cs="Arial"/>
          <w:color w:val="000000"/>
          <w:lang w:eastAsia="bg-BG"/>
        </w:rPr>
      </w:pPr>
      <w:r w:rsidRPr="00A54493">
        <w:rPr>
          <w:rFonts w:eastAsia="Times New Roman" w:cs="Arial"/>
          <w:color w:val="000000"/>
          <w:lang w:eastAsia="bg-BG"/>
        </w:rPr>
        <w:t xml:space="preserve">Фармакологичните изследвания проведени </w:t>
      </w:r>
      <w:r w:rsidRPr="00A54493">
        <w:rPr>
          <w:rFonts w:eastAsia="Times New Roman" w:cs="Arial"/>
          <w:color w:val="000000"/>
          <w:lang w:val="en-US"/>
        </w:rPr>
        <w:t xml:space="preserve">in vitro </w:t>
      </w:r>
      <w:r w:rsidRPr="00A54493">
        <w:rPr>
          <w:rFonts w:eastAsia="Times New Roman" w:cs="Arial"/>
          <w:color w:val="000000"/>
          <w:lang w:eastAsia="bg-BG"/>
        </w:rPr>
        <w:t xml:space="preserve">потвърдиха селективността на </w:t>
      </w:r>
      <w:proofErr w:type="spellStart"/>
      <w:r w:rsidRPr="00A54493">
        <w:rPr>
          <w:rFonts w:eastAsia="Times New Roman" w:cs="Arial"/>
          <w:color w:val="000000"/>
          <w:lang w:eastAsia="bg-BG"/>
        </w:rPr>
        <w:t>алфузосин</w:t>
      </w:r>
      <w:proofErr w:type="spellEnd"/>
      <w:r w:rsidRPr="00A54493">
        <w:rPr>
          <w:rFonts w:eastAsia="Times New Roman" w:cs="Arial"/>
          <w:color w:val="000000"/>
          <w:lang w:eastAsia="bg-BG"/>
        </w:rPr>
        <w:t xml:space="preserve"> за алфа-1 </w:t>
      </w:r>
      <w:proofErr w:type="spellStart"/>
      <w:r w:rsidRPr="00A54493">
        <w:rPr>
          <w:rFonts w:eastAsia="Times New Roman" w:cs="Arial"/>
          <w:color w:val="000000"/>
          <w:lang w:eastAsia="bg-BG"/>
        </w:rPr>
        <w:t>адренергичните</w:t>
      </w:r>
      <w:proofErr w:type="spellEnd"/>
      <w:r w:rsidRPr="00A54493">
        <w:rPr>
          <w:rFonts w:eastAsia="Times New Roman" w:cs="Arial"/>
          <w:color w:val="000000"/>
          <w:lang w:eastAsia="bg-BG"/>
        </w:rPr>
        <w:t xml:space="preserve"> рецептори разположени в простатата, </w:t>
      </w:r>
      <w:proofErr w:type="spellStart"/>
      <w:r w:rsidRPr="00A54493">
        <w:rPr>
          <w:rFonts w:eastAsia="Times New Roman" w:cs="Arial"/>
          <w:color w:val="000000"/>
          <w:lang w:eastAsia="bg-BG"/>
        </w:rPr>
        <w:t>тригонума</w:t>
      </w:r>
      <w:proofErr w:type="spellEnd"/>
      <w:r w:rsidRPr="00A54493">
        <w:rPr>
          <w:rFonts w:eastAsia="Times New Roman" w:cs="Arial"/>
          <w:color w:val="000000"/>
          <w:lang w:eastAsia="bg-BG"/>
        </w:rPr>
        <w:t xml:space="preserve"> на пикочния мехур и уретрата.</w:t>
      </w:r>
    </w:p>
    <w:p w14:paraId="1D2D709F" w14:textId="73465342" w:rsidR="00A54493" w:rsidRDefault="00A54493" w:rsidP="00A54493">
      <w:pPr>
        <w:rPr>
          <w:rFonts w:eastAsia="Times New Roman" w:cs="Arial"/>
          <w:color w:val="000000"/>
          <w:lang w:eastAsia="bg-BG"/>
        </w:rPr>
      </w:pPr>
    </w:p>
    <w:p w14:paraId="0B1DB1D3" w14:textId="77777777" w:rsidR="00A54493" w:rsidRDefault="00A54493" w:rsidP="00A54493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lang w:eastAsia="bg-BG"/>
        </w:rPr>
      </w:pPr>
    </w:p>
    <w:p w14:paraId="52393643" w14:textId="13DFC88E" w:rsidR="00A54493" w:rsidRPr="00A54493" w:rsidRDefault="00A54493" w:rsidP="00A54493">
      <w:pPr>
        <w:spacing w:line="240" w:lineRule="auto"/>
        <w:rPr>
          <w:rFonts w:eastAsia="Times New Roman" w:cs="Arial"/>
        </w:rPr>
      </w:pPr>
      <w:r w:rsidRPr="00A54493">
        <w:rPr>
          <w:rFonts w:eastAsia="Times New Roman" w:cs="Arial"/>
          <w:i/>
          <w:iCs/>
          <w:color w:val="000000"/>
          <w:lang w:eastAsia="bg-BG"/>
        </w:rPr>
        <w:t>Клинична ефективност и безопасност</w:t>
      </w:r>
    </w:p>
    <w:p w14:paraId="77E38A7E" w14:textId="77777777" w:rsidR="00A54493" w:rsidRPr="00A54493" w:rsidRDefault="00A54493" w:rsidP="00A54493">
      <w:pPr>
        <w:spacing w:line="240" w:lineRule="auto"/>
        <w:rPr>
          <w:rFonts w:eastAsia="Times New Roman" w:cs="Arial"/>
        </w:rPr>
      </w:pPr>
      <w:r w:rsidRPr="00A54493">
        <w:rPr>
          <w:rFonts w:eastAsia="Times New Roman" w:cs="Arial"/>
          <w:color w:val="000000"/>
          <w:lang w:val="en-US"/>
        </w:rPr>
        <w:t xml:space="preserve">In vivo </w:t>
      </w:r>
      <w:r w:rsidRPr="00A54493">
        <w:rPr>
          <w:rFonts w:eastAsia="Times New Roman" w:cs="Arial"/>
          <w:color w:val="000000"/>
          <w:lang w:eastAsia="bg-BG"/>
        </w:rPr>
        <w:t xml:space="preserve">изследванията върху животни показаха, че </w:t>
      </w:r>
      <w:proofErr w:type="spellStart"/>
      <w:r w:rsidRPr="00A54493">
        <w:rPr>
          <w:rFonts w:eastAsia="Times New Roman" w:cs="Arial"/>
          <w:color w:val="000000"/>
          <w:lang w:eastAsia="bg-BG"/>
        </w:rPr>
        <w:t>алфузосин</w:t>
      </w:r>
      <w:proofErr w:type="spellEnd"/>
      <w:r w:rsidRPr="00A54493">
        <w:rPr>
          <w:rFonts w:eastAsia="Times New Roman" w:cs="Arial"/>
          <w:color w:val="000000"/>
          <w:lang w:eastAsia="bg-BG"/>
        </w:rPr>
        <w:t xml:space="preserve"> снижава </w:t>
      </w:r>
      <w:proofErr w:type="spellStart"/>
      <w:r w:rsidRPr="00A54493">
        <w:rPr>
          <w:rFonts w:eastAsia="Times New Roman" w:cs="Arial"/>
          <w:color w:val="000000"/>
          <w:lang w:eastAsia="bg-BG"/>
        </w:rPr>
        <w:t>уретралното</w:t>
      </w:r>
      <w:proofErr w:type="spellEnd"/>
      <w:r w:rsidRPr="00A54493">
        <w:rPr>
          <w:rFonts w:eastAsia="Times New Roman" w:cs="Arial"/>
          <w:color w:val="000000"/>
          <w:lang w:eastAsia="bg-BG"/>
        </w:rPr>
        <w:t xml:space="preserve"> налягане, а оттук и съпротивлението на струята урина при уриниране. Изследване върху будни плъхове разкри, че ефектът върху </w:t>
      </w:r>
      <w:proofErr w:type="spellStart"/>
      <w:r w:rsidRPr="00A54493">
        <w:rPr>
          <w:rFonts w:eastAsia="Times New Roman" w:cs="Arial"/>
          <w:color w:val="000000"/>
          <w:lang w:eastAsia="bg-BG"/>
        </w:rPr>
        <w:t>уретралното</w:t>
      </w:r>
      <w:proofErr w:type="spellEnd"/>
      <w:r w:rsidRPr="00A54493">
        <w:rPr>
          <w:rFonts w:eastAsia="Times New Roman" w:cs="Arial"/>
          <w:color w:val="000000"/>
          <w:lang w:eastAsia="bg-BG"/>
        </w:rPr>
        <w:t xml:space="preserve"> налягане е по-голям от този върху кръвното налягане.</w:t>
      </w:r>
    </w:p>
    <w:p w14:paraId="469BE0E6" w14:textId="77777777" w:rsidR="00A54493" w:rsidRPr="00A54493" w:rsidRDefault="00A54493" w:rsidP="00A5449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F450206" w14:textId="0D3BB503" w:rsidR="00A54493" w:rsidRPr="00A54493" w:rsidRDefault="00A54493" w:rsidP="00A54493">
      <w:pPr>
        <w:spacing w:line="240" w:lineRule="auto"/>
        <w:rPr>
          <w:rFonts w:eastAsia="Times New Roman" w:cs="Arial"/>
        </w:rPr>
      </w:pPr>
      <w:r w:rsidRPr="00A54493">
        <w:rPr>
          <w:rFonts w:eastAsia="Times New Roman" w:cs="Arial"/>
          <w:color w:val="000000"/>
          <w:lang w:eastAsia="bg-BG"/>
        </w:rPr>
        <w:t xml:space="preserve">При плацебо-контролирани проучвания сред пациенти с </w:t>
      </w:r>
      <w:proofErr w:type="spellStart"/>
      <w:r w:rsidRPr="00A54493">
        <w:rPr>
          <w:rFonts w:eastAsia="Times New Roman" w:cs="Arial"/>
          <w:color w:val="000000"/>
          <w:lang w:eastAsia="bg-BG"/>
        </w:rPr>
        <w:t>бенигнена</w:t>
      </w:r>
      <w:proofErr w:type="spellEnd"/>
      <w:r w:rsidRPr="00A54493">
        <w:rPr>
          <w:rFonts w:eastAsia="Times New Roman" w:cs="Arial"/>
          <w:color w:val="000000"/>
          <w:lang w:eastAsia="bg-BG"/>
        </w:rPr>
        <w:t xml:space="preserve"> простатна хипертрофия, </w:t>
      </w:r>
      <w:proofErr w:type="spellStart"/>
      <w:r w:rsidRPr="00A54493">
        <w:rPr>
          <w:rFonts w:eastAsia="Times New Roman" w:cs="Arial"/>
          <w:color w:val="000000"/>
          <w:lang w:eastAsia="bg-BG"/>
        </w:rPr>
        <w:t>алфузосин</w:t>
      </w:r>
      <w:proofErr w:type="spellEnd"/>
      <w:r w:rsidRPr="00A54493">
        <w:rPr>
          <w:rFonts w:eastAsia="Times New Roman" w:cs="Arial"/>
          <w:color w:val="000000"/>
          <w:lang w:eastAsia="bg-BG"/>
        </w:rPr>
        <w:t xml:space="preserve">: значително увеличава дебита на урината средно с 30% при пациенти с дебит </w:t>
      </w:r>
      <w:r w:rsidRPr="00A54493">
        <w:rPr>
          <w:rFonts w:eastAsia="Times New Roman" w:cs="Arial"/>
          <w:color w:val="000000"/>
          <w:lang w:val="en-US"/>
        </w:rPr>
        <w:t>≤</w:t>
      </w:r>
      <w:r w:rsidRPr="00A54493">
        <w:rPr>
          <w:rFonts w:eastAsia="Times New Roman" w:cs="Arial"/>
          <w:color w:val="000000"/>
          <w:lang w:eastAsia="bg-BG"/>
        </w:rPr>
        <w:t xml:space="preserve"> 15 </w:t>
      </w:r>
      <w:r w:rsidRPr="00A54493">
        <w:rPr>
          <w:rFonts w:eastAsia="Times New Roman" w:cs="Arial"/>
          <w:color w:val="000000"/>
          <w:lang w:val="en-US"/>
        </w:rPr>
        <w:t xml:space="preserve">ml/s. </w:t>
      </w:r>
      <w:r w:rsidRPr="00A54493">
        <w:rPr>
          <w:rFonts w:eastAsia="Times New Roman" w:cs="Arial"/>
          <w:color w:val="000000"/>
          <w:lang w:eastAsia="bg-BG"/>
        </w:rPr>
        <w:t xml:space="preserve">Това подобрение се наблюдава от първата доза, значително снижава налягането на </w:t>
      </w:r>
      <w:proofErr w:type="spellStart"/>
      <w:r w:rsidRPr="00A54493">
        <w:rPr>
          <w:rFonts w:eastAsia="Times New Roman" w:cs="Arial"/>
          <w:color w:val="000000"/>
          <w:lang w:eastAsia="bg-BG"/>
        </w:rPr>
        <w:t>детрузора</w:t>
      </w:r>
      <w:proofErr w:type="spellEnd"/>
      <w:r w:rsidRPr="00A54493">
        <w:rPr>
          <w:rFonts w:eastAsia="Times New Roman" w:cs="Arial"/>
          <w:color w:val="000000"/>
          <w:lang w:eastAsia="bg-BG"/>
        </w:rPr>
        <w:t xml:space="preserve"> и увеличава обема, като предизвиква силна нужда за уриниране, значително снижава </w:t>
      </w:r>
      <w:proofErr w:type="spellStart"/>
      <w:r w:rsidRPr="00A54493">
        <w:rPr>
          <w:rFonts w:eastAsia="Times New Roman" w:cs="Arial"/>
          <w:color w:val="000000"/>
          <w:lang w:eastAsia="bg-BG"/>
        </w:rPr>
        <w:t>резидуалния</w:t>
      </w:r>
      <w:proofErr w:type="spellEnd"/>
      <w:r w:rsidRPr="00A54493">
        <w:rPr>
          <w:rFonts w:eastAsia="Times New Roman" w:cs="Arial"/>
          <w:color w:val="000000"/>
          <w:lang w:eastAsia="bg-BG"/>
        </w:rPr>
        <w:t xml:space="preserve"> обем на урината.</w:t>
      </w:r>
    </w:p>
    <w:p w14:paraId="456BA2EE" w14:textId="77777777" w:rsidR="00A54493" w:rsidRPr="00A54493" w:rsidRDefault="00A54493" w:rsidP="00A54493">
      <w:pPr>
        <w:spacing w:line="240" w:lineRule="auto"/>
        <w:rPr>
          <w:rFonts w:eastAsia="Times New Roman" w:cs="Arial"/>
        </w:rPr>
      </w:pPr>
      <w:r w:rsidRPr="00A54493">
        <w:rPr>
          <w:rFonts w:eastAsia="Times New Roman" w:cs="Arial"/>
          <w:color w:val="000000"/>
          <w:lang w:eastAsia="bg-BG"/>
        </w:rPr>
        <w:t xml:space="preserve">Тези ефекти водят до подобрение в </w:t>
      </w:r>
      <w:proofErr w:type="spellStart"/>
      <w:r w:rsidRPr="00A54493">
        <w:rPr>
          <w:rFonts w:eastAsia="Times New Roman" w:cs="Arial"/>
          <w:color w:val="000000"/>
          <w:lang w:eastAsia="bg-BG"/>
        </w:rPr>
        <w:t>иритативните</w:t>
      </w:r>
      <w:proofErr w:type="spellEnd"/>
      <w:r w:rsidRPr="00A54493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A54493">
        <w:rPr>
          <w:rFonts w:eastAsia="Times New Roman" w:cs="Arial"/>
          <w:color w:val="000000"/>
          <w:lang w:eastAsia="bg-BG"/>
        </w:rPr>
        <w:t>обструктивните</w:t>
      </w:r>
      <w:proofErr w:type="spellEnd"/>
      <w:r w:rsidRPr="00A54493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A54493">
        <w:rPr>
          <w:rFonts w:eastAsia="Times New Roman" w:cs="Arial"/>
          <w:color w:val="000000"/>
          <w:lang w:eastAsia="bg-BG"/>
        </w:rPr>
        <w:t>уринарни</w:t>
      </w:r>
      <w:proofErr w:type="spellEnd"/>
      <w:r w:rsidRPr="00A54493">
        <w:rPr>
          <w:rFonts w:eastAsia="Times New Roman" w:cs="Arial"/>
          <w:color w:val="000000"/>
          <w:lang w:eastAsia="bg-BG"/>
        </w:rPr>
        <w:t xml:space="preserve"> симптоми. Те нямат вредно въздействие върху сексуалната функция.</w:t>
      </w:r>
    </w:p>
    <w:p w14:paraId="4D565CF3" w14:textId="77777777" w:rsidR="00A54493" w:rsidRPr="00A54493" w:rsidRDefault="00A54493" w:rsidP="00A54493">
      <w:pPr>
        <w:spacing w:line="240" w:lineRule="auto"/>
        <w:rPr>
          <w:rFonts w:eastAsia="Times New Roman" w:cs="Arial"/>
        </w:rPr>
      </w:pPr>
      <w:r w:rsidRPr="00A54493">
        <w:rPr>
          <w:rFonts w:eastAsia="Times New Roman" w:cs="Arial"/>
          <w:color w:val="000000"/>
          <w:lang w:eastAsia="bg-BG"/>
        </w:rPr>
        <w:t xml:space="preserve">В хода на проучването </w:t>
      </w:r>
      <w:r w:rsidRPr="00A54493">
        <w:rPr>
          <w:rFonts w:eastAsia="Times New Roman" w:cs="Arial"/>
          <w:color w:val="000000"/>
          <w:lang w:val="en-US"/>
        </w:rPr>
        <w:t xml:space="preserve">ALFAUR, </w:t>
      </w:r>
      <w:r w:rsidRPr="00A54493">
        <w:rPr>
          <w:rFonts w:eastAsia="Times New Roman" w:cs="Arial"/>
          <w:color w:val="000000"/>
          <w:lang w:eastAsia="bg-BG"/>
        </w:rPr>
        <w:t xml:space="preserve">ефектът на </w:t>
      </w:r>
      <w:proofErr w:type="spellStart"/>
      <w:r w:rsidRPr="00A54493">
        <w:rPr>
          <w:rFonts w:eastAsia="Times New Roman" w:cs="Arial"/>
          <w:color w:val="000000"/>
          <w:lang w:eastAsia="bg-BG"/>
        </w:rPr>
        <w:t>алфузосин</w:t>
      </w:r>
      <w:proofErr w:type="spellEnd"/>
      <w:r w:rsidRPr="00A54493">
        <w:rPr>
          <w:rFonts w:eastAsia="Times New Roman" w:cs="Arial"/>
          <w:color w:val="000000"/>
          <w:lang w:eastAsia="bg-BG"/>
        </w:rPr>
        <w:t xml:space="preserve"> върху възстановяването на уринирането беше оценен сред 357 мъже на възраст над 50 години с първи епизод на болезнена остра </w:t>
      </w:r>
      <w:proofErr w:type="spellStart"/>
      <w:r w:rsidRPr="00A54493">
        <w:rPr>
          <w:rFonts w:eastAsia="Times New Roman" w:cs="Arial"/>
          <w:color w:val="000000"/>
          <w:lang w:eastAsia="bg-BG"/>
        </w:rPr>
        <w:t>уринарна</w:t>
      </w:r>
      <w:proofErr w:type="spellEnd"/>
      <w:r w:rsidRPr="00A54493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A54493">
        <w:rPr>
          <w:rFonts w:eastAsia="Times New Roman" w:cs="Arial"/>
          <w:color w:val="000000"/>
          <w:lang w:eastAsia="bg-BG"/>
        </w:rPr>
        <w:t>ретенция</w:t>
      </w:r>
      <w:proofErr w:type="spellEnd"/>
      <w:r w:rsidRPr="00A54493">
        <w:rPr>
          <w:rFonts w:eastAsia="Times New Roman" w:cs="Arial"/>
          <w:color w:val="000000"/>
          <w:lang w:eastAsia="bg-BG"/>
        </w:rPr>
        <w:t xml:space="preserve"> (ОУР) вследствие </w:t>
      </w:r>
      <w:proofErr w:type="spellStart"/>
      <w:r w:rsidRPr="00A54493">
        <w:rPr>
          <w:rFonts w:eastAsia="Times New Roman" w:cs="Arial"/>
          <w:color w:val="000000"/>
          <w:lang w:eastAsia="bg-BG"/>
        </w:rPr>
        <w:t>бенигнена</w:t>
      </w:r>
      <w:proofErr w:type="spellEnd"/>
      <w:r w:rsidRPr="00A54493">
        <w:rPr>
          <w:rFonts w:eastAsia="Times New Roman" w:cs="Arial"/>
          <w:color w:val="000000"/>
          <w:lang w:eastAsia="bg-BG"/>
        </w:rPr>
        <w:t xml:space="preserve"> простатна хипертрофия (БПХ) с </w:t>
      </w:r>
      <w:proofErr w:type="spellStart"/>
      <w:r w:rsidRPr="00A54493">
        <w:rPr>
          <w:rFonts w:eastAsia="Times New Roman" w:cs="Arial"/>
          <w:color w:val="000000"/>
          <w:lang w:eastAsia="bg-BG"/>
        </w:rPr>
        <w:t>резидуален</w:t>
      </w:r>
      <w:proofErr w:type="spellEnd"/>
      <w:r w:rsidRPr="00A54493">
        <w:rPr>
          <w:rFonts w:eastAsia="Times New Roman" w:cs="Arial"/>
          <w:color w:val="000000"/>
          <w:lang w:eastAsia="bg-BG"/>
        </w:rPr>
        <w:t xml:space="preserve"> обем между 500 и 1500 </w:t>
      </w:r>
      <w:r w:rsidRPr="00A54493">
        <w:rPr>
          <w:rFonts w:eastAsia="Times New Roman" w:cs="Arial"/>
          <w:color w:val="000000"/>
          <w:lang w:val="en-US"/>
        </w:rPr>
        <w:t xml:space="preserve">ml </w:t>
      </w:r>
      <w:r w:rsidRPr="00A54493">
        <w:rPr>
          <w:rFonts w:eastAsia="Times New Roman" w:cs="Arial"/>
          <w:color w:val="000000"/>
          <w:lang w:eastAsia="bg-BG"/>
        </w:rPr>
        <w:t xml:space="preserve">след поставяне на катетър и в течение на първия час след </w:t>
      </w:r>
      <w:proofErr w:type="spellStart"/>
      <w:r w:rsidRPr="00A54493">
        <w:rPr>
          <w:rFonts w:eastAsia="Times New Roman" w:cs="Arial"/>
          <w:color w:val="000000"/>
          <w:lang w:eastAsia="bg-BG"/>
        </w:rPr>
        <w:t>катетеризация</w:t>
      </w:r>
      <w:proofErr w:type="spellEnd"/>
      <w:r w:rsidRPr="00A54493">
        <w:rPr>
          <w:rFonts w:eastAsia="Times New Roman" w:cs="Arial"/>
          <w:color w:val="000000"/>
          <w:lang w:eastAsia="bg-BG"/>
        </w:rPr>
        <w:t xml:space="preserve">. При това </w:t>
      </w:r>
      <w:proofErr w:type="spellStart"/>
      <w:r w:rsidRPr="00A54493">
        <w:rPr>
          <w:rFonts w:eastAsia="Times New Roman" w:cs="Arial"/>
          <w:color w:val="000000"/>
          <w:lang w:eastAsia="bg-BG"/>
        </w:rPr>
        <w:t>мултицентрово</w:t>
      </w:r>
      <w:proofErr w:type="spellEnd"/>
      <w:r w:rsidRPr="00A54493">
        <w:rPr>
          <w:rFonts w:eastAsia="Times New Roman" w:cs="Arial"/>
          <w:color w:val="000000"/>
          <w:lang w:eastAsia="bg-BG"/>
        </w:rPr>
        <w:t xml:space="preserve">, рандомизирано, двойно сляпо проучване в две паралелни групи сравняващи </w:t>
      </w:r>
      <w:r w:rsidRPr="00A54493">
        <w:rPr>
          <w:rFonts w:eastAsia="Times New Roman" w:cs="Arial"/>
          <w:color w:val="000000"/>
          <w:lang w:val="en-US"/>
        </w:rPr>
        <w:t xml:space="preserve">alfuzosin SR </w:t>
      </w:r>
      <w:r w:rsidRPr="00A54493">
        <w:rPr>
          <w:rFonts w:eastAsia="Times New Roman" w:cs="Arial"/>
          <w:color w:val="000000"/>
          <w:lang w:eastAsia="bg-BG"/>
        </w:rPr>
        <w:t xml:space="preserve">10 </w:t>
      </w:r>
      <w:r w:rsidRPr="00A54493">
        <w:rPr>
          <w:rFonts w:eastAsia="Times New Roman" w:cs="Arial"/>
          <w:color w:val="000000"/>
          <w:lang w:val="en-US"/>
        </w:rPr>
        <w:t xml:space="preserve">mg </w:t>
      </w:r>
      <w:r w:rsidRPr="00A54493">
        <w:rPr>
          <w:rFonts w:eastAsia="Times New Roman" w:cs="Arial"/>
          <w:color w:val="000000"/>
          <w:lang w:eastAsia="bg-BG"/>
        </w:rPr>
        <w:t xml:space="preserve">дневно с плацебо, беше извършена оценка на възстановяването на уринирането 24 часа след отстраняване на катетъра, сутринта, след най-малко 2 дни лечение с </w:t>
      </w:r>
      <w:proofErr w:type="spellStart"/>
      <w:r w:rsidRPr="00A54493">
        <w:rPr>
          <w:rFonts w:eastAsia="Times New Roman" w:cs="Arial"/>
          <w:color w:val="000000"/>
          <w:lang w:eastAsia="bg-BG"/>
        </w:rPr>
        <w:t>алфузосин</w:t>
      </w:r>
      <w:proofErr w:type="spellEnd"/>
      <w:r w:rsidRPr="00A54493">
        <w:rPr>
          <w:rFonts w:eastAsia="Times New Roman" w:cs="Arial"/>
          <w:color w:val="000000"/>
          <w:lang w:eastAsia="bg-BG"/>
        </w:rPr>
        <w:t>.</w:t>
      </w:r>
    </w:p>
    <w:p w14:paraId="0538C3FA" w14:textId="77777777" w:rsidR="00A54493" w:rsidRPr="00A54493" w:rsidRDefault="00A54493" w:rsidP="00A54493">
      <w:pPr>
        <w:spacing w:line="240" w:lineRule="auto"/>
        <w:rPr>
          <w:rFonts w:eastAsia="Times New Roman" w:cs="Arial"/>
        </w:rPr>
      </w:pPr>
      <w:r w:rsidRPr="00A54493">
        <w:rPr>
          <w:rFonts w:eastAsia="Times New Roman" w:cs="Arial"/>
          <w:color w:val="000000"/>
          <w:lang w:eastAsia="bg-BG"/>
        </w:rPr>
        <w:t xml:space="preserve">Лечението с </w:t>
      </w:r>
      <w:proofErr w:type="spellStart"/>
      <w:r w:rsidRPr="00A54493">
        <w:rPr>
          <w:rFonts w:eastAsia="Times New Roman" w:cs="Arial"/>
          <w:color w:val="000000"/>
          <w:lang w:eastAsia="bg-BG"/>
        </w:rPr>
        <w:t>алфузосин</w:t>
      </w:r>
      <w:proofErr w:type="spellEnd"/>
      <w:r w:rsidRPr="00A54493">
        <w:rPr>
          <w:rFonts w:eastAsia="Times New Roman" w:cs="Arial"/>
          <w:color w:val="000000"/>
          <w:lang w:eastAsia="bg-BG"/>
        </w:rPr>
        <w:t xml:space="preserve"> значително увеличи (р=0,012) честотата на възстановяване на уринирането след отстраняване на катетъра при пациенти преживели първи епизод на ОУР, а именно 146 възстановявания на уринирането (61,9%) в групата на </w:t>
      </w:r>
      <w:proofErr w:type="spellStart"/>
      <w:r w:rsidRPr="00A54493">
        <w:rPr>
          <w:rFonts w:eastAsia="Times New Roman" w:cs="Arial"/>
          <w:color w:val="000000"/>
          <w:lang w:eastAsia="bg-BG"/>
        </w:rPr>
        <w:t>алфузосин</w:t>
      </w:r>
      <w:proofErr w:type="spellEnd"/>
      <w:r w:rsidRPr="00A54493">
        <w:rPr>
          <w:rFonts w:eastAsia="Times New Roman" w:cs="Arial"/>
          <w:color w:val="000000"/>
          <w:lang w:eastAsia="bg-BG"/>
        </w:rPr>
        <w:t xml:space="preserve"> спрямо 58 (47,9%) в групата на плацебо.</w:t>
      </w:r>
    </w:p>
    <w:p w14:paraId="6DC2FE4C" w14:textId="77777777" w:rsidR="00A54493" w:rsidRPr="00A54493" w:rsidRDefault="00A54493" w:rsidP="00A54493">
      <w:pPr>
        <w:spacing w:line="240" w:lineRule="auto"/>
        <w:rPr>
          <w:rFonts w:eastAsia="Times New Roman" w:cs="Arial"/>
        </w:rPr>
      </w:pPr>
      <w:r w:rsidRPr="00A54493">
        <w:rPr>
          <w:rFonts w:eastAsia="Times New Roman" w:cs="Arial"/>
          <w:i/>
          <w:iCs/>
          <w:color w:val="000000"/>
          <w:lang w:eastAsia="bg-BG"/>
        </w:rPr>
        <w:t>Педиатрична популация</w:t>
      </w:r>
    </w:p>
    <w:p w14:paraId="6CA29774" w14:textId="77777777" w:rsidR="00A54493" w:rsidRPr="00A54493" w:rsidRDefault="00A54493" w:rsidP="00A54493">
      <w:pPr>
        <w:spacing w:line="240" w:lineRule="auto"/>
        <w:rPr>
          <w:rFonts w:eastAsia="Times New Roman" w:cs="Arial"/>
        </w:rPr>
      </w:pPr>
      <w:proofErr w:type="spellStart"/>
      <w:r w:rsidRPr="00A54493">
        <w:rPr>
          <w:rFonts w:eastAsia="Times New Roman" w:cs="Arial"/>
          <w:color w:val="000000"/>
          <w:lang w:eastAsia="bg-BG"/>
        </w:rPr>
        <w:t>Ксатрал</w:t>
      </w:r>
      <w:proofErr w:type="spellEnd"/>
      <w:r w:rsidRPr="00A54493">
        <w:rPr>
          <w:rFonts w:eastAsia="Times New Roman" w:cs="Arial"/>
          <w:color w:val="000000"/>
          <w:lang w:eastAsia="bg-BG"/>
        </w:rPr>
        <w:t xml:space="preserve"> </w:t>
      </w:r>
      <w:r w:rsidRPr="00A54493">
        <w:rPr>
          <w:rFonts w:eastAsia="Times New Roman" w:cs="Arial"/>
          <w:color w:val="000000"/>
          <w:lang w:val="en-US"/>
        </w:rPr>
        <w:t xml:space="preserve">LP </w:t>
      </w:r>
      <w:r w:rsidRPr="00A54493">
        <w:rPr>
          <w:rFonts w:eastAsia="Times New Roman" w:cs="Arial"/>
          <w:color w:val="000000"/>
          <w:lang w:eastAsia="bg-BG"/>
        </w:rPr>
        <w:t>не е показан за употреба при педиатрични популации.</w:t>
      </w:r>
    </w:p>
    <w:p w14:paraId="66BDA13F" w14:textId="77777777" w:rsidR="00A54493" w:rsidRPr="00A54493" w:rsidRDefault="00A54493" w:rsidP="00A5449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4992212" w14:textId="02648E8E" w:rsidR="00A54493" w:rsidRPr="00A54493" w:rsidRDefault="00A54493" w:rsidP="00A54493">
      <w:pPr>
        <w:spacing w:line="240" w:lineRule="auto"/>
        <w:rPr>
          <w:rFonts w:eastAsia="Times New Roman" w:cs="Arial"/>
        </w:rPr>
      </w:pPr>
      <w:proofErr w:type="spellStart"/>
      <w:r w:rsidRPr="00A54493">
        <w:rPr>
          <w:rFonts w:eastAsia="Times New Roman" w:cs="Arial"/>
          <w:color w:val="000000"/>
          <w:lang w:eastAsia="bg-BG"/>
        </w:rPr>
        <w:t>Алфузосин</w:t>
      </w:r>
      <w:proofErr w:type="spellEnd"/>
      <w:r w:rsidRPr="00A54493">
        <w:rPr>
          <w:rFonts w:eastAsia="Times New Roman" w:cs="Arial"/>
          <w:color w:val="000000"/>
          <w:lang w:eastAsia="bg-BG"/>
        </w:rPr>
        <w:t xml:space="preserve"> хидрохлорид не е проучен при пациенти на възраст под 2 години.</w:t>
      </w:r>
    </w:p>
    <w:p w14:paraId="71BCD9CA" w14:textId="77777777" w:rsidR="00A54493" w:rsidRPr="00A54493" w:rsidRDefault="00A54493" w:rsidP="00A54493">
      <w:pPr>
        <w:spacing w:line="240" w:lineRule="auto"/>
        <w:rPr>
          <w:rFonts w:eastAsia="Times New Roman" w:cs="Arial"/>
        </w:rPr>
      </w:pPr>
      <w:r w:rsidRPr="00A54493">
        <w:rPr>
          <w:rFonts w:eastAsia="Times New Roman" w:cs="Arial"/>
          <w:color w:val="000000"/>
          <w:lang w:eastAsia="bg-BG"/>
        </w:rPr>
        <w:t xml:space="preserve">Ефикасността на </w:t>
      </w:r>
      <w:proofErr w:type="spellStart"/>
      <w:r w:rsidRPr="00A54493">
        <w:rPr>
          <w:rFonts w:eastAsia="Times New Roman" w:cs="Arial"/>
          <w:color w:val="000000"/>
          <w:lang w:eastAsia="bg-BG"/>
        </w:rPr>
        <w:t>алфузосинов</w:t>
      </w:r>
      <w:proofErr w:type="spellEnd"/>
      <w:r w:rsidRPr="00A54493">
        <w:rPr>
          <w:rFonts w:eastAsia="Times New Roman" w:cs="Arial"/>
          <w:color w:val="000000"/>
          <w:lang w:eastAsia="bg-BG"/>
        </w:rPr>
        <w:t xml:space="preserve"> хидрохлорид не е доказана при двете проучвания проведени при 197 пациента между 2 и 16 години с повишено налягане на </w:t>
      </w:r>
      <w:proofErr w:type="spellStart"/>
      <w:r w:rsidRPr="00A54493">
        <w:rPr>
          <w:rFonts w:eastAsia="Times New Roman" w:cs="Arial"/>
          <w:color w:val="000000"/>
          <w:lang w:eastAsia="bg-BG"/>
        </w:rPr>
        <w:t>детрузора</w:t>
      </w:r>
      <w:proofErr w:type="spellEnd"/>
      <w:r w:rsidRPr="00A54493">
        <w:rPr>
          <w:rFonts w:eastAsia="Times New Roman" w:cs="Arial"/>
          <w:color w:val="000000"/>
          <w:lang w:eastAsia="bg-BG"/>
        </w:rPr>
        <w:t xml:space="preserve">, при което настъпва изпускане на урина </w:t>
      </w:r>
      <w:r w:rsidRPr="00A54493">
        <w:rPr>
          <w:rFonts w:eastAsia="Times New Roman" w:cs="Arial"/>
          <w:color w:val="000000"/>
          <w:lang w:val="en-US"/>
        </w:rPr>
        <w:t>(detrusor leak point pressure) (LPP≥ 40cm H</w:t>
      </w:r>
      <w:r w:rsidRPr="00A54493">
        <w:rPr>
          <w:rFonts w:eastAsia="Times New Roman" w:cs="Arial"/>
          <w:color w:val="000000"/>
          <w:vertAlign w:val="subscript"/>
          <w:lang w:val="en-US"/>
        </w:rPr>
        <w:t>2</w:t>
      </w:r>
      <w:r w:rsidRPr="00A54493">
        <w:rPr>
          <w:rFonts w:eastAsia="Times New Roman" w:cs="Arial"/>
          <w:color w:val="000000"/>
          <w:lang w:val="en-US"/>
        </w:rPr>
        <w:t xml:space="preserve">O) </w:t>
      </w:r>
      <w:r w:rsidRPr="00A54493">
        <w:rPr>
          <w:rFonts w:eastAsia="Times New Roman" w:cs="Arial"/>
          <w:color w:val="000000"/>
          <w:lang w:eastAsia="bg-BG"/>
        </w:rPr>
        <w:t>от неврологичен произход.</w:t>
      </w:r>
    </w:p>
    <w:p w14:paraId="74FBFEA2" w14:textId="77777777" w:rsidR="00A54493" w:rsidRPr="00A54493" w:rsidRDefault="00A54493" w:rsidP="00A54493">
      <w:pPr>
        <w:spacing w:line="240" w:lineRule="auto"/>
        <w:rPr>
          <w:rFonts w:eastAsia="Times New Roman" w:cs="Arial"/>
        </w:rPr>
      </w:pPr>
      <w:r w:rsidRPr="00A54493">
        <w:rPr>
          <w:rFonts w:eastAsia="Times New Roman" w:cs="Arial"/>
          <w:color w:val="000000"/>
          <w:lang w:eastAsia="bg-BG"/>
        </w:rPr>
        <w:t xml:space="preserve">Пациентите бяха лекувани с </w:t>
      </w:r>
      <w:proofErr w:type="spellStart"/>
      <w:r w:rsidRPr="00A54493">
        <w:rPr>
          <w:rFonts w:eastAsia="Times New Roman" w:cs="Arial"/>
          <w:color w:val="000000"/>
          <w:lang w:eastAsia="bg-BG"/>
        </w:rPr>
        <w:t>алфузосинов</w:t>
      </w:r>
      <w:proofErr w:type="spellEnd"/>
      <w:r w:rsidRPr="00A54493">
        <w:rPr>
          <w:rFonts w:eastAsia="Times New Roman" w:cs="Arial"/>
          <w:color w:val="000000"/>
          <w:lang w:eastAsia="bg-BG"/>
        </w:rPr>
        <w:t xml:space="preserve"> хидрохлорид 0,1 </w:t>
      </w:r>
      <w:r w:rsidRPr="00A54493">
        <w:rPr>
          <w:rFonts w:eastAsia="Times New Roman" w:cs="Arial"/>
          <w:color w:val="000000"/>
          <w:lang w:val="en-US"/>
        </w:rPr>
        <w:t xml:space="preserve">mg/ kg/ </w:t>
      </w:r>
      <w:r w:rsidRPr="00A54493">
        <w:rPr>
          <w:rFonts w:eastAsia="Times New Roman" w:cs="Arial"/>
          <w:color w:val="000000"/>
          <w:lang w:eastAsia="bg-BG"/>
        </w:rPr>
        <w:t xml:space="preserve">ден или 0,2 </w:t>
      </w:r>
      <w:r w:rsidRPr="00A54493">
        <w:rPr>
          <w:rFonts w:eastAsia="Times New Roman" w:cs="Arial"/>
          <w:color w:val="000000"/>
          <w:lang w:val="en-US"/>
        </w:rPr>
        <w:t xml:space="preserve">mg/ kg/ </w:t>
      </w:r>
      <w:r w:rsidRPr="00A54493">
        <w:rPr>
          <w:rFonts w:eastAsia="Times New Roman" w:cs="Arial"/>
          <w:color w:val="000000"/>
          <w:lang w:eastAsia="bg-BG"/>
        </w:rPr>
        <w:t>ден, използвайки адаптирана педиатрична формула.</w:t>
      </w:r>
    </w:p>
    <w:p w14:paraId="6BF50076" w14:textId="77777777" w:rsidR="00A54493" w:rsidRPr="00A54493" w:rsidRDefault="00A54493" w:rsidP="00A54493">
      <w:pPr>
        <w:rPr>
          <w:rFonts w:cs="Arial"/>
        </w:rPr>
      </w:pPr>
    </w:p>
    <w:p w14:paraId="63D1DD4E" w14:textId="43C08F92" w:rsidR="007C605B" w:rsidRDefault="002C50EE" w:rsidP="009F1313">
      <w:pPr>
        <w:pStyle w:val="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свойства</w:t>
      </w:r>
    </w:p>
    <w:p w14:paraId="4D50A7A9" w14:textId="2A3CCD25" w:rsidR="00A54493" w:rsidRDefault="00A54493" w:rsidP="00A54493"/>
    <w:p w14:paraId="2FA42C2C" w14:textId="77777777" w:rsidR="00A54493" w:rsidRPr="00A54493" w:rsidRDefault="00A54493" w:rsidP="00A54493">
      <w:pPr>
        <w:pStyle w:val="3"/>
        <w:rPr>
          <w:rFonts w:eastAsia="Times New Roman"/>
          <w:i/>
          <w:iCs/>
        </w:rPr>
      </w:pPr>
      <w:r w:rsidRPr="00A54493">
        <w:rPr>
          <w:rFonts w:eastAsia="Times New Roman"/>
          <w:i/>
          <w:iCs/>
          <w:lang w:eastAsia="bg-BG"/>
        </w:rPr>
        <w:t>Абсорбция</w:t>
      </w:r>
    </w:p>
    <w:p w14:paraId="483F56AC" w14:textId="77777777" w:rsidR="00A54493" w:rsidRPr="00A54493" w:rsidRDefault="00A54493" w:rsidP="00A54493">
      <w:pPr>
        <w:spacing w:line="240" w:lineRule="auto"/>
        <w:rPr>
          <w:rFonts w:eastAsia="Times New Roman" w:cs="Arial"/>
        </w:rPr>
      </w:pPr>
      <w:r w:rsidRPr="00A54493">
        <w:rPr>
          <w:rFonts w:eastAsia="Times New Roman" w:cs="Arial"/>
          <w:color w:val="000000"/>
          <w:lang w:eastAsia="bg-BG"/>
        </w:rPr>
        <w:t xml:space="preserve">Средната стойност за относителна бионаличност е 104,4% след прилагане на доза от 10 </w:t>
      </w:r>
      <w:r w:rsidRPr="00A54493">
        <w:rPr>
          <w:rFonts w:eastAsia="Times New Roman" w:cs="Arial"/>
          <w:color w:val="000000"/>
          <w:lang w:val="en-US"/>
        </w:rPr>
        <w:t xml:space="preserve">mg, </w:t>
      </w:r>
      <w:r w:rsidRPr="00A54493">
        <w:rPr>
          <w:rFonts w:eastAsia="Times New Roman" w:cs="Arial"/>
          <w:color w:val="000000"/>
          <w:lang w:eastAsia="bg-BG"/>
        </w:rPr>
        <w:t xml:space="preserve">в сравнение с тази при формата на незабавно освобождаване при доза от 7,5 </w:t>
      </w:r>
      <w:r w:rsidRPr="00A54493">
        <w:rPr>
          <w:rFonts w:eastAsia="Times New Roman" w:cs="Arial"/>
          <w:color w:val="000000"/>
          <w:lang w:val="en-US"/>
        </w:rPr>
        <w:t xml:space="preserve">mg </w:t>
      </w:r>
      <w:r w:rsidRPr="00A54493">
        <w:rPr>
          <w:rFonts w:eastAsia="Times New Roman" w:cs="Arial"/>
          <w:color w:val="000000"/>
          <w:lang w:eastAsia="bg-BG"/>
        </w:rPr>
        <w:t xml:space="preserve">(2,5 </w:t>
      </w:r>
      <w:r w:rsidRPr="00A54493">
        <w:rPr>
          <w:rFonts w:eastAsia="Times New Roman" w:cs="Arial"/>
          <w:color w:val="000000"/>
          <w:lang w:val="en-US"/>
        </w:rPr>
        <w:t xml:space="preserve">mg </w:t>
      </w:r>
      <w:r w:rsidRPr="00A54493">
        <w:rPr>
          <w:rFonts w:eastAsia="Times New Roman" w:cs="Arial"/>
          <w:color w:val="000000"/>
          <w:lang w:eastAsia="bg-BG"/>
        </w:rPr>
        <w:t>три пъти дневно), при здрави доброволци на средна възраст. Пикова плазмена концентрация се достига 9 часа след приложение в сравнение с 1 час при формата на незабавно освобождаване.</w:t>
      </w:r>
    </w:p>
    <w:p w14:paraId="1DCEC0C4" w14:textId="77777777" w:rsidR="00A54493" w:rsidRPr="00A54493" w:rsidRDefault="00A54493" w:rsidP="00A54493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0ECD149" w14:textId="3807C9A0" w:rsidR="00A54493" w:rsidRPr="00A54493" w:rsidRDefault="00A54493" w:rsidP="00A54493">
      <w:pPr>
        <w:pStyle w:val="3"/>
        <w:rPr>
          <w:rFonts w:eastAsia="Times New Roman"/>
          <w:i/>
          <w:iCs/>
        </w:rPr>
      </w:pPr>
      <w:r w:rsidRPr="00A54493">
        <w:rPr>
          <w:rFonts w:eastAsia="Times New Roman"/>
          <w:i/>
          <w:iCs/>
          <w:lang w:eastAsia="bg-BG"/>
        </w:rPr>
        <w:t>Разпределение</w:t>
      </w:r>
    </w:p>
    <w:p w14:paraId="5825BE53" w14:textId="77777777" w:rsidR="00A54493" w:rsidRPr="00A54493" w:rsidRDefault="00A54493" w:rsidP="00A54493">
      <w:pPr>
        <w:spacing w:line="240" w:lineRule="auto"/>
        <w:rPr>
          <w:rFonts w:eastAsia="Times New Roman" w:cs="Arial"/>
        </w:rPr>
      </w:pPr>
      <w:r w:rsidRPr="00A54493">
        <w:rPr>
          <w:rFonts w:eastAsia="Times New Roman" w:cs="Arial"/>
          <w:color w:val="000000"/>
          <w:lang w:eastAsia="bg-BG"/>
        </w:rPr>
        <w:t xml:space="preserve">Свързването на </w:t>
      </w:r>
      <w:proofErr w:type="spellStart"/>
      <w:r w:rsidRPr="00A54493">
        <w:rPr>
          <w:rFonts w:eastAsia="Times New Roman" w:cs="Arial"/>
          <w:color w:val="000000"/>
          <w:lang w:eastAsia="bg-BG"/>
        </w:rPr>
        <w:t>алфузосинов</w:t>
      </w:r>
      <w:proofErr w:type="spellEnd"/>
      <w:r w:rsidRPr="00A54493">
        <w:rPr>
          <w:rFonts w:eastAsia="Times New Roman" w:cs="Arial"/>
          <w:color w:val="000000"/>
          <w:lang w:eastAsia="bg-BG"/>
        </w:rPr>
        <w:t xml:space="preserve"> хидрохлорид с плазмените протеини е приблизително 90%.</w:t>
      </w:r>
    </w:p>
    <w:p w14:paraId="62C19897" w14:textId="77777777" w:rsidR="00A54493" w:rsidRPr="00A54493" w:rsidRDefault="00A54493" w:rsidP="00A54493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B036A11" w14:textId="6D39F038" w:rsidR="00A54493" w:rsidRPr="00A54493" w:rsidRDefault="00A54493" w:rsidP="00A54493">
      <w:pPr>
        <w:pStyle w:val="3"/>
        <w:rPr>
          <w:rFonts w:eastAsia="Times New Roman"/>
          <w:i/>
          <w:iCs/>
        </w:rPr>
      </w:pPr>
      <w:r w:rsidRPr="00A54493">
        <w:rPr>
          <w:rFonts w:eastAsia="Times New Roman"/>
          <w:i/>
          <w:iCs/>
          <w:lang w:eastAsia="bg-BG"/>
        </w:rPr>
        <w:t>Биотрансформация</w:t>
      </w:r>
    </w:p>
    <w:p w14:paraId="0D08E7F1" w14:textId="77777777" w:rsidR="00A54493" w:rsidRPr="00A54493" w:rsidRDefault="00A54493" w:rsidP="00A54493">
      <w:pPr>
        <w:spacing w:line="240" w:lineRule="auto"/>
        <w:rPr>
          <w:rFonts w:eastAsia="Times New Roman" w:cs="Arial"/>
        </w:rPr>
      </w:pPr>
      <w:r w:rsidRPr="00A54493">
        <w:rPr>
          <w:rFonts w:eastAsia="Times New Roman" w:cs="Arial"/>
          <w:color w:val="000000"/>
          <w:lang w:val="en-US"/>
        </w:rPr>
        <w:t xml:space="preserve">Alfuzosin </w:t>
      </w:r>
      <w:r w:rsidRPr="00A54493">
        <w:rPr>
          <w:rFonts w:eastAsia="Times New Roman" w:cs="Arial"/>
          <w:color w:val="000000"/>
          <w:lang w:eastAsia="bg-BG"/>
        </w:rPr>
        <w:t xml:space="preserve">претърпява ясно изявено </w:t>
      </w:r>
      <w:proofErr w:type="spellStart"/>
      <w:r w:rsidRPr="00A54493">
        <w:rPr>
          <w:rFonts w:eastAsia="Times New Roman" w:cs="Arial"/>
          <w:color w:val="000000"/>
          <w:lang w:eastAsia="bg-BG"/>
        </w:rPr>
        <w:t>метаболизиране</w:t>
      </w:r>
      <w:proofErr w:type="spellEnd"/>
      <w:r w:rsidRPr="00A54493">
        <w:rPr>
          <w:rFonts w:eastAsia="Times New Roman" w:cs="Arial"/>
          <w:color w:val="000000"/>
          <w:lang w:eastAsia="bg-BG"/>
        </w:rPr>
        <w:t xml:space="preserve"> в черния дроб, като в урината се </w:t>
      </w:r>
      <w:proofErr w:type="spellStart"/>
      <w:r w:rsidRPr="00A54493">
        <w:rPr>
          <w:rFonts w:eastAsia="Times New Roman" w:cs="Arial"/>
          <w:color w:val="000000"/>
          <w:lang w:eastAsia="bg-BG"/>
        </w:rPr>
        <w:t>екскретира</w:t>
      </w:r>
      <w:proofErr w:type="spellEnd"/>
      <w:r w:rsidRPr="00A54493">
        <w:rPr>
          <w:rFonts w:eastAsia="Times New Roman" w:cs="Arial"/>
          <w:color w:val="000000"/>
          <w:lang w:eastAsia="bg-BG"/>
        </w:rPr>
        <w:t xml:space="preserve"> само 11% вещество в непроменен вид.</w:t>
      </w:r>
    </w:p>
    <w:p w14:paraId="674F6DF3" w14:textId="77777777" w:rsidR="00A54493" w:rsidRPr="00A54493" w:rsidRDefault="00A54493" w:rsidP="00A54493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9B6D342" w14:textId="35D27E98" w:rsidR="00A54493" w:rsidRPr="00A54493" w:rsidRDefault="00A54493" w:rsidP="00A54493">
      <w:pPr>
        <w:pStyle w:val="3"/>
        <w:rPr>
          <w:rFonts w:eastAsia="Times New Roman"/>
          <w:i/>
          <w:iCs/>
        </w:rPr>
      </w:pPr>
      <w:r w:rsidRPr="00A54493">
        <w:rPr>
          <w:rFonts w:eastAsia="Times New Roman"/>
          <w:i/>
          <w:iCs/>
          <w:lang w:eastAsia="bg-BG"/>
        </w:rPr>
        <w:t>Елиминираме</w:t>
      </w:r>
    </w:p>
    <w:p w14:paraId="65D3421F" w14:textId="77777777" w:rsidR="00A54493" w:rsidRPr="00A54493" w:rsidRDefault="00A54493" w:rsidP="00A54493">
      <w:pPr>
        <w:spacing w:line="240" w:lineRule="auto"/>
        <w:rPr>
          <w:rFonts w:eastAsia="Times New Roman" w:cs="Arial"/>
        </w:rPr>
      </w:pPr>
      <w:r w:rsidRPr="00A54493">
        <w:rPr>
          <w:rFonts w:eastAsia="Times New Roman" w:cs="Arial"/>
          <w:color w:val="000000"/>
          <w:lang w:eastAsia="bg-BG"/>
        </w:rPr>
        <w:t xml:space="preserve">Повечето от метаболитите (които са неактивни) се </w:t>
      </w:r>
      <w:proofErr w:type="spellStart"/>
      <w:r w:rsidRPr="00A54493">
        <w:rPr>
          <w:rFonts w:eastAsia="Times New Roman" w:cs="Arial"/>
          <w:color w:val="000000"/>
          <w:lang w:eastAsia="bg-BG"/>
        </w:rPr>
        <w:t>екскретират</w:t>
      </w:r>
      <w:proofErr w:type="spellEnd"/>
      <w:r w:rsidRPr="00A54493">
        <w:rPr>
          <w:rFonts w:eastAsia="Times New Roman" w:cs="Arial"/>
          <w:color w:val="000000"/>
          <w:lang w:eastAsia="bg-BG"/>
        </w:rPr>
        <w:t xml:space="preserve"> в изпражненията (75 до 90%).</w:t>
      </w:r>
    </w:p>
    <w:p w14:paraId="749C9379" w14:textId="43043EEE" w:rsidR="00A54493" w:rsidRDefault="00A54493" w:rsidP="00A54493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A54493">
        <w:rPr>
          <w:rFonts w:eastAsia="Times New Roman" w:cs="Arial"/>
          <w:color w:val="000000"/>
          <w:lang w:eastAsia="bg-BG"/>
        </w:rPr>
        <w:t>Предполагаемият елиминационен полуживот е 9,1 часа.</w:t>
      </w:r>
    </w:p>
    <w:p w14:paraId="14EF152B" w14:textId="330BCAE5" w:rsidR="00A54493" w:rsidRDefault="00A54493" w:rsidP="00A5449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C5E402B" w14:textId="77777777" w:rsidR="00A54493" w:rsidRPr="00A54493" w:rsidRDefault="00A54493" w:rsidP="00A54493">
      <w:pPr>
        <w:pStyle w:val="3"/>
        <w:rPr>
          <w:rFonts w:eastAsia="Times New Roman"/>
          <w:i/>
          <w:iCs/>
        </w:rPr>
      </w:pPr>
      <w:r w:rsidRPr="00A54493">
        <w:rPr>
          <w:rFonts w:eastAsia="Times New Roman"/>
          <w:i/>
          <w:iCs/>
          <w:lang w:eastAsia="bg-BG"/>
        </w:rPr>
        <w:t>Фармакокинетика</w:t>
      </w:r>
    </w:p>
    <w:p w14:paraId="26D0A610" w14:textId="77777777" w:rsidR="00A54493" w:rsidRPr="00A54493" w:rsidRDefault="00A54493" w:rsidP="00A54493">
      <w:pPr>
        <w:spacing w:line="240" w:lineRule="auto"/>
        <w:rPr>
          <w:rFonts w:eastAsia="Times New Roman" w:cs="Arial"/>
        </w:rPr>
      </w:pPr>
      <w:proofErr w:type="spellStart"/>
      <w:r w:rsidRPr="00A54493">
        <w:rPr>
          <w:rFonts w:eastAsia="Times New Roman" w:cs="Arial"/>
          <w:color w:val="000000"/>
          <w:lang w:eastAsia="bg-BG"/>
        </w:rPr>
        <w:t>Фармакокинетичният</w:t>
      </w:r>
      <w:proofErr w:type="spellEnd"/>
      <w:r w:rsidRPr="00A54493">
        <w:rPr>
          <w:rFonts w:eastAsia="Times New Roman" w:cs="Arial"/>
          <w:color w:val="000000"/>
          <w:lang w:eastAsia="bg-BG"/>
        </w:rPr>
        <w:t xml:space="preserve"> профил на </w:t>
      </w:r>
      <w:proofErr w:type="spellStart"/>
      <w:r w:rsidRPr="00A54493">
        <w:rPr>
          <w:rFonts w:eastAsia="Times New Roman" w:cs="Arial"/>
          <w:color w:val="000000"/>
          <w:lang w:eastAsia="bg-BG"/>
        </w:rPr>
        <w:t>алфузосин</w:t>
      </w:r>
      <w:proofErr w:type="spellEnd"/>
      <w:r w:rsidRPr="00A54493">
        <w:rPr>
          <w:rFonts w:eastAsia="Times New Roman" w:cs="Arial"/>
          <w:color w:val="000000"/>
          <w:lang w:eastAsia="bg-BG"/>
        </w:rPr>
        <w:t xml:space="preserve"> не се променя при хронична сърдечна недостатъчност.</w:t>
      </w:r>
    </w:p>
    <w:p w14:paraId="2D7F71A1" w14:textId="77777777" w:rsidR="00A54493" w:rsidRPr="00A54493" w:rsidRDefault="00A54493" w:rsidP="00A54493">
      <w:pPr>
        <w:spacing w:line="240" w:lineRule="auto"/>
        <w:rPr>
          <w:rFonts w:eastAsia="Times New Roman" w:cs="Arial"/>
        </w:rPr>
      </w:pPr>
      <w:r w:rsidRPr="00A54493">
        <w:rPr>
          <w:rFonts w:eastAsia="Times New Roman" w:cs="Arial"/>
          <w:color w:val="000000"/>
          <w:lang w:eastAsia="bg-BG"/>
        </w:rPr>
        <w:t>Форма на удължено освобождаване</w:t>
      </w:r>
    </w:p>
    <w:p w14:paraId="0D3701B6" w14:textId="77777777" w:rsidR="00A54493" w:rsidRPr="00A54493" w:rsidRDefault="00A54493" w:rsidP="00A54493">
      <w:pPr>
        <w:spacing w:line="240" w:lineRule="auto"/>
        <w:rPr>
          <w:rFonts w:eastAsia="Times New Roman" w:cs="Arial"/>
        </w:rPr>
      </w:pPr>
      <w:r w:rsidRPr="00A54493">
        <w:rPr>
          <w:rFonts w:eastAsia="Times New Roman" w:cs="Arial"/>
          <w:color w:val="000000"/>
          <w:lang w:eastAsia="bg-BG"/>
        </w:rPr>
        <w:t>Проучванията показаха, че бионаличността нараства, когато лекарственото средство се прилага след хранене (вж. „Дозировка и начин на приложение”).</w:t>
      </w:r>
    </w:p>
    <w:p w14:paraId="12495CE4" w14:textId="77777777" w:rsidR="00A54493" w:rsidRPr="00A54493" w:rsidRDefault="00A54493" w:rsidP="00A54493">
      <w:pPr>
        <w:spacing w:line="240" w:lineRule="auto"/>
        <w:rPr>
          <w:rFonts w:eastAsia="Times New Roman" w:cs="Arial"/>
        </w:rPr>
      </w:pPr>
      <w:proofErr w:type="spellStart"/>
      <w:r w:rsidRPr="00A54493">
        <w:rPr>
          <w:rFonts w:eastAsia="Times New Roman" w:cs="Arial"/>
          <w:color w:val="000000"/>
          <w:lang w:eastAsia="bg-BG"/>
        </w:rPr>
        <w:t>Фармакокинетичните</w:t>
      </w:r>
      <w:proofErr w:type="spellEnd"/>
      <w:r w:rsidRPr="00A54493">
        <w:rPr>
          <w:rFonts w:eastAsia="Times New Roman" w:cs="Arial"/>
          <w:color w:val="000000"/>
          <w:lang w:eastAsia="bg-BG"/>
        </w:rPr>
        <w:t xml:space="preserve"> параметри (С</w:t>
      </w:r>
      <w:r w:rsidRPr="00A54493">
        <w:rPr>
          <w:rFonts w:eastAsia="Times New Roman" w:cs="Arial"/>
          <w:color w:val="000000"/>
          <w:vertAlign w:val="subscript"/>
          <w:lang w:val="en-US"/>
        </w:rPr>
        <w:t>max</w:t>
      </w:r>
      <w:r w:rsidRPr="00A54493">
        <w:rPr>
          <w:rFonts w:eastAsia="Times New Roman" w:cs="Arial"/>
          <w:color w:val="000000"/>
          <w:lang w:eastAsia="bg-BG"/>
        </w:rPr>
        <w:t xml:space="preserve"> и </w:t>
      </w:r>
      <w:r w:rsidRPr="00A54493">
        <w:rPr>
          <w:rFonts w:eastAsia="Times New Roman" w:cs="Arial"/>
          <w:color w:val="000000"/>
          <w:lang w:val="en-US"/>
        </w:rPr>
        <w:t xml:space="preserve">AUC) </w:t>
      </w:r>
      <w:r w:rsidRPr="00A54493">
        <w:rPr>
          <w:rFonts w:eastAsia="Times New Roman" w:cs="Arial"/>
          <w:color w:val="000000"/>
          <w:lang w:eastAsia="bg-BG"/>
        </w:rPr>
        <w:t>не се увеличават при лица в напреднала възраст в сравнение със здрави доброволци на средна възраст.</w:t>
      </w:r>
    </w:p>
    <w:p w14:paraId="7996DA9B" w14:textId="40D1ED6A" w:rsidR="00A54493" w:rsidRDefault="00A54493" w:rsidP="00A54493">
      <w:pPr>
        <w:spacing w:line="240" w:lineRule="auto"/>
        <w:rPr>
          <w:rFonts w:eastAsia="Times New Roman" w:cs="Arial"/>
        </w:rPr>
      </w:pPr>
      <w:r w:rsidRPr="00A54493">
        <w:rPr>
          <w:rFonts w:eastAsia="Times New Roman" w:cs="Arial"/>
          <w:color w:val="000000"/>
          <w:lang w:eastAsia="bg-BG"/>
        </w:rPr>
        <w:t xml:space="preserve">Средните стойности на </w:t>
      </w:r>
      <w:proofErr w:type="spellStart"/>
      <w:r w:rsidRPr="00A54493">
        <w:rPr>
          <w:rFonts w:eastAsia="Times New Roman" w:cs="Arial"/>
          <w:color w:val="000000"/>
          <w:lang w:val="en-US"/>
        </w:rPr>
        <w:t>C</w:t>
      </w:r>
      <w:r w:rsidRPr="00A54493">
        <w:rPr>
          <w:rFonts w:eastAsia="Times New Roman" w:cs="Arial"/>
          <w:color w:val="000000"/>
          <w:vertAlign w:val="subscript"/>
          <w:lang w:val="en-US"/>
        </w:rPr>
        <w:t>max</w:t>
      </w:r>
      <w:r w:rsidRPr="00A54493">
        <w:rPr>
          <w:rFonts w:eastAsia="Times New Roman" w:cs="Arial"/>
          <w:color w:val="000000"/>
          <w:lang w:val="en-US"/>
        </w:rPr>
        <w:t>AUC</w:t>
      </w:r>
      <w:proofErr w:type="spellEnd"/>
      <w:r w:rsidRPr="00A54493">
        <w:rPr>
          <w:rFonts w:eastAsia="Times New Roman" w:cs="Arial"/>
          <w:color w:val="000000"/>
          <w:lang w:val="en-US"/>
        </w:rPr>
        <w:t xml:space="preserve"> </w:t>
      </w:r>
      <w:r w:rsidRPr="00A54493">
        <w:rPr>
          <w:rFonts w:eastAsia="Times New Roman" w:cs="Arial"/>
          <w:color w:val="000000"/>
          <w:lang w:eastAsia="bg-BG"/>
        </w:rPr>
        <w:t>се повишават умерено при пациенти с умерено нарушена чернодробна функция (</w:t>
      </w:r>
      <w:proofErr w:type="spellStart"/>
      <w:r w:rsidRPr="00A54493">
        <w:rPr>
          <w:rFonts w:eastAsia="Times New Roman" w:cs="Arial"/>
          <w:color w:val="000000"/>
          <w:lang w:eastAsia="bg-BG"/>
        </w:rPr>
        <w:t>креатининов</w:t>
      </w:r>
      <w:proofErr w:type="spellEnd"/>
      <w:r w:rsidRPr="00A54493">
        <w:rPr>
          <w:rFonts w:eastAsia="Times New Roman" w:cs="Arial"/>
          <w:color w:val="000000"/>
          <w:lang w:eastAsia="bg-BG"/>
        </w:rPr>
        <w:t xml:space="preserve"> клирънс &gt; 30 </w:t>
      </w:r>
      <w:r w:rsidRPr="00A54493">
        <w:rPr>
          <w:rFonts w:eastAsia="Times New Roman" w:cs="Arial"/>
          <w:color w:val="000000"/>
          <w:lang w:val="en-US"/>
        </w:rPr>
        <w:t xml:space="preserve">ml/min), </w:t>
      </w:r>
      <w:r w:rsidRPr="00A54493">
        <w:rPr>
          <w:rFonts w:eastAsia="Times New Roman" w:cs="Arial"/>
          <w:color w:val="000000"/>
          <w:lang w:eastAsia="bg-BG"/>
        </w:rPr>
        <w:t xml:space="preserve">без промени в елиминационния полуживот в сравнение с пациенти с нормална чернодробна функция. Поради това, не е необходима корекция на дозата при пациенти с нарушена чернодробна функция с </w:t>
      </w:r>
      <w:proofErr w:type="spellStart"/>
      <w:r w:rsidRPr="00A54493">
        <w:rPr>
          <w:rFonts w:eastAsia="Times New Roman" w:cs="Arial"/>
          <w:color w:val="000000"/>
          <w:lang w:eastAsia="bg-BG"/>
        </w:rPr>
        <w:t>креатининов</w:t>
      </w:r>
      <w:proofErr w:type="spellEnd"/>
      <w:r w:rsidRPr="00A54493">
        <w:rPr>
          <w:rFonts w:eastAsia="Times New Roman" w:cs="Arial"/>
          <w:color w:val="000000"/>
          <w:lang w:eastAsia="bg-BG"/>
        </w:rPr>
        <w:t xml:space="preserve"> клирънс &gt; 30 </w:t>
      </w:r>
      <w:r w:rsidRPr="00A54493">
        <w:rPr>
          <w:rFonts w:eastAsia="Times New Roman" w:cs="Arial"/>
          <w:color w:val="000000"/>
          <w:lang w:val="en-US"/>
        </w:rPr>
        <w:t>ml/min.</w:t>
      </w:r>
    </w:p>
    <w:p w14:paraId="508DE109" w14:textId="77777777" w:rsidR="00A54493" w:rsidRPr="00A54493" w:rsidRDefault="00A54493" w:rsidP="00A54493">
      <w:pPr>
        <w:spacing w:line="240" w:lineRule="auto"/>
        <w:rPr>
          <w:rFonts w:eastAsia="Times New Roman" w:cs="Arial"/>
        </w:rPr>
      </w:pPr>
    </w:p>
    <w:p w14:paraId="1A21E006" w14:textId="6DFEF4D4" w:rsidR="009F1313" w:rsidRDefault="002C50EE" w:rsidP="009F1313">
      <w:pPr>
        <w:pStyle w:val="2"/>
      </w:pPr>
      <w:r>
        <w:t>5.3. Предклинични данни за безопасност</w:t>
      </w:r>
    </w:p>
    <w:p w14:paraId="23260300" w14:textId="77777777" w:rsidR="00A54493" w:rsidRDefault="00A54493" w:rsidP="00A54493">
      <w:pPr>
        <w:rPr>
          <w:lang w:eastAsia="bg-BG"/>
        </w:rPr>
      </w:pPr>
    </w:p>
    <w:p w14:paraId="0A541468" w14:textId="50BDF9D3" w:rsidR="00A54493" w:rsidRPr="00A54493" w:rsidRDefault="00A54493" w:rsidP="00A54493">
      <w:pPr>
        <w:rPr>
          <w:sz w:val="24"/>
          <w:szCs w:val="24"/>
        </w:rPr>
      </w:pPr>
      <w:r w:rsidRPr="00A54493">
        <w:rPr>
          <w:lang w:eastAsia="bg-BG"/>
        </w:rPr>
        <w:t>Няма данни с клинично значение.</w:t>
      </w:r>
    </w:p>
    <w:p w14:paraId="69034BB2" w14:textId="77777777" w:rsidR="00A54493" w:rsidRPr="00A54493" w:rsidRDefault="00A54493" w:rsidP="00A54493"/>
    <w:p w14:paraId="7E1E1511" w14:textId="044DD2CC" w:rsidR="009F1313" w:rsidRDefault="002C50EE" w:rsidP="00A54493">
      <w:pPr>
        <w:pStyle w:val="1"/>
      </w:pPr>
      <w:r>
        <w:t>7. ПРИТЕЖАТЕЛ НА РАЗРЕШЕНИЕТО ЗА УПОТРЕБА</w:t>
      </w:r>
    </w:p>
    <w:p w14:paraId="389C8DA3" w14:textId="68F28286" w:rsidR="00A54493" w:rsidRDefault="00A54493" w:rsidP="00A54493"/>
    <w:p w14:paraId="323E227F" w14:textId="77777777" w:rsidR="00A54493" w:rsidRPr="00A54493" w:rsidRDefault="00A54493" w:rsidP="00A54493">
      <w:pPr>
        <w:rPr>
          <w:sz w:val="24"/>
          <w:szCs w:val="24"/>
        </w:rPr>
      </w:pPr>
      <w:r w:rsidRPr="00A54493">
        <w:rPr>
          <w:lang w:eastAsia="bg-BG"/>
        </w:rPr>
        <w:t>Санофи-</w:t>
      </w:r>
      <w:proofErr w:type="spellStart"/>
      <w:r w:rsidRPr="00A54493">
        <w:rPr>
          <w:lang w:eastAsia="bg-BG"/>
        </w:rPr>
        <w:t>Авентис</w:t>
      </w:r>
      <w:proofErr w:type="spellEnd"/>
      <w:r w:rsidRPr="00A54493">
        <w:rPr>
          <w:lang w:eastAsia="bg-BG"/>
        </w:rPr>
        <w:t xml:space="preserve"> България ЕООД</w:t>
      </w:r>
    </w:p>
    <w:p w14:paraId="14BE2D4B" w14:textId="77777777" w:rsidR="00A54493" w:rsidRPr="00A54493" w:rsidRDefault="00A54493" w:rsidP="00A54493">
      <w:pPr>
        <w:rPr>
          <w:sz w:val="24"/>
          <w:szCs w:val="24"/>
        </w:rPr>
      </w:pPr>
      <w:r w:rsidRPr="00A54493">
        <w:rPr>
          <w:lang w:eastAsia="bg-BG"/>
        </w:rPr>
        <w:t>1303 София, бул. Ал. Стамболийски 103</w:t>
      </w:r>
    </w:p>
    <w:p w14:paraId="3A86467E" w14:textId="5EDC50D7" w:rsidR="00A54493" w:rsidRPr="00A54493" w:rsidRDefault="00A54493" w:rsidP="00A54493">
      <w:r w:rsidRPr="00A54493">
        <w:rPr>
          <w:lang w:eastAsia="bg-BG"/>
        </w:rPr>
        <w:t>България</w:t>
      </w:r>
    </w:p>
    <w:p w14:paraId="04840D59" w14:textId="45162398" w:rsidR="002C50EE" w:rsidRDefault="002C50EE" w:rsidP="00A54493">
      <w:pPr>
        <w:pStyle w:val="1"/>
      </w:pPr>
      <w:r>
        <w:t>8. НОМЕР НА РАЗРЕШЕНИЕТО ЗА УПОТРЕБА</w:t>
      </w:r>
    </w:p>
    <w:p w14:paraId="7D604FBD" w14:textId="72DFF779" w:rsidR="00A54493" w:rsidRDefault="00A54493" w:rsidP="00A54493"/>
    <w:p w14:paraId="1525D9DE" w14:textId="2A9EA076" w:rsidR="00A54493" w:rsidRPr="00A54493" w:rsidRDefault="00A54493" w:rsidP="00A54493">
      <w:r>
        <w:t>20010495</w:t>
      </w:r>
    </w:p>
    <w:p w14:paraId="2CCB5832" w14:textId="227E868B" w:rsidR="007C605B" w:rsidRDefault="002C50EE" w:rsidP="007C605B">
      <w:pPr>
        <w:pStyle w:val="1"/>
      </w:pPr>
      <w:r>
        <w:t>9. ДАТА НА ПЪРВО РАЗРЕШАВАНЕ/ПОДНОВЯВАНЕ НА РАЗРЕШЕНИЕТО ЗА УПОТРЕБА</w:t>
      </w:r>
    </w:p>
    <w:p w14:paraId="298A72CC" w14:textId="77777777" w:rsidR="00A54493" w:rsidRDefault="00A54493" w:rsidP="00A54493">
      <w:pPr>
        <w:rPr>
          <w:lang w:eastAsia="bg-BG"/>
        </w:rPr>
      </w:pPr>
    </w:p>
    <w:p w14:paraId="50AA215A" w14:textId="15DF108B" w:rsidR="00A54493" w:rsidRPr="00A54493" w:rsidRDefault="00A54493" w:rsidP="00A54493">
      <w:pPr>
        <w:rPr>
          <w:sz w:val="24"/>
          <w:szCs w:val="24"/>
        </w:rPr>
      </w:pPr>
      <w:r w:rsidRPr="00A54493">
        <w:rPr>
          <w:lang w:eastAsia="bg-BG"/>
        </w:rPr>
        <w:t>Дата на първо разрешаване за употреба: 19. 05. 2001</w:t>
      </w:r>
    </w:p>
    <w:p w14:paraId="6AFC3465" w14:textId="29CE5F86" w:rsidR="00A54493" w:rsidRPr="00A54493" w:rsidRDefault="00A54493" w:rsidP="00A54493">
      <w:r w:rsidRPr="00A54493">
        <w:rPr>
          <w:lang w:eastAsia="bg-BG"/>
        </w:rPr>
        <w:t>Дата на последно подновяване: 11. 10. 2011</w:t>
      </w:r>
    </w:p>
    <w:p w14:paraId="0E9D0119" w14:textId="0245C6D7" w:rsidR="002C50EE" w:rsidRDefault="002C50EE" w:rsidP="002C50EE">
      <w:pPr>
        <w:pStyle w:val="1"/>
      </w:pPr>
      <w:r>
        <w:lastRenderedPageBreak/>
        <w:t>10. ДАТА НА АКТУАЛИЗИРАНЕ НА ТЕКСТА</w:t>
      </w:r>
    </w:p>
    <w:bookmarkEnd w:id="0"/>
    <w:p w14:paraId="4CA5893C" w14:textId="77777777" w:rsidR="00A54493" w:rsidRDefault="00A54493" w:rsidP="00A54493"/>
    <w:p w14:paraId="43FB38A2" w14:textId="3F62CED5" w:rsidR="007C605B" w:rsidRPr="003E3126" w:rsidRDefault="00A54493" w:rsidP="00A54493">
      <w:r>
        <w:t>Декември 2016</w:t>
      </w:r>
    </w:p>
    <w:sectPr w:rsidR="007C605B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 w15:restartNumberingAfterBreak="0">
    <w:nsid w:val="10D319DE"/>
    <w:multiLevelType w:val="hybridMultilevel"/>
    <w:tmpl w:val="082C043C"/>
    <w:lvl w:ilvl="0" w:tplc="24540A5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45988"/>
    <w:multiLevelType w:val="hybridMultilevel"/>
    <w:tmpl w:val="E2429662"/>
    <w:lvl w:ilvl="0" w:tplc="0D0026C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379D7"/>
    <w:multiLevelType w:val="hybridMultilevel"/>
    <w:tmpl w:val="EBEA393C"/>
    <w:lvl w:ilvl="0" w:tplc="D74C18F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A6FEF"/>
    <w:multiLevelType w:val="hybridMultilevel"/>
    <w:tmpl w:val="F2044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C695A"/>
    <w:multiLevelType w:val="hybridMultilevel"/>
    <w:tmpl w:val="E33632CA"/>
    <w:lvl w:ilvl="0" w:tplc="D74C18F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F0C07"/>
    <w:multiLevelType w:val="hybridMultilevel"/>
    <w:tmpl w:val="8D72E4AC"/>
    <w:lvl w:ilvl="0" w:tplc="24540A5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F466A0"/>
    <w:multiLevelType w:val="hybridMultilevel"/>
    <w:tmpl w:val="AFF27316"/>
    <w:lvl w:ilvl="0" w:tplc="D74C18F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E31E57"/>
    <w:multiLevelType w:val="hybridMultilevel"/>
    <w:tmpl w:val="311C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9D6361"/>
    <w:multiLevelType w:val="hybridMultilevel"/>
    <w:tmpl w:val="22A4617A"/>
    <w:lvl w:ilvl="0" w:tplc="D74C18F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32"/>
  </w:num>
  <w:num w:numId="2">
    <w:abstractNumId w:val="0"/>
  </w:num>
  <w:num w:numId="3">
    <w:abstractNumId w:val="13"/>
  </w:num>
  <w:num w:numId="4">
    <w:abstractNumId w:val="3"/>
  </w:num>
  <w:num w:numId="5">
    <w:abstractNumId w:val="1"/>
  </w:num>
  <w:num w:numId="6">
    <w:abstractNumId w:val="20"/>
  </w:num>
  <w:num w:numId="7">
    <w:abstractNumId w:val="11"/>
  </w:num>
  <w:num w:numId="8">
    <w:abstractNumId w:val="19"/>
  </w:num>
  <w:num w:numId="9">
    <w:abstractNumId w:val="2"/>
  </w:num>
  <w:num w:numId="10">
    <w:abstractNumId w:val="4"/>
  </w:num>
  <w:num w:numId="11">
    <w:abstractNumId w:val="34"/>
  </w:num>
  <w:num w:numId="12">
    <w:abstractNumId w:val="15"/>
  </w:num>
  <w:num w:numId="13">
    <w:abstractNumId w:val="23"/>
  </w:num>
  <w:num w:numId="14">
    <w:abstractNumId w:val="12"/>
  </w:num>
  <w:num w:numId="15">
    <w:abstractNumId w:val="33"/>
  </w:num>
  <w:num w:numId="16">
    <w:abstractNumId w:val="10"/>
  </w:num>
  <w:num w:numId="17">
    <w:abstractNumId w:val="29"/>
  </w:num>
  <w:num w:numId="18">
    <w:abstractNumId w:val="8"/>
  </w:num>
  <w:num w:numId="19">
    <w:abstractNumId w:val="31"/>
  </w:num>
  <w:num w:numId="20">
    <w:abstractNumId w:val="28"/>
  </w:num>
  <w:num w:numId="21">
    <w:abstractNumId w:val="21"/>
  </w:num>
  <w:num w:numId="22">
    <w:abstractNumId w:val="30"/>
  </w:num>
  <w:num w:numId="23">
    <w:abstractNumId w:val="22"/>
  </w:num>
  <w:num w:numId="24">
    <w:abstractNumId w:val="9"/>
  </w:num>
  <w:num w:numId="25">
    <w:abstractNumId w:val="27"/>
  </w:num>
  <w:num w:numId="26">
    <w:abstractNumId w:val="25"/>
  </w:num>
  <w:num w:numId="27">
    <w:abstractNumId w:val="36"/>
  </w:num>
  <w:num w:numId="28">
    <w:abstractNumId w:val="5"/>
  </w:num>
  <w:num w:numId="29">
    <w:abstractNumId w:val="24"/>
  </w:num>
  <w:num w:numId="30">
    <w:abstractNumId w:val="38"/>
  </w:num>
  <w:num w:numId="31">
    <w:abstractNumId w:val="18"/>
  </w:num>
  <w:num w:numId="32">
    <w:abstractNumId w:val="35"/>
  </w:num>
  <w:num w:numId="33">
    <w:abstractNumId w:val="7"/>
  </w:num>
  <w:num w:numId="34">
    <w:abstractNumId w:val="16"/>
  </w:num>
  <w:num w:numId="35">
    <w:abstractNumId w:val="37"/>
  </w:num>
  <w:num w:numId="36">
    <w:abstractNumId w:val="17"/>
  </w:num>
  <w:num w:numId="37">
    <w:abstractNumId w:val="14"/>
  </w:num>
  <w:num w:numId="38">
    <w:abstractNumId w:val="26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765DC"/>
    <w:rsid w:val="003E3126"/>
    <w:rsid w:val="004D4D6B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7C605B"/>
    <w:rsid w:val="00814073"/>
    <w:rsid w:val="00826F0D"/>
    <w:rsid w:val="00893B92"/>
    <w:rsid w:val="008C70A2"/>
    <w:rsid w:val="009773E4"/>
    <w:rsid w:val="009B171C"/>
    <w:rsid w:val="009F1313"/>
    <w:rsid w:val="00A20351"/>
    <w:rsid w:val="00A54493"/>
    <w:rsid w:val="00AA23EC"/>
    <w:rsid w:val="00AC63CE"/>
    <w:rsid w:val="00AE2107"/>
    <w:rsid w:val="00B275A8"/>
    <w:rsid w:val="00BF2600"/>
    <w:rsid w:val="00C0049F"/>
    <w:rsid w:val="00C07B84"/>
    <w:rsid w:val="00C33464"/>
    <w:rsid w:val="00C809A7"/>
    <w:rsid w:val="00C83063"/>
    <w:rsid w:val="00C87E90"/>
    <w:rsid w:val="00CA1B57"/>
    <w:rsid w:val="00D86297"/>
    <w:rsid w:val="00DD466D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1"/>
    <w:basedOn w:val="3"/>
    <w:next w:val="a"/>
    <w:link w:val="12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2">
    <w:name w:val="Стил1 Знак"/>
    <w:basedOn w:val="30"/>
    <w:link w:val="1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30">
    <w:name w:val="Заглавие 3 Знак"/>
    <w:basedOn w:val="a0"/>
    <w:link w:val="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a3">
    <w:name w:val="List Paragraph"/>
    <w:basedOn w:val="a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a4">
    <w:name w:val="Table Grid"/>
    <w:basedOn w:val="a1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2106</Words>
  <Characters>12009</Characters>
  <Application>Microsoft Office Word</Application>
  <DocSecurity>0</DocSecurity>
  <Lines>100</Lines>
  <Paragraphs>28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ВАСИЛЕВ</cp:lastModifiedBy>
  <cp:revision>2</cp:revision>
  <dcterms:created xsi:type="dcterms:W3CDTF">2021-11-01T11:50:00Z</dcterms:created>
  <dcterms:modified xsi:type="dcterms:W3CDTF">2021-11-01T11:50:00Z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