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0308FB46" w:rsidR="009F77A4" w:rsidRDefault="00DD466D" w:rsidP="00387A66">
      <w:pPr>
        <w:pStyle w:val="Heading1"/>
      </w:pPr>
      <w:r>
        <w:t>1.ИМЕ НА ЛЕКАРСТВЕНИЯ ПРОДУКТ</w:t>
      </w:r>
    </w:p>
    <w:p w14:paraId="2F47DF6F" w14:textId="77777777" w:rsidR="00CC52BD" w:rsidRDefault="00CC52BD" w:rsidP="00CC52BD"/>
    <w:p w14:paraId="433D57BE" w14:textId="77777777" w:rsidR="00CC52BD" w:rsidRDefault="00CC52BD" w:rsidP="00CC52BD">
      <w:r>
        <w:rPr>
          <w:lang w:eastAsia="bg-BG"/>
        </w:rPr>
        <w:t xml:space="preserve">Ксефо 8 </w:t>
      </w:r>
      <w:r>
        <w:t xml:space="preserve">mg </w:t>
      </w:r>
      <w:r>
        <w:rPr>
          <w:lang w:eastAsia="bg-BG"/>
        </w:rPr>
        <w:t xml:space="preserve">прах и разтворител за инжекционен разтвор (4 </w:t>
      </w:r>
      <w:r>
        <w:t xml:space="preserve">mg/ml, </w:t>
      </w:r>
      <w:r>
        <w:rPr>
          <w:lang w:eastAsia="bg-BG"/>
        </w:rPr>
        <w:t xml:space="preserve">2 </w:t>
      </w:r>
      <w:r>
        <w:t xml:space="preserve">ml) </w:t>
      </w:r>
    </w:p>
    <w:p w14:paraId="61C16847" w14:textId="4EF25F42" w:rsidR="00CC52BD" w:rsidRPr="00CC52BD" w:rsidRDefault="00CC52BD" w:rsidP="00CC52BD">
      <w:r>
        <w:t xml:space="preserve">Xefo </w:t>
      </w:r>
      <w:r>
        <w:rPr>
          <w:lang w:eastAsia="bg-BG"/>
        </w:rPr>
        <w:t xml:space="preserve">8 </w:t>
      </w:r>
      <w:r>
        <w:t>mg powder and solvent for solution for injection (4 mg/ml, 2ml)</w:t>
      </w:r>
    </w:p>
    <w:p w14:paraId="0DF202EC" w14:textId="10882A08" w:rsidR="00F53FB7" w:rsidRDefault="00DD466D" w:rsidP="00A93499">
      <w:pPr>
        <w:pStyle w:val="Heading1"/>
      </w:pPr>
      <w:r>
        <w:t>2. КАЧЕСТВЕН И КОЛИЧЕСТВЕН СЪСТАВ</w:t>
      </w:r>
    </w:p>
    <w:p w14:paraId="467E63A9" w14:textId="77777777" w:rsidR="00CC52BD" w:rsidRDefault="00CC52BD" w:rsidP="00CC52BD"/>
    <w:p w14:paraId="29A6EFF1" w14:textId="11B814A4" w:rsidR="00CC52BD" w:rsidRDefault="00CC52BD" w:rsidP="00CC52BD">
      <w:pPr>
        <w:rPr>
          <w:lang w:val="en-US"/>
        </w:rPr>
      </w:pPr>
      <w:r>
        <w:t xml:space="preserve">Всеки флакон прах за инжекционен разтвор съдържа 8 </w:t>
      </w:r>
      <w:r>
        <w:rPr>
          <w:lang w:val="en-US"/>
        </w:rPr>
        <w:t xml:space="preserve">mg </w:t>
      </w:r>
      <w:r>
        <w:t xml:space="preserve">лорноксикам </w:t>
      </w:r>
      <w:r>
        <w:rPr>
          <w:lang w:val="en-US"/>
        </w:rPr>
        <w:t>(</w:t>
      </w:r>
      <w:proofErr w:type="spellStart"/>
      <w:r>
        <w:rPr>
          <w:lang w:val="en-US"/>
        </w:rPr>
        <w:t>lomoxicam</w:t>
      </w:r>
      <w:proofErr w:type="spellEnd"/>
      <w:r>
        <w:rPr>
          <w:lang w:val="en-US"/>
        </w:rPr>
        <w:t>).</w:t>
      </w:r>
    </w:p>
    <w:p w14:paraId="60F90AB6" w14:textId="77777777" w:rsidR="00CC52BD" w:rsidRPr="00CC52BD" w:rsidRDefault="00CC52BD" w:rsidP="00CC52BD"/>
    <w:p w14:paraId="4CABB9ED" w14:textId="2740FB4D" w:rsidR="00F53FB7" w:rsidRDefault="00DD466D" w:rsidP="00A93499">
      <w:pPr>
        <w:pStyle w:val="Heading1"/>
      </w:pPr>
      <w:r>
        <w:t>3. ЛЕКАРСТВЕНА ФОРМА</w:t>
      </w:r>
    </w:p>
    <w:p w14:paraId="63FBDDA8" w14:textId="77777777" w:rsidR="00CC52BD" w:rsidRDefault="00CC52BD" w:rsidP="00CC52BD"/>
    <w:p w14:paraId="6F1AD901" w14:textId="77777777" w:rsidR="00CC52BD" w:rsidRPr="00CC52BD" w:rsidRDefault="00CC52BD" w:rsidP="00CC52BD">
      <w:pPr>
        <w:rPr>
          <w:sz w:val="24"/>
          <w:szCs w:val="24"/>
          <w:lang w:eastAsia="bg-BG"/>
        </w:rPr>
      </w:pPr>
      <w:r w:rsidRPr="00CC52BD">
        <w:rPr>
          <w:lang w:eastAsia="bg-BG"/>
        </w:rPr>
        <w:t>Прах и разтворител за инжекционен разтвор.</w:t>
      </w:r>
      <w:r w:rsidRPr="00CC52BD">
        <w:rPr>
          <w:lang w:eastAsia="bg-BG"/>
        </w:rPr>
        <w:tab/>
      </w:r>
    </w:p>
    <w:p w14:paraId="1815D7FC" w14:textId="77777777" w:rsidR="00CC52BD" w:rsidRDefault="00CC52BD" w:rsidP="00CC52BD">
      <w:pPr>
        <w:rPr>
          <w:lang w:eastAsia="bg-BG"/>
        </w:rPr>
      </w:pPr>
    </w:p>
    <w:p w14:paraId="74AED9F4" w14:textId="3CB21D2B" w:rsidR="00CC52BD" w:rsidRPr="00CC52BD" w:rsidRDefault="00CC52BD" w:rsidP="00CC52BD">
      <w:r w:rsidRPr="00CC52BD">
        <w:rPr>
          <w:lang w:eastAsia="bg-BG"/>
        </w:rPr>
        <w:t xml:space="preserve">Прах: Жълто оцветена твърда субстанция в кехлибарен на цвят стъклен флакон. Разтворител: бистра, безцветна течност в безцветен флакон, без видими частици. Приготвеният разтвор има осмоларитет около 328 </w:t>
      </w:r>
      <w:proofErr w:type="spellStart"/>
      <w:r w:rsidRPr="00CC52BD">
        <w:rPr>
          <w:lang w:val="en-US"/>
        </w:rPr>
        <w:t>mosmol</w:t>
      </w:r>
      <w:proofErr w:type="spellEnd"/>
      <w:r w:rsidRPr="00CC52BD">
        <w:rPr>
          <w:lang w:val="en-US"/>
        </w:rPr>
        <w:t xml:space="preserve">/kg </w:t>
      </w:r>
      <w:r w:rsidRPr="00CC52BD">
        <w:rPr>
          <w:lang w:eastAsia="bg-BG"/>
        </w:rPr>
        <w:t xml:space="preserve">и </w:t>
      </w:r>
      <w:r w:rsidRPr="00CC52BD">
        <w:rPr>
          <w:lang w:val="en-US"/>
        </w:rPr>
        <w:t xml:space="preserve">pH </w:t>
      </w:r>
      <w:r w:rsidRPr="00CC52BD">
        <w:rPr>
          <w:lang w:eastAsia="bg-BG"/>
        </w:rPr>
        <w:t>около 8,7</w:t>
      </w:r>
      <w:r w:rsidRPr="00CC52BD">
        <w:rPr>
          <w:lang w:eastAsia="bg-BG"/>
        </w:rPr>
        <w:tab/>
      </w:r>
    </w:p>
    <w:p w14:paraId="490FC2C4" w14:textId="6899DE43" w:rsidR="002C50EE" w:rsidRDefault="002C50EE" w:rsidP="002C50EE">
      <w:pPr>
        <w:pStyle w:val="Heading1"/>
      </w:pPr>
      <w:r>
        <w:t>4. КЛИНИЧНИ ДАННИ</w:t>
      </w:r>
    </w:p>
    <w:p w14:paraId="461901E4" w14:textId="0A9C51D3" w:rsidR="009F77A4" w:rsidRDefault="002C50EE" w:rsidP="00387A66">
      <w:pPr>
        <w:pStyle w:val="Heading2"/>
      </w:pPr>
      <w:r>
        <w:t>4.1. Терапевтични показания</w:t>
      </w:r>
    </w:p>
    <w:p w14:paraId="0174450E" w14:textId="77777777" w:rsidR="00CC52BD" w:rsidRDefault="00CC52BD" w:rsidP="00CC52BD"/>
    <w:p w14:paraId="19E89943" w14:textId="240709DA" w:rsidR="00CC52BD" w:rsidRDefault="00CC52BD" w:rsidP="00CC52BD">
      <w:r>
        <w:t>Краткосрочно симптоматично на остра лека до умерена болка при възр</w:t>
      </w:r>
      <w:r>
        <w:rPr>
          <w:lang w:val="en-US"/>
        </w:rPr>
        <w:t>a</w:t>
      </w:r>
      <w:r>
        <w:t>стни.</w:t>
      </w:r>
    </w:p>
    <w:p w14:paraId="5821B9C7" w14:textId="77777777" w:rsidR="00CC52BD" w:rsidRPr="00CC52BD" w:rsidRDefault="00CC52BD" w:rsidP="00CC52BD"/>
    <w:p w14:paraId="31744E5A" w14:textId="29FBB145" w:rsidR="009F77A4" w:rsidRDefault="002C50EE" w:rsidP="00387A66">
      <w:pPr>
        <w:pStyle w:val="Heading2"/>
      </w:pPr>
      <w:r>
        <w:t>4.2. Дозировка и начин на приложение</w:t>
      </w:r>
    </w:p>
    <w:p w14:paraId="4B54B201" w14:textId="77777777" w:rsidR="00CC52BD" w:rsidRDefault="00CC52BD" w:rsidP="00CC52BD"/>
    <w:p w14:paraId="2FC06A4B" w14:textId="77777777" w:rsidR="00CC52BD" w:rsidRPr="00CC52BD" w:rsidRDefault="00CC52BD" w:rsidP="00CC52BD">
      <w:pPr>
        <w:pStyle w:val="Heading3"/>
        <w:rPr>
          <w:rFonts w:eastAsia="Times New Roman"/>
          <w:i/>
          <w:iCs/>
          <w:lang w:eastAsia="bg-BG"/>
        </w:rPr>
      </w:pPr>
      <w:r w:rsidRPr="00CC52BD">
        <w:rPr>
          <w:rFonts w:eastAsia="Times New Roman"/>
          <w:i/>
          <w:iCs/>
          <w:lang w:eastAsia="bg-BG"/>
        </w:rPr>
        <w:t>Дозировка</w:t>
      </w:r>
    </w:p>
    <w:p w14:paraId="60214D11" w14:textId="77777777" w:rsidR="00CC52BD" w:rsidRPr="00CC52BD" w:rsidRDefault="00CC52BD" w:rsidP="00CC52BD">
      <w:pPr>
        <w:spacing w:line="240" w:lineRule="auto"/>
        <w:rPr>
          <w:rFonts w:eastAsia="Times New Roman" w:cs="Arial"/>
          <w:color w:val="000000"/>
          <w:lang w:eastAsia="bg-BG"/>
        </w:rPr>
      </w:pPr>
    </w:p>
    <w:p w14:paraId="03BA7D84" w14:textId="18A72ACA"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Тази специфична лекарствена форма на трябва да се използва само ако е необходимо бързо облекчаване на болката или перорално приложение не е възможно. В повечето случаи трябва само една инжекция за започване на лечението.</w:t>
      </w:r>
    </w:p>
    <w:p w14:paraId="3B5AB30A" w14:textId="77777777" w:rsidR="00CC52BD" w:rsidRPr="00CC52BD" w:rsidRDefault="00CC52BD" w:rsidP="00CC52BD">
      <w:pPr>
        <w:spacing w:line="240" w:lineRule="auto"/>
        <w:rPr>
          <w:rFonts w:eastAsia="Times New Roman" w:cs="Arial"/>
          <w:color w:val="000000"/>
          <w:lang w:eastAsia="bg-BG"/>
        </w:rPr>
      </w:pPr>
    </w:p>
    <w:p w14:paraId="246DE242" w14:textId="78965C2A"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При всички пациенти подходящата схема на приложение трябва да се определя възоснова на индивидуалния отговор на лечението. Нежеланите реакции могат да бъдат сведени до минимум чрез прилагане на най-ниската ефективна доза за най-краткия период от време, не</w:t>
      </w:r>
      <w:r w:rsidRPr="00CC52BD">
        <w:rPr>
          <w:rFonts w:eastAsia="Times New Roman" w:cs="Arial"/>
          <w:color w:val="000000"/>
          <w:lang w:val="en-US"/>
        </w:rPr>
        <w:t>o</w:t>
      </w:r>
      <w:r w:rsidRPr="00CC52BD">
        <w:rPr>
          <w:rFonts w:eastAsia="Times New Roman" w:cs="Arial"/>
          <w:color w:val="000000"/>
          <w:lang w:eastAsia="bg-BG"/>
        </w:rPr>
        <w:t>бходим за контрол на симптоматиката (виж точка 4.4).</w:t>
      </w:r>
    </w:p>
    <w:p w14:paraId="2E504EF9" w14:textId="77777777" w:rsidR="00CC52BD" w:rsidRPr="00CC52BD" w:rsidRDefault="00CC52BD" w:rsidP="00CC52BD">
      <w:pPr>
        <w:spacing w:line="240" w:lineRule="auto"/>
        <w:rPr>
          <w:rFonts w:eastAsia="Times New Roman" w:cs="Arial"/>
          <w:color w:val="000000"/>
          <w:u w:val="single"/>
          <w:lang w:eastAsia="bg-BG"/>
        </w:rPr>
      </w:pPr>
    </w:p>
    <w:p w14:paraId="268DC563" w14:textId="2193632C" w:rsidR="00CC52BD" w:rsidRPr="00CC52BD" w:rsidRDefault="00CC52BD" w:rsidP="00CC52BD">
      <w:pPr>
        <w:spacing w:line="240" w:lineRule="auto"/>
        <w:rPr>
          <w:rFonts w:eastAsia="Times New Roman" w:cs="Arial"/>
          <w:lang w:eastAsia="bg-BG"/>
        </w:rPr>
      </w:pPr>
      <w:r w:rsidRPr="00CC52BD">
        <w:rPr>
          <w:rFonts w:eastAsia="Times New Roman" w:cs="Arial"/>
          <w:color w:val="000000"/>
          <w:u w:val="single"/>
          <w:lang w:eastAsia="bg-BG"/>
        </w:rPr>
        <w:t>Болка</w:t>
      </w:r>
    </w:p>
    <w:p w14:paraId="47E2ED43" w14:textId="77777777" w:rsidR="00CC52BD" w:rsidRPr="00CC52BD" w:rsidRDefault="00CC52BD" w:rsidP="00CC52BD">
      <w:pPr>
        <w:spacing w:line="240" w:lineRule="auto"/>
        <w:rPr>
          <w:rFonts w:eastAsia="Times New Roman" w:cs="Arial"/>
          <w:color w:val="000000"/>
          <w:lang w:eastAsia="bg-BG"/>
        </w:rPr>
      </w:pPr>
    </w:p>
    <w:p w14:paraId="27DA1E6A" w14:textId="59F284F1"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 xml:space="preserve">Препоръчвана доза: 8 </w:t>
      </w:r>
      <w:r w:rsidRPr="00CC52BD">
        <w:rPr>
          <w:rFonts w:eastAsia="Times New Roman" w:cs="Arial"/>
          <w:color w:val="000000"/>
          <w:lang w:val="en-US"/>
        </w:rPr>
        <w:t xml:space="preserve">mg </w:t>
      </w:r>
      <w:r w:rsidRPr="00CC52BD">
        <w:rPr>
          <w:rFonts w:eastAsia="Times New Roman" w:cs="Arial"/>
          <w:color w:val="000000"/>
          <w:lang w:eastAsia="bg-BG"/>
        </w:rPr>
        <w:t xml:space="preserve">интравенозно </w:t>
      </w:r>
      <w:r w:rsidRPr="00CC52BD">
        <w:rPr>
          <w:rFonts w:eastAsia="Times New Roman" w:cs="Arial"/>
          <w:color w:val="000000"/>
          <w:lang w:val="en-US"/>
        </w:rPr>
        <w:t>(</w:t>
      </w:r>
      <w:proofErr w:type="spellStart"/>
      <w:r w:rsidRPr="00CC52BD">
        <w:rPr>
          <w:rFonts w:eastAsia="Times New Roman" w:cs="Arial"/>
          <w:color w:val="000000"/>
          <w:lang w:val="en-US"/>
        </w:rPr>
        <w:t>i.v.</w:t>
      </w:r>
      <w:proofErr w:type="spellEnd"/>
      <w:r w:rsidRPr="00CC52BD">
        <w:rPr>
          <w:rFonts w:eastAsia="Times New Roman" w:cs="Arial"/>
          <w:color w:val="000000"/>
          <w:lang w:val="en-US"/>
        </w:rPr>
        <w:t xml:space="preserve">) </w:t>
      </w:r>
      <w:r w:rsidRPr="00CC52BD">
        <w:rPr>
          <w:rFonts w:eastAsia="Times New Roman" w:cs="Arial"/>
          <w:color w:val="000000"/>
          <w:lang w:eastAsia="bg-BG"/>
        </w:rPr>
        <w:t xml:space="preserve">или интрамускулно </w:t>
      </w:r>
      <w:r w:rsidRPr="00CC52BD">
        <w:rPr>
          <w:rFonts w:eastAsia="Times New Roman" w:cs="Arial"/>
          <w:color w:val="000000"/>
          <w:lang w:val="en-US"/>
        </w:rPr>
        <w:t>(</w:t>
      </w:r>
      <w:proofErr w:type="spellStart"/>
      <w:r w:rsidRPr="00CC52BD">
        <w:rPr>
          <w:rFonts w:eastAsia="Times New Roman" w:cs="Arial"/>
          <w:color w:val="000000"/>
          <w:lang w:val="en-US"/>
        </w:rPr>
        <w:t>i.m.</w:t>
      </w:r>
      <w:proofErr w:type="spellEnd"/>
      <w:r w:rsidRPr="00CC52BD">
        <w:rPr>
          <w:rFonts w:eastAsia="Times New Roman" w:cs="Arial"/>
          <w:color w:val="000000"/>
          <w:lang w:val="en-US"/>
        </w:rPr>
        <w:t xml:space="preserve">). </w:t>
      </w:r>
      <w:r w:rsidRPr="00CC52BD">
        <w:rPr>
          <w:rFonts w:eastAsia="Times New Roman" w:cs="Arial"/>
          <w:color w:val="000000"/>
          <w:lang w:eastAsia="bg-BG"/>
        </w:rPr>
        <w:t xml:space="preserve">Дневната доза не трябва да надвишава 16 </w:t>
      </w:r>
      <w:r w:rsidRPr="00CC52BD">
        <w:rPr>
          <w:rFonts w:eastAsia="Times New Roman" w:cs="Arial"/>
          <w:color w:val="000000"/>
          <w:lang w:val="en-US"/>
        </w:rPr>
        <w:t xml:space="preserve">mg. </w:t>
      </w:r>
      <w:r w:rsidRPr="00CC52BD">
        <w:rPr>
          <w:rFonts w:eastAsia="Times New Roman" w:cs="Arial"/>
          <w:color w:val="000000"/>
          <w:lang w:eastAsia="bg-BG"/>
        </w:rPr>
        <w:t xml:space="preserve">При някои пациенти може да има нужда през първите 24 часа да се приложат допълнително 8 </w:t>
      </w:r>
      <w:r w:rsidRPr="00CC52BD">
        <w:rPr>
          <w:rFonts w:eastAsia="Times New Roman" w:cs="Arial"/>
          <w:color w:val="000000"/>
          <w:lang w:val="en-US"/>
        </w:rPr>
        <w:t>mg.</w:t>
      </w:r>
    </w:p>
    <w:p w14:paraId="274489A8" w14:textId="77777777" w:rsidR="00CC52BD" w:rsidRPr="00CC52BD" w:rsidRDefault="00CC52BD" w:rsidP="00CC52BD">
      <w:pPr>
        <w:spacing w:line="240" w:lineRule="auto"/>
        <w:rPr>
          <w:rFonts w:eastAsia="Times New Roman" w:cs="Arial"/>
          <w:i/>
          <w:iCs/>
          <w:color w:val="000000"/>
          <w:u w:val="single"/>
          <w:lang w:eastAsia="bg-BG"/>
        </w:rPr>
      </w:pPr>
    </w:p>
    <w:p w14:paraId="75CD8BDE" w14:textId="67B509C4" w:rsidR="00CC52BD" w:rsidRPr="00CC52BD" w:rsidRDefault="00CC52BD" w:rsidP="00CC52BD">
      <w:pPr>
        <w:spacing w:line="240" w:lineRule="auto"/>
        <w:rPr>
          <w:rFonts w:eastAsia="Times New Roman" w:cs="Arial"/>
          <w:lang w:eastAsia="bg-BG"/>
        </w:rPr>
      </w:pPr>
      <w:r w:rsidRPr="00CC52BD">
        <w:rPr>
          <w:rFonts w:eastAsia="Times New Roman" w:cs="Arial"/>
          <w:i/>
          <w:iCs/>
          <w:color w:val="000000"/>
          <w:u w:val="single"/>
          <w:lang w:eastAsia="bg-BG"/>
        </w:rPr>
        <w:t>Специални популации</w:t>
      </w:r>
    </w:p>
    <w:p w14:paraId="4180BF90" w14:textId="77777777" w:rsidR="00CC52BD" w:rsidRPr="00CC52BD" w:rsidRDefault="00CC52BD" w:rsidP="00CC52BD">
      <w:pPr>
        <w:spacing w:line="240" w:lineRule="auto"/>
        <w:rPr>
          <w:rFonts w:eastAsia="Times New Roman" w:cs="Arial"/>
          <w:color w:val="000000"/>
          <w:u w:val="single"/>
          <w:lang w:eastAsia="bg-BG"/>
        </w:rPr>
      </w:pPr>
    </w:p>
    <w:p w14:paraId="697BA8CD" w14:textId="0B61C9A0" w:rsidR="00CC52BD" w:rsidRPr="00CC52BD" w:rsidRDefault="00CC52BD" w:rsidP="00CC52BD">
      <w:pPr>
        <w:spacing w:line="240" w:lineRule="auto"/>
        <w:rPr>
          <w:rFonts w:eastAsia="Times New Roman" w:cs="Arial"/>
          <w:lang w:eastAsia="bg-BG"/>
        </w:rPr>
      </w:pPr>
      <w:r w:rsidRPr="00CC52BD">
        <w:rPr>
          <w:rFonts w:eastAsia="Times New Roman" w:cs="Arial"/>
          <w:color w:val="000000"/>
          <w:u w:val="single"/>
          <w:lang w:eastAsia="bg-BG"/>
        </w:rPr>
        <w:t>Педиатрична популация</w:t>
      </w:r>
    </w:p>
    <w:p w14:paraId="4807A2B4" w14:textId="77777777"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Лорноксикам не се препоръчва за употреба при деца и юноши под 18-годишна</w:t>
      </w:r>
      <w:r w:rsidRPr="00CC52BD">
        <w:rPr>
          <w:rFonts w:eastAsia="Times New Roman" w:cs="Arial"/>
          <w:color w:val="000000"/>
          <w:lang w:val="en-US"/>
        </w:rPr>
        <w:t xml:space="preserve"> </w:t>
      </w:r>
      <w:r w:rsidRPr="00CC52BD">
        <w:rPr>
          <w:rFonts w:eastAsia="Times New Roman" w:cs="Arial"/>
          <w:color w:val="000000"/>
          <w:lang w:eastAsia="bg-BG"/>
        </w:rPr>
        <w:t>възраст, поради липсата на данни за безопасността и ефикасността.</w:t>
      </w:r>
    </w:p>
    <w:p w14:paraId="103808E0" w14:textId="77777777" w:rsidR="00CC52BD" w:rsidRPr="00CC52BD" w:rsidRDefault="00CC52BD" w:rsidP="00CC52BD">
      <w:pPr>
        <w:spacing w:line="240" w:lineRule="auto"/>
        <w:rPr>
          <w:rFonts w:eastAsia="Times New Roman" w:cs="Arial"/>
          <w:color w:val="000000"/>
          <w:u w:val="single"/>
          <w:lang w:eastAsia="bg-BG"/>
        </w:rPr>
      </w:pPr>
    </w:p>
    <w:p w14:paraId="67F9B23F" w14:textId="0341D93F" w:rsidR="00CC52BD" w:rsidRPr="00CC52BD" w:rsidRDefault="00CC52BD" w:rsidP="00CC52BD">
      <w:pPr>
        <w:spacing w:line="240" w:lineRule="auto"/>
        <w:rPr>
          <w:rFonts w:eastAsia="Times New Roman" w:cs="Arial"/>
          <w:lang w:eastAsia="bg-BG"/>
        </w:rPr>
      </w:pPr>
      <w:r w:rsidRPr="00CC52BD">
        <w:rPr>
          <w:rFonts w:eastAsia="Times New Roman" w:cs="Arial"/>
          <w:color w:val="000000"/>
          <w:u w:val="single"/>
          <w:lang w:eastAsia="bg-BG"/>
        </w:rPr>
        <w:t>Старческа възраст</w:t>
      </w:r>
    </w:p>
    <w:p w14:paraId="046266B4" w14:textId="77777777" w:rsidR="00CC52BD" w:rsidRPr="00CC52BD" w:rsidRDefault="00CC52BD" w:rsidP="00CC52BD">
      <w:pPr>
        <w:rPr>
          <w:rFonts w:eastAsia="Times New Roman" w:cs="Arial"/>
          <w:lang w:eastAsia="bg-BG"/>
        </w:rPr>
      </w:pPr>
      <w:r w:rsidRPr="00CC52BD">
        <w:rPr>
          <w:rFonts w:eastAsia="Times New Roman" w:cs="Arial"/>
          <w:color w:val="000000"/>
          <w:lang w:eastAsia="bg-BG"/>
        </w:rPr>
        <w:t>Не се изискват специални промени в дозата при пациенти в старческа възраст над  65 години, освен ако не е увредена бъбречната или чернодробна функция, но лорноксикам трябва да се</w:t>
      </w:r>
      <w:r w:rsidRPr="00CC52BD">
        <w:rPr>
          <w:rFonts w:eastAsia="Times New Roman" w:cs="Arial"/>
          <w:color w:val="000000"/>
          <w:lang w:val="en-US" w:eastAsia="bg-BG"/>
        </w:rPr>
        <w:t xml:space="preserve"> </w:t>
      </w:r>
      <w:r w:rsidRPr="00CC52BD">
        <w:rPr>
          <w:rFonts w:eastAsia="Times New Roman" w:cs="Arial"/>
          <w:color w:val="000000"/>
          <w:lang w:eastAsia="bg-BG"/>
        </w:rPr>
        <w:t>прилага с повишено внимание, тъй като гастроинтестиналните нежелани реакции се понасят по-тежко от тази възрастова група (виж точка 4.4).</w:t>
      </w:r>
    </w:p>
    <w:p w14:paraId="4AF4221F" w14:textId="77777777" w:rsidR="00CC52BD" w:rsidRPr="00CC52BD" w:rsidRDefault="00CC52BD" w:rsidP="00CC52BD">
      <w:pPr>
        <w:spacing w:line="240" w:lineRule="auto"/>
        <w:rPr>
          <w:rFonts w:eastAsia="Times New Roman" w:cs="Arial"/>
          <w:color w:val="000000"/>
          <w:u w:val="single"/>
          <w:lang w:eastAsia="bg-BG"/>
        </w:rPr>
      </w:pPr>
    </w:p>
    <w:p w14:paraId="4E0AB4B9" w14:textId="638D9E05" w:rsidR="00CC52BD" w:rsidRPr="00CC52BD" w:rsidRDefault="00CC52BD" w:rsidP="00CC52BD">
      <w:pPr>
        <w:spacing w:line="240" w:lineRule="auto"/>
        <w:rPr>
          <w:rFonts w:eastAsia="Times New Roman" w:cs="Arial"/>
          <w:lang w:eastAsia="bg-BG"/>
        </w:rPr>
      </w:pPr>
      <w:r w:rsidRPr="00CC52BD">
        <w:rPr>
          <w:rFonts w:eastAsia="Times New Roman" w:cs="Arial"/>
          <w:color w:val="000000"/>
          <w:u w:val="single"/>
          <w:lang w:eastAsia="bg-BG"/>
        </w:rPr>
        <w:t>Бъбречно увреждане</w:t>
      </w:r>
    </w:p>
    <w:p w14:paraId="0BC4014D" w14:textId="77777777"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При пациентите с леко до умерено бъбречно увреждане трябва да се има предвид намаляване на дозата (виж точка 4.4). Лорноксикам е противопоказен при пациенти с тежко бъбречно увреждане (виж точка 4.3)</w:t>
      </w:r>
    </w:p>
    <w:p w14:paraId="0005957D" w14:textId="77777777" w:rsidR="00CC52BD" w:rsidRPr="00CC52BD" w:rsidRDefault="00CC52BD" w:rsidP="00CC52BD">
      <w:pPr>
        <w:spacing w:line="240" w:lineRule="auto"/>
        <w:rPr>
          <w:rFonts w:eastAsia="Times New Roman" w:cs="Arial"/>
          <w:color w:val="000000"/>
          <w:u w:val="single"/>
          <w:lang w:eastAsia="bg-BG"/>
        </w:rPr>
      </w:pPr>
    </w:p>
    <w:p w14:paraId="79729D5E" w14:textId="12CDE637" w:rsidR="00CC52BD" w:rsidRPr="00CC52BD" w:rsidRDefault="00CC52BD" w:rsidP="00CC52BD">
      <w:pPr>
        <w:spacing w:line="240" w:lineRule="auto"/>
        <w:rPr>
          <w:rFonts w:eastAsia="Times New Roman" w:cs="Arial"/>
          <w:lang w:eastAsia="bg-BG"/>
        </w:rPr>
      </w:pPr>
      <w:r w:rsidRPr="00CC52BD">
        <w:rPr>
          <w:rFonts w:eastAsia="Times New Roman" w:cs="Arial"/>
          <w:color w:val="000000"/>
          <w:u w:val="single"/>
          <w:lang w:eastAsia="bg-BG"/>
        </w:rPr>
        <w:t>Чернодробно увреждане</w:t>
      </w:r>
      <w:r w:rsidRPr="00CC52BD">
        <w:rPr>
          <w:rFonts w:eastAsia="Times New Roman" w:cs="Arial"/>
          <w:color w:val="000000"/>
          <w:lang w:eastAsia="bg-BG"/>
        </w:rPr>
        <w:tab/>
      </w:r>
    </w:p>
    <w:p w14:paraId="3D0C1A68" w14:textId="77777777"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При пациентите с умерено чернодробно увреждане трябва да се има предвид намаляване на дозата (виж точка 4.4). Лорноксикам е противопоказен при пациенти с тежко чернодробно увреждане (виж точка 4.3)</w:t>
      </w:r>
    </w:p>
    <w:p w14:paraId="6F679C97" w14:textId="77777777" w:rsidR="00CC52BD" w:rsidRPr="00CC52BD" w:rsidRDefault="00CC52BD" w:rsidP="00CC52BD">
      <w:pPr>
        <w:spacing w:line="240" w:lineRule="auto"/>
        <w:rPr>
          <w:rFonts w:eastAsia="Times New Roman" w:cs="Arial"/>
          <w:i/>
          <w:iCs/>
          <w:color w:val="000000"/>
          <w:u w:val="single"/>
          <w:lang w:eastAsia="bg-BG"/>
        </w:rPr>
      </w:pPr>
    </w:p>
    <w:p w14:paraId="145DD9FB" w14:textId="71449727" w:rsidR="00CC52BD" w:rsidRPr="00CC52BD" w:rsidRDefault="00CC52BD" w:rsidP="00CC52BD">
      <w:pPr>
        <w:pStyle w:val="Heading3"/>
        <w:rPr>
          <w:rFonts w:eastAsia="Times New Roman"/>
          <w:i/>
          <w:iCs/>
          <w:lang w:eastAsia="bg-BG"/>
        </w:rPr>
      </w:pPr>
      <w:r w:rsidRPr="00CC52BD">
        <w:rPr>
          <w:rFonts w:eastAsia="Times New Roman"/>
          <w:i/>
          <w:iCs/>
          <w:lang w:eastAsia="bg-BG"/>
        </w:rPr>
        <w:t>Начин на приложение</w:t>
      </w:r>
    </w:p>
    <w:p w14:paraId="1B048EDB" w14:textId="77777777" w:rsidR="00CC52BD" w:rsidRPr="00CC52BD" w:rsidRDefault="00CC52BD" w:rsidP="00CC52BD">
      <w:pPr>
        <w:spacing w:line="240" w:lineRule="auto"/>
        <w:rPr>
          <w:rFonts w:eastAsia="Times New Roman" w:cs="Arial"/>
          <w:color w:val="000000"/>
          <w:lang w:eastAsia="bg-BG"/>
        </w:rPr>
      </w:pPr>
    </w:p>
    <w:p w14:paraId="6F802F9F" w14:textId="74EF4A5C"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Този лекарствен продукт е само за еднократно приложение.</w:t>
      </w:r>
      <w:r w:rsidRPr="00CC52BD">
        <w:rPr>
          <w:rFonts w:eastAsia="Times New Roman" w:cs="Arial"/>
          <w:color w:val="000000"/>
          <w:lang w:eastAsia="bg-BG"/>
        </w:rPr>
        <w:tab/>
      </w:r>
    </w:p>
    <w:p w14:paraId="663B0ED4" w14:textId="77777777" w:rsidR="00CC52BD" w:rsidRPr="00CC52BD" w:rsidRDefault="00CC52BD" w:rsidP="00CC52BD">
      <w:pPr>
        <w:spacing w:line="240" w:lineRule="auto"/>
        <w:rPr>
          <w:rFonts w:eastAsia="Times New Roman" w:cs="Arial"/>
          <w:color w:val="000000"/>
          <w:lang w:eastAsia="bg-BG"/>
        </w:rPr>
      </w:pPr>
    </w:p>
    <w:p w14:paraId="41F8775B" w14:textId="7407B1C0" w:rsidR="00CC52BD" w:rsidRPr="00CC52BD" w:rsidRDefault="00CC52BD" w:rsidP="00CC52BD">
      <w:pPr>
        <w:spacing w:line="240" w:lineRule="auto"/>
        <w:rPr>
          <w:rFonts w:eastAsia="Times New Roman" w:cs="Arial"/>
          <w:color w:val="000000"/>
          <w:lang w:val="en-US"/>
        </w:rPr>
      </w:pPr>
      <w:r w:rsidRPr="00CC52BD">
        <w:rPr>
          <w:rFonts w:eastAsia="Times New Roman" w:cs="Arial"/>
          <w:color w:val="000000"/>
          <w:lang w:eastAsia="bg-BG"/>
        </w:rPr>
        <w:t xml:space="preserve">Пътят на приложение е интравенозна </w:t>
      </w:r>
      <w:r w:rsidRPr="00CC52BD">
        <w:rPr>
          <w:rFonts w:eastAsia="Times New Roman" w:cs="Arial"/>
          <w:color w:val="000000"/>
          <w:lang w:val="en-US"/>
        </w:rPr>
        <w:t>(</w:t>
      </w:r>
      <w:proofErr w:type="spellStart"/>
      <w:r w:rsidRPr="00CC52BD">
        <w:rPr>
          <w:rFonts w:eastAsia="Times New Roman" w:cs="Arial"/>
          <w:color w:val="000000"/>
          <w:lang w:val="en-US"/>
        </w:rPr>
        <w:t>i.v.</w:t>
      </w:r>
      <w:proofErr w:type="spellEnd"/>
      <w:r w:rsidRPr="00CC52BD">
        <w:rPr>
          <w:rFonts w:eastAsia="Times New Roman" w:cs="Arial"/>
          <w:color w:val="000000"/>
          <w:lang w:val="en-US"/>
        </w:rPr>
        <w:t xml:space="preserve">) </w:t>
      </w:r>
      <w:r w:rsidRPr="00CC52BD">
        <w:rPr>
          <w:rFonts w:eastAsia="Times New Roman" w:cs="Arial"/>
          <w:color w:val="000000"/>
          <w:lang w:eastAsia="bg-BG"/>
        </w:rPr>
        <w:t xml:space="preserve">или интрамускулна </w:t>
      </w:r>
      <w:r w:rsidRPr="00CC52BD">
        <w:rPr>
          <w:rFonts w:eastAsia="Times New Roman" w:cs="Arial"/>
          <w:color w:val="000000"/>
          <w:lang w:val="en-US"/>
        </w:rPr>
        <w:t>(</w:t>
      </w:r>
      <w:proofErr w:type="spellStart"/>
      <w:r w:rsidRPr="00CC52BD">
        <w:rPr>
          <w:rFonts w:eastAsia="Times New Roman" w:cs="Arial"/>
          <w:color w:val="000000"/>
          <w:lang w:val="en-US"/>
        </w:rPr>
        <w:t>i.m.</w:t>
      </w:r>
      <w:proofErr w:type="spellEnd"/>
      <w:r w:rsidRPr="00CC52BD">
        <w:rPr>
          <w:rFonts w:eastAsia="Times New Roman" w:cs="Arial"/>
          <w:color w:val="000000"/>
          <w:lang w:val="en-US"/>
        </w:rPr>
        <w:t xml:space="preserve">) </w:t>
      </w:r>
      <w:r w:rsidRPr="00CC52BD">
        <w:rPr>
          <w:rFonts w:eastAsia="Times New Roman" w:cs="Arial"/>
          <w:color w:val="000000"/>
          <w:lang w:eastAsia="bg-BG"/>
        </w:rPr>
        <w:t xml:space="preserve">инжекция. Когато се прилага като </w:t>
      </w:r>
      <w:proofErr w:type="spellStart"/>
      <w:r w:rsidRPr="00CC52BD">
        <w:rPr>
          <w:rFonts w:eastAsia="Times New Roman" w:cs="Arial"/>
          <w:color w:val="000000"/>
          <w:lang w:val="en-US"/>
        </w:rPr>
        <w:t>i.v.</w:t>
      </w:r>
      <w:proofErr w:type="spellEnd"/>
      <w:r w:rsidRPr="00CC52BD">
        <w:rPr>
          <w:rFonts w:eastAsia="Times New Roman" w:cs="Arial"/>
          <w:color w:val="000000"/>
          <w:lang w:val="en-US"/>
        </w:rPr>
        <w:t xml:space="preserve"> </w:t>
      </w:r>
    </w:p>
    <w:p w14:paraId="23AFE4DE" w14:textId="18E91C89"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 xml:space="preserve">инжекция, времето за инжектиране трябва да бъде поне 15 секунди, а като </w:t>
      </w:r>
      <w:proofErr w:type="spellStart"/>
      <w:r w:rsidRPr="00CC52BD">
        <w:rPr>
          <w:rFonts w:eastAsia="Times New Roman" w:cs="Arial"/>
          <w:color w:val="000000"/>
          <w:lang w:val="en-US"/>
        </w:rPr>
        <w:t>i.m.</w:t>
      </w:r>
      <w:proofErr w:type="spellEnd"/>
      <w:r w:rsidRPr="00CC52BD">
        <w:rPr>
          <w:rFonts w:eastAsia="Times New Roman" w:cs="Arial"/>
          <w:color w:val="000000"/>
          <w:lang w:val="en-US"/>
        </w:rPr>
        <w:t xml:space="preserve"> </w:t>
      </w:r>
      <w:r w:rsidRPr="00CC52BD">
        <w:rPr>
          <w:rFonts w:eastAsia="Times New Roman" w:cs="Arial"/>
          <w:color w:val="000000"/>
          <w:lang w:eastAsia="bg-BG"/>
        </w:rPr>
        <w:t>инжекция, поне 5 секунди.</w:t>
      </w:r>
    </w:p>
    <w:p w14:paraId="6E1FD277" w14:textId="77777777" w:rsidR="00CC52BD" w:rsidRPr="00CC52BD" w:rsidRDefault="00CC52BD" w:rsidP="00CC52BD">
      <w:pPr>
        <w:spacing w:line="240" w:lineRule="auto"/>
        <w:rPr>
          <w:rFonts w:eastAsia="Times New Roman" w:cs="Arial"/>
          <w:color w:val="000000"/>
          <w:lang w:eastAsia="bg-BG"/>
        </w:rPr>
      </w:pPr>
    </w:p>
    <w:p w14:paraId="2DEBE71A" w14:textId="02B4D36E"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 xml:space="preserve">След приготвянето на разтвора, иглата трябва да се смени. При </w:t>
      </w:r>
      <w:proofErr w:type="spellStart"/>
      <w:r w:rsidRPr="00CC52BD">
        <w:rPr>
          <w:rFonts w:eastAsia="Times New Roman" w:cs="Arial"/>
          <w:color w:val="000000"/>
          <w:lang w:val="en-US"/>
        </w:rPr>
        <w:t>i.m.</w:t>
      </w:r>
      <w:proofErr w:type="spellEnd"/>
      <w:r w:rsidRPr="00CC52BD">
        <w:rPr>
          <w:rFonts w:eastAsia="Times New Roman" w:cs="Arial"/>
          <w:color w:val="000000"/>
          <w:lang w:val="en-US"/>
        </w:rPr>
        <w:t xml:space="preserve"> </w:t>
      </w:r>
      <w:r w:rsidRPr="00CC52BD">
        <w:rPr>
          <w:rFonts w:eastAsia="Times New Roman" w:cs="Arial"/>
          <w:color w:val="000000"/>
          <w:lang w:eastAsia="bg-BG"/>
        </w:rPr>
        <w:t xml:space="preserve">инжекция използвайте достатъчно дълга игла за дълбока интрамускулна инжекция, ако е необходимо. </w:t>
      </w:r>
    </w:p>
    <w:p w14:paraId="71381970" w14:textId="1911892A" w:rsidR="00CC52BD" w:rsidRPr="00CC52BD" w:rsidRDefault="00CC52BD" w:rsidP="00CC52BD">
      <w:pPr>
        <w:spacing w:line="240" w:lineRule="auto"/>
        <w:rPr>
          <w:rFonts w:eastAsia="Times New Roman" w:cs="Arial"/>
          <w:lang w:val="en-US" w:eastAsia="bg-BG"/>
        </w:rPr>
      </w:pPr>
      <w:r w:rsidRPr="00CC52BD">
        <w:rPr>
          <w:rFonts w:eastAsia="Times New Roman" w:cs="Arial"/>
          <w:color w:val="000000"/>
          <w:lang w:eastAsia="bg-BG"/>
        </w:rPr>
        <w:t xml:space="preserve">За допълнителни указания относно работата с продукта преди приложението му (виж. </w:t>
      </w:r>
      <w:r w:rsidRPr="00CC52BD">
        <w:rPr>
          <w:rFonts w:eastAsia="Times New Roman" w:cs="Arial"/>
          <w:color w:val="000000"/>
          <w:lang w:eastAsia="bg-BG"/>
        </w:rPr>
        <w:t>Т</w:t>
      </w:r>
      <w:r w:rsidRPr="00CC52BD">
        <w:rPr>
          <w:rFonts w:eastAsia="Times New Roman" w:cs="Arial"/>
          <w:color w:val="000000"/>
          <w:lang w:eastAsia="bg-BG"/>
        </w:rPr>
        <w:t>очка</w:t>
      </w:r>
      <w:r w:rsidRPr="00CC52BD">
        <w:rPr>
          <w:rFonts w:eastAsia="Times New Roman" w:cs="Arial"/>
          <w:lang w:val="en-US" w:eastAsia="bg-BG"/>
        </w:rPr>
        <w:t xml:space="preserve"> 6.6).</w:t>
      </w:r>
    </w:p>
    <w:p w14:paraId="6E3DC61E" w14:textId="77777777" w:rsidR="00CC52BD" w:rsidRPr="00CC52BD" w:rsidRDefault="00CC52BD" w:rsidP="00CC52BD"/>
    <w:p w14:paraId="5D9E65DA" w14:textId="37CC7594" w:rsidR="009F77A4" w:rsidRDefault="002C50EE" w:rsidP="00387A66">
      <w:pPr>
        <w:pStyle w:val="Heading2"/>
      </w:pPr>
      <w:r>
        <w:t>4.3. Противопоказания</w:t>
      </w:r>
    </w:p>
    <w:p w14:paraId="0B2EC2DB" w14:textId="77777777" w:rsidR="00CC52BD" w:rsidRDefault="00CC52BD" w:rsidP="00CC52BD"/>
    <w:p w14:paraId="48A2739F"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Свръхчувствителност към активното вещество или някое от помощните вещества, изброени в точка 6.1;</w:t>
      </w:r>
    </w:p>
    <w:p w14:paraId="50BBCF69"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Тромбоцитопения;</w:t>
      </w:r>
    </w:p>
    <w:p w14:paraId="1E07F43C"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Свръхчувствителност (симптоми като астма, ринит, ангиоедем или уртикария) към други нестероидни противовъзпалителни лекарствени средства (НСПВЛС), в това число ацетилсалицилова киселина;</w:t>
      </w:r>
    </w:p>
    <w:p w14:paraId="0D7BB3B0"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Тежка сърдечна недостатъчност;</w:t>
      </w:r>
    </w:p>
    <w:p w14:paraId="21BB89A7"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Стомашно-чревно кървене, мозъчно-съдов кръвоизлив или нарушения на кръвосъсирването;</w:t>
      </w:r>
    </w:p>
    <w:p w14:paraId="0CDCC5D7"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lastRenderedPageBreak/>
        <w:t>Анамнеза за стомашно-чревно кървене или перфорация, свързани с предшестващо лечение с НСПВЛС;</w:t>
      </w:r>
      <w:r w:rsidRPr="00CC52BD">
        <w:rPr>
          <w:rFonts w:eastAsia="Times New Roman" w:cs="Arial"/>
          <w:color w:val="000000"/>
          <w:lang w:eastAsia="bg-BG"/>
        </w:rPr>
        <w:tab/>
      </w:r>
    </w:p>
    <w:p w14:paraId="1D733512"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Активна или анамнеза за рецидивираща пептична язва/кръвоизлив (два или повече отделни епизода на доказана язва или кървене);</w:t>
      </w:r>
      <w:r w:rsidRPr="00CC52BD">
        <w:rPr>
          <w:rFonts w:eastAsia="Times New Roman" w:cs="Arial"/>
          <w:color w:val="000000"/>
          <w:lang w:eastAsia="bg-BG"/>
        </w:rPr>
        <w:tab/>
      </w:r>
    </w:p>
    <w:p w14:paraId="01FF241D"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Тежко чернодробно увреждане;</w:t>
      </w:r>
      <w:r w:rsidRPr="00CC52BD">
        <w:rPr>
          <w:rFonts w:eastAsia="Times New Roman" w:cs="Arial"/>
          <w:color w:val="000000"/>
          <w:lang w:eastAsia="bg-BG"/>
        </w:rPr>
        <w:tab/>
      </w:r>
    </w:p>
    <w:p w14:paraId="1572CA1B"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 xml:space="preserve">Тежко бъбречно увреждане (серумен креатинин &gt; 700 </w:t>
      </w:r>
      <w:r w:rsidRPr="00CC52BD">
        <w:rPr>
          <w:rFonts w:eastAsia="Times New Roman" w:cs="Arial"/>
          <w:color w:val="000000"/>
          <w:lang w:val="en-US"/>
        </w:rPr>
        <w:t>(</w:t>
      </w:r>
      <w:r w:rsidRPr="00CC52BD">
        <w:rPr>
          <w:rFonts w:eastAsia="Times New Roman" w:cs="Arial"/>
          <w:color w:val="000000"/>
          <w:lang w:eastAsia="bg-BG"/>
        </w:rPr>
        <w:t>μ</w:t>
      </w:r>
      <w:r w:rsidRPr="00CC52BD">
        <w:rPr>
          <w:rFonts w:eastAsia="Times New Roman" w:cs="Arial"/>
          <w:color w:val="000000"/>
          <w:lang w:val="en-US"/>
        </w:rPr>
        <w:t>mol/l);</w:t>
      </w:r>
      <w:r w:rsidRPr="00CC52BD">
        <w:rPr>
          <w:rFonts w:eastAsia="Times New Roman" w:cs="Arial"/>
          <w:color w:val="000000"/>
          <w:lang w:val="en-US"/>
        </w:rPr>
        <w:tab/>
      </w:r>
    </w:p>
    <w:p w14:paraId="4A3F8BAB" w14:textId="38D9C54C"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Третият триместър на бременността (виж точка 4.6).</w:t>
      </w:r>
    </w:p>
    <w:p w14:paraId="3A3C8E82" w14:textId="77777777" w:rsidR="00CC52BD" w:rsidRPr="00CC52BD" w:rsidRDefault="00CC52BD" w:rsidP="00CC52BD">
      <w:pPr>
        <w:spacing w:line="240" w:lineRule="auto"/>
        <w:rPr>
          <w:rFonts w:ascii="Times New Roman" w:eastAsia="Times New Roman" w:hAnsi="Times New Roman" w:cs="Times New Roman"/>
          <w:color w:val="000000"/>
          <w:sz w:val="20"/>
          <w:szCs w:val="20"/>
          <w:lang w:eastAsia="bg-BG"/>
        </w:rPr>
      </w:pPr>
    </w:p>
    <w:p w14:paraId="1C27CE53" w14:textId="39C79156" w:rsidR="009F77A4" w:rsidRDefault="002C50EE" w:rsidP="00387A66">
      <w:pPr>
        <w:pStyle w:val="Heading2"/>
      </w:pPr>
      <w:r>
        <w:t>4.4. Специални предупреждения и предпазни мерки при употреба</w:t>
      </w:r>
    </w:p>
    <w:p w14:paraId="1EB7D794" w14:textId="77777777" w:rsidR="00CC52BD" w:rsidRDefault="00CC52BD" w:rsidP="00CC52BD"/>
    <w:p w14:paraId="40863513" w14:textId="77777777"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Лорноксикам намалява агрегацията на тромбоцитите и удължава времето на кървене, следователно трябва да се внимава, когато се прилага при пациенти с повишена склонност за кървене.</w:t>
      </w:r>
    </w:p>
    <w:p w14:paraId="27B5D651" w14:textId="77777777" w:rsidR="00CC52BD" w:rsidRPr="00CC52BD" w:rsidRDefault="00CC52BD" w:rsidP="00CC52BD">
      <w:pPr>
        <w:spacing w:line="240" w:lineRule="auto"/>
        <w:rPr>
          <w:rFonts w:eastAsia="Times New Roman" w:cs="Arial"/>
          <w:color w:val="000000"/>
          <w:lang w:eastAsia="bg-BG"/>
        </w:rPr>
      </w:pPr>
    </w:p>
    <w:p w14:paraId="540AEFD3" w14:textId="4223A491"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При следните нарушения, лорноксикам трябва да се прилага само след внимателна оценка на съотношението риск-полза при пациенти с:</w:t>
      </w:r>
    </w:p>
    <w:p w14:paraId="7213DA86" w14:textId="77777777" w:rsidR="00CC52BD" w:rsidRPr="00CC52BD" w:rsidRDefault="00CC52BD" w:rsidP="00CC52BD">
      <w:pPr>
        <w:pStyle w:val="ListParagraph"/>
        <w:numPr>
          <w:ilvl w:val="0"/>
          <w:numId w:val="2"/>
        </w:numPr>
        <w:rPr>
          <w:rFonts w:eastAsia="Times New Roman" w:cs="Arial"/>
          <w:color w:val="000000"/>
          <w:lang w:eastAsia="bg-BG"/>
        </w:rPr>
      </w:pPr>
      <w:r w:rsidRPr="00CC52BD">
        <w:rPr>
          <w:rFonts w:eastAsia="Times New Roman" w:cs="Arial"/>
          <w:color w:val="000000"/>
          <w:lang w:eastAsia="bg-BG"/>
        </w:rPr>
        <w:t xml:space="preserve">Бъбречно увреждане: лорноксикам трябва да се прилага с повишено внимание при пациенти с леко </w:t>
      </w:r>
      <w:r w:rsidRPr="00CC52BD">
        <w:rPr>
          <w:rFonts w:eastAsia="Times New Roman" w:cs="Arial"/>
          <w:color w:val="000000"/>
          <w:lang w:val="en-US" w:eastAsia="bg-BG"/>
        </w:rPr>
        <w:t xml:space="preserve"> </w:t>
      </w:r>
      <w:r w:rsidRPr="00CC52BD">
        <w:rPr>
          <w:rFonts w:eastAsia="Times New Roman" w:cs="Arial"/>
          <w:color w:val="000000"/>
          <w:lang w:eastAsia="bg-BG"/>
        </w:rPr>
        <w:t>(серумен креатинин 150-300 μ</w:t>
      </w:r>
      <w:r w:rsidRPr="00CC52BD">
        <w:rPr>
          <w:rFonts w:eastAsia="Times New Roman" w:cs="Arial"/>
          <w:color w:val="000000"/>
          <w:lang w:val="en-US"/>
        </w:rPr>
        <w:t>mol</w:t>
      </w:r>
      <w:r w:rsidRPr="00CC52BD">
        <w:rPr>
          <w:rFonts w:eastAsia="Times New Roman" w:cs="Arial"/>
          <w:color w:val="000000"/>
          <w:lang w:eastAsia="bg-BG"/>
        </w:rPr>
        <w:t>/</w:t>
      </w:r>
      <w:r w:rsidRPr="00CC52BD">
        <w:rPr>
          <w:rFonts w:eastAsia="Times New Roman" w:cs="Arial"/>
          <w:color w:val="000000"/>
          <w:lang w:val="en-US"/>
        </w:rPr>
        <w:t>l</w:t>
      </w:r>
      <w:r w:rsidRPr="00CC52BD">
        <w:rPr>
          <w:rFonts w:eastAsia="Times New Roman" w:cs="Arial"/>
          <w:color w:val="000000"/>
          <w:lang w:eastAsia="bg-BG"/>
        </w:rPr>
        <w:t>) до умерено (серумен креатинин 300-700  μ</w:t>
      </w:r>
      <w:r w:rsidRPr="00CC52BD">
        <w:rPr>
          <w:rFonts w:eastAsia="Times New Roman" w:cs="Arial"/>
          <w:color w:val="000000"/>
          <w:lang w:val="en-US"/>
        </w:rPr>
        <w:t>mol</w:t>
      </w:r>
      <w:r w:rsidRPr="00CC52BD">
        <w:rPr>
          <w:rFonts w:eastAsia="Times New Roman" w:cs="Arial"/>
          <w:color w:val="000000"/>
          <w:lang w:eastAsia="bg-BG"/>
        </w:rPr>
        <w:t>/</w:t>
      </w:r>
      <w:r w:rsidRPr="00CC52BD">
        <w:rPr>
          <w:rFonts w:eastAsia="Times New Roman" w:cs="Arial"/>
          <w:color w:val="000000"/>
          <w:lang w:val="en-US"/>
        </w:rPr>
        <w:t>l</w:t>
      </w:r>
      <w:r w:rsidRPr="00CC52BD">
        <w:rPr>
          <w:rFonts w:eastAsia="Times New Roman" w:cs="Arial"/>
          <w:color w:val="000000"/>
          <w:lang w:eastAsia="bg-BG"/>
        </w:rPr>
        <w:t>) бъбречно увреждане, поради зависимостта на бъбречния кръвоток от бъбречните простагландини (виж точка 4.2). Ако по време на лечението бъбречната функция се влоши лечението с лорноксикам трябва да бъде преустановено;</w:t>
      </w:r>
    </w:p>
    <w:p w14:paraId="23C93940" w14:textId="77777777" w:rsidR="00CC52BD" w:rsidRPr="00CC52BD" w:rsidRDefault="00CC52BD" w:rsidP="00CC52BD">
      <w:pPr>
        <w:pStyle w:val="ListParagraph"/>
        <w:numPr>
          <w:ilvl w:val="0"/>
          <w:numId w:val="2"/>
        </w:numPr>
        <w:rPr>
          <w:rFonts w:eastAsia="Times New Roman" w:cs="Arial"/>
          <w:color w:val="000000"/>
          <w:lang w:eastAsia="bg-BG"/>
        </w:rPr>
      </w:pPr>
      <w:r w:rsidRPr="00CC52BD">
        <w:rPr>
          <w:rFonts w:eastAsia="Times New Roman" w:cs="Arial"/>
          <w:color w:val="000000"/>
          <w:lang w:eastAsia="bg-BG"/>
        </w:rPr>
        <w:t>Бъбречните функции трябва да бъдат проследявани при пациенти:</w:t>
      </w:r>
    </w:p>
    <w:p w14:paraId="0F2F65EE" w14:textId="77777777" w:rsidR="00CC52BD" w:rsidRPr="00CC52BD" w:rsidRDefault="00CC52BD" w:rsidP="00CC52BD">
      <w:pPr>
        <w:pStyle w:val="ListParagraph"/>
        <w:numPr>
          <w:ilvl w:val="0"/>
          <w:numId w:val="2"/>
        </w:numPr>
        <w:rPr>
          <w:rFonts w:eastAsia="Times New Roman" w:cs="Arial"/>
          <w:color w:val="000000"/>
          <w:lang w:eastAsia="bg-BG"/>
        </w:rPr>
      </w:pPr>
      <w:r w:rsidRPr="00CC52BD">
        <w:rPr>
          <w:rFonts w:eastAsia="Times New Roman" w:cs="Arial"/>
          <w:color w:val="000000"/>
          <w:lang w:eastAsia="bg-BG"/>
        </w:rPr>
        <w:t>подлагани на големи хирургични интервенции.</w:t>
      </w:r>
    </w:p>
    <w:p w14:paraId="5FB7477A" w14:textId="77777777" w:rsidR="00CC52BD" w:rsidRPr="00CC52BD" w:rsidRDefault="00CC52BD" w:rsidP="00CC52BD">
      <w:pPr>
        <w:pStyle w:val="ListParagraph"/>
        <w:numPr>
          <w:ilvl w:val="0"/>
          <w:numId w:val="2"/>
        </w:numPr>
        <w:rPr>
          <w:rFonts w:eastAsia="Times New Roman" w:cs="Arial"/>
          <w:color w:val="000000"/>
          <w:lang w:eastAsia="bg-BG"/>
        </w:rPr>
      </w:pPr>
      <w:r w:rsidRPr="00CC52BD">
        <w:rPr>
          <w:rFonts w:eastAsia="Times New Roman" w:cs="Arial"/>
          <w:color w:val="000000"/>
          <w:lang w:eastAsia="bg-BG"/>
        </w:rPr>
        <w:t>със сърдечна недостатъчност, получаващи съпътстващо лечение с диуретици или лекарства, за които се предполага или се знае, че могат да причинят бъбречно увреждане (виж точка 4.5).</w:t>
      </w:r>
      <w:r w:rsidRPr="00CC52BD">
        <w:rPr>
          <w:rFonts w:eastAsia="Times New Roman" w:cs="Arial"/>
          <w:color w:val="000000"/>
          <w:lang w:eastAsia="bg-BG"/>
        </w:rPr>
        <w:tab/>
      </w:r>
    </w:p>
    <w:p w14:paraId="6AEE629F" w14:textId="77777777" w:rsidR="00CC52BD" w:rsidRPr="00CC52BD" w:rsidRDefault="00CC52BD" w:rsidP="00CC52BD">
      <w:pPr>
        <w:pStyle w:val="ListParagraph"/>
        <w:numPr>
          <w:ilvl w:val="0"/>
          <w:numId w:val="2"/>
        </w:numPr>
        <w:rPr>
          <w:rFonts w:eastAsia="Times New Roman" w:cs="Arial"/>
          <w:color w:val="000000"/>
          <w:lang w:eastAsia="bg-BG"/>
        </w:rPr>
      </w:pPr>
      <w:r w:rsidRPr="00CC52BD">
        <w:rPr>
          <w:rFonts w:eastAsia="Times New Roman" w:cs="Arial"/>
          <w:color w:val="000000"/>
          <w:lang w:eastAsia="bg-BG"/>
        </w:rPr>
        <w:t>Пациенти с нарушения в кръвосъсирването: препоръчва се внимателно клинично проследяване и лабораторна оценка (напр. АРТТ);</w:t>
      </w:r>
    </w:p>
    <w:p w14:paraId="35EFB44E" w14:textId="77777777" w:rsidR="00CC52BD" w:rsidRPr="00CC52BD" w:rsidRDefault="00CC52BD" w:rsidP="00CC52BD">
      <w:pPr>
        <w:pStyle w:val="ListParagraph"/>
        <w:numPr>
          <w:ilvl w:val="0"/>
          <w:numId w:val="2"/>
        </w:numPr>
        <w:rPr>
          <w:rFonts w:eastAsia="Times New Roman" w:cs="Arial"/>
          <w:color w:val="000000"/>
          <w:lang w:eastAsia="bg-BG"/>
        </w:rPr>
      </w:pPr>
      <w:r w:rsidRPr="00CC52BD">
        <w:rPr>
          <w:rFonts w:eastAsia="Times New Roman" w:cs="Arial"/>
          <w:color w:val="000000"/>
          <w:lang w:eastAsia="bg-BG"/>
        </w:rPr>
        <w:t xml:space="preserve">Чернодробно увреждане (напр. чернодробна цироза): при пациенти с чернодробно увреждане се препоръчват клинично проследяване и лабораторна оценка, тъй като след лечение с дневни дози от 12-16 </w:t>
      </w:r>
      <w:r w:rsidRPr="00CC52BD">
        <w:rPr>
          <w:rFonts w:eastAsia="Times New Roman" w:cs="Arial"/>
          <w:color w:val="000000"/>
          <w:lang w:val="en-US"/>
        </w:rPr>
        <w:t xml:space="preserve">mg </w:t>
      </w:r>
      <w:r w:rsidRPr="00CC52BD">
        <w:rPr>
          <w:rFonts w:eastAsia="Times New Roman" w:cs="Arial"/>
          <w:color w:val="000000"/>
          <w:lang w:eastAsia="bg-BG"/>
        </w:rPr>
        <w:t xml:space="preserve">може да настъпи кумулиране (повишаване на </w:t>
      </w:r>
      <w:r w:rsidRPr="00CC52BD">
        <w:rPr>
          <w:rFonts w:eastAsia="Times New Roman" w:cs="Arial"/>
          <w:color w:val="000000"/>
          <w:lang w:val="en-US"/>
        </w:rPr>
        <w:t xml:space="preserve">AUC) </w:t>
      </w:r>
      <w:r w:rsidRPr="00CC52BD">
        <w:rPr>
          <w:rFonts w:eastAsia="Times New Roman" w:cs="Arial"/>
          <w:color w:val="000000"/>
          <w:lang w:eastAsia="bg-BG"/>
        </w:rPr>
        <w:t>на лорноксикам (виж точка 5.2) Като изключим това, в сравнение със здрави индивиди изглежда, че чернодробното увреждане не повлиява фармакокинетичните параметри на лорноксикам;</w:t>
      </w:r>
      <w:r w:rsidRPr="00CC52BD">
        <w:rPr>
          <w:rFonts w:eastAsia="Times New Roman" w:cs="Arial"/>
          <w:color w:val="000000"/>
          <w:lang w:eastAsia="bg-BG"/>
        </w:rPr>
        <w:tab/>
      </w:r>
    </w:p>
    <w:p w14:paraId="02E245B9" w14:textId="76C31B00" w:rsidR="00CC52BD" w:rsidRPr="00CC52BD" w:rsidRDefault="00CC52BD" w:rsidP="00CC52BD">
      <w:pPr>
        <w:pStyle w:val="ListParagraph"/>
        <w:numPr>
          <w:ilvl w:val="0"/>
          <w:numId w:val="2"/>
        </w:numPr>
        <w:rPr>
          <w:rFonts w:eastAsia="Times New Roman" w:cs="Arial"/>
          <w:color w:val="000000"/>
          <w:lang w:eastAsia="bg-BG"/>
        </w:rPr>
      </w:pPr>
      <w:r w:rsidRPr="00CC52BD">
        <w:rPr>
          <w:rFonts w:eastAsia="Times New Roman" w:cs="Arial"/>
          <w:color w:val="000000"/>
          <w:lang w:eastAsia="bg-BG"/>
        </w:rPr>
        <w:t>Пациенти в старческа възраст над 65 години: препоръчва се проследяване на бъбречната и чернодробната функция. При пациенти в старческа възраст след операция се препоръчва повишено внимание.</w:t>
      </w:r>
    </w:p>
    <w:p w14:paraId="7515C1C3" w14:textId="77777777" w:rsidR="00CC52BD" w:rsidRPr="00CC52BD" w:rsidRDefault="00CC52BD" w:rsidP="00CC52BD">
      <w:pPr>
        <w:spacing w:line="240" w:lineRule="auto"/>
        <w:rPr>
          <w:rFonts w:eastAsia="Times New Roman" w:cs="Arial"/>
          <w:color w:val="000000"/>
          <w:u w:val="single"/>
          <w:lang w:eastAsia="bg-BG"/>
        </w:rPr>
      </w:pPr>
    </w:p>
    <w:p w14:paraId="3D9977FD" w14:textId="536F6F82" w:rsidR="00CC52BD" w:rsidRPr="00CC52BD" w:rsidRDefault="00CC52BD" w:rsidP="00CC52BD">
      <w:pPr>
        <w:spacing w:line="240" w:lineRule="auto"/>
        <w:rPr>
          <w:rFonts w:eastAsia="Times New Roman" w:cs="Arial"/>
          <w:lang w:eastAsia="bg-BG"/>
        </w:rPr>
      </w:pPr>
      <w:r w:rsidRPr="00CC52BD">
        <w:rPr>
          <w:rFonts w:eastAsia="Times New Roman" w:cs="Arial"/>
          <w:color w:val="000000"/>
          <w:u w:val="single"/>
          <w:lang w:eastAsia="bg-BG"/>
        </w:rPr>
        <w:t>Едновременно приложение с НСПВЛС</w:t>
      </w:r>
    </w:p>
    <w:p w14:paraId="439CFE14" w14:textId="77777777"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Употребата на лорноксикам едновременно с НСПВЛС (включително селективни инхибитори на циклооксигеназа-2), трябва да се избягва (виж точка 4.5).</w:t>
      </w:r>
    </w:p>
    <w:p w14:paraId="3AF0EFCB" w14:textId="77777777" w:rsidR="00CC52BD" w:rsidRPr="00CC52BD" w:rsidRDefault="00CC52BD" w:rsidP="00CC52BD">
      <w:pPr>
        <w:spacing w:line="240" w:lineRule="auto"/>
        <w:rPr>
          <w:rFonts w:eastAsia="Times New Roman" w:cs="Arial"/>
          <w:color w:val="000000"/>
          <w:u w:val="single"/>
          <w:lang w:eastAsia="bg-BG"/>
        </w:rPr>
      </w:pPr>
    </w:p>
    <w:p w14:paraId="78CC1596" w14:textId="5EB7597D" w:rsidR="00CC52BD" w:rsidRPr="00CC52BD" w:rsidRDefault="00CC52BD" w:rsidP="00CC52BD">
      <w:pPr>
        <w:spacing w:line="240" w:lineRule="auto"/>
        <w:rPr>
          <w:rFonts w:eastAsia="Times New Roman" w:cs="Arial"/>
          <w:lang w:eastAsia="bg-BG"/>
        </w:rPr>
      </w:pPr>
      <w:r w:rsidRPr="00CC52BD">
        <w:rPr>
          <w:rFonts w:eastAsia="Times New Roman" w:cs="Arial"/>
          <w:color w:val="000000"/>
          <w:u w:val="single"/>
          <w:lang w:eastAsia="bg-BG"/>
        </w:rPr>
        <w:t>Минимализиране на нежеланите реакции</w:t>
      </w:r>
    </w:p>
    <w:p w14:paraId="486510E8" w14:textId="77777777"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lastRenderedPageBreak/>
        <w:t>Нежеланите реакции могат да бъдат сведени до минимум, като се използва най-ниската ефективна доза за най-краткия период от време, необходим да се постигне контрол на симптомите (виж точка 4.2, както и стомашно-чревни и сърдечносъдови рискове по-долу).</w:t>
      </w:r>
    </w:p>
    <w:p w14:paraId="60085508" w14:textId="77777777" w:rsidR="00CC52BD" w:rsidRPr="00CC52BD" w:rsidRDefault="00CC52BD" w:rsidP="00CC52BD">
      <w:pPr>
        <w:spacing w:line="240" w:lineRule="auto"/>
        <w:rPr>
          <w:rFonts w:eastAsia="Times New Roman" w:cs="Arial"/>
          <w:color w:val="000000"/>
          <w:u w:val="single"/>
          <w:lang w:eastAsia="bg-BG"/>
        </w:rPr>
      </w:pPr>
    </w:p>
    <w:p w14:paraId="68466008" w14:textId="482C215A" w:rsidR="00CC52BD" w:rsidRPr="00CC52BD" w:rsidRDefault="00CC52BD" w:rsidP="00CC52BD">
      <w:pPr>
        <w:spacing w:line="240" w:lineRule="auto"/>
        <w:rPr>
          <w:rFonts w:eastAsia="Times New Roman" w:cs="Arial"/>
          <w:lang w:eastAsia="bg-BG"/>
        </w:rPr>
      </w:pPr>
      <w:r w:rsidRPr="00CC52BD">
        <w:rPr>
          <w:rFonts w:eastAsia="Times New Roman" w:cs="Arial"/>
          <w:color w:val="000000"/>
          <w:u w:val="single"/>
          <w:lang w:eastAsia="bg-BG"/>
        </w:rPr>
        <w:t>Стомашно-чревно кървене, язва и перфорация</w:t>
      </w:r>
    </w:p>
    <w:p w14:paraId="6EDF053F" w14:textId="77777777"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Стомашно-чревно кървене, язва и перфорация: стомашно-чревно кървене, язва или перфорация, които могат да бъдат фатални, са съобщавани при всички НСПВЛС по всяко време на лечението, с или без предупредителни симптоми или предишна анамнеза за сериозни стомашно- чревни инциденти.</w:t>
      </w:r>
    </w:p>
    <w:p w14:paraId="7FC18E40" w14:textId="77777777" w:rsidR="00CC52BD" w:rsidRPr="00CC52BD" w:rsidRDefault="00CC52BD" w:rsidP="00CC52BD">
      <w:pPr>
        <w:spacing w:line="240" w:lineRule="auto"/>
        <w:rPr>
          <w:rFonts w:eastAsia="Times New Roman" w:cs="Arial"/>
          <w:color w:val="000000"/>
          <w:lang w:eastAsia="bg-BG"/>
        </w:rPr>
      </w:pPr>
    </w:p>
    <w:p w14:paraId="7CD922C4" w14:textId="3AB2FDDB"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Рискът от стомашно-чревно кървене, язва или перфорация при повишаване на дозите на НСПВЛС е по-висок при пациентите с анамнеза за язва, особено, ако е била усложнена с кръвоизлив или перфорация (виж точка 4.3), както и при пациенти в старческа възраст. Тези пациенти трябва да започват лечението с възможно най-ниската доза (виж точка 4.2). При тези пациенти, както и при пациентите, при които се налага съпътстващо лечение с ниски дози ацетилсалицилова киселина или други лекарствени продукти които има вероятност да повишат стомашно-чревния риск (виж по- надолу и точка 4.5), трябва да се обмисли комбинирана терапия с протективни средства (напр. мизопросгол или инхибитори на протонната помпа). Препоръчва се клинично проследяване през определен интервал от време.</w:t>
      </w:r>
    </w:p>
    <w:p w14:paraId="72ED73EC" w14:textId="77777777" w:rsidR="00CC52BD" w:rsidRPr="00CC52BD" w:rsidRDefault="00CC52BD" w:rsidP="00CC52BD">
      <w:pPr>
        <w:spacing w:line="240" w:lineRule="auto"/>
        <w:rPr>
          <w:rFonts w:eastAsia="Times New Roman" w:cs="Arial"/>
          <w:color w:val="000000"/>
          <w:lang w:eastAsia="bg-BG"/>
        </w:rPr>
      </w:pPr>
    </w:p>
    <w:p w14:paraId="3117B429" w14:textId="3F7B2955"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Пациентите с анамнеза за стомашно-чревна токсичност, особено когато са в старческа възраст, трябва да бъдат инструктирани да съобщават всички необичайни коремни симптоми (по-специално стомашно-чревното кървене), особено в началните етапи на лечението.</w:t>
      </w:r>
    </w:p>
    <w:p w14:paraId="004E83DE" w14:textId="77777777" w:rsidR="00CC52BD" w:rsidRPr="00CC52BD" w:rsidRDefault="00CC52BD" w:rsidP="00CC52BD">
      <w:pPr>
        <w:spacing w:line="240" w:lineRule="auto"/>
        <w:rPr>
          <w:rFonts w:eastAsia="Times New Roman" w:cs="Arial"/>
          <w:color w:val="000000"/>
          <w:lang w:eastAsia="bg-BG"/>
        </w:rPr>
      </w:pPr>
    </w:p>
    <w:p w14:paraId="75676594" w14:textId="1A8520F8"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Препоръчва се повишено внимание при пациентите, получаващи едновременно лекарствени продукти, които могат да повишат риска от язва или кървене, като перорални коргикостероиди, антикоагуланти като варфарин, селективни инхибитори на обратния захват на серотонина или тромбоцитни антиагреганти като ацетилсалициловата киселина (виж точка 4.5).</w:t>
      </w:r>
    </w:p>
    <w:p w14:paraId="3F32AD53" w14:textId="77777777" w:rsidR="00CC52BD" w:rsidRPr="00CC52BD" w:rsidRDefault="00CC52BD" w:rsidP="00CC52BD">
      <w:pPr>
        <w:spacing w:line="240" w:lineRule="auto"/>
        <w:rPr>
          <w:rFonts w:eastAsia="Times New Roman" w:cs="Arial"/>
          <w:color w:val="000000"/>
          <w:lang w:eastAsia="bg-BG"/>
        </w:rPr>
      </w:pPr>
    </w:p>
    <w:p w14:paraId="1AB0D30F" w14:textId="5F2590D9"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Когато при пациентите, получаващи лорноксикам, се появи стомашно-чревно кървене или язва, лечението трябва да бъде спряно.</w:t>
      </w:r>
    </w:p>
    <w:p w14:paraId="4F1D230F" w14:textId="77777777" w:rsidR="00CC52BD" w:rsidRPr="00CC52BD" w:rsidRDefault="00CC52BD" w:rsidP="00CC52BD">
      <w:pPr>
        <w:spacing w:line="240" w:lineRule="auto"/>
        <w:rPr>
          <w:rFonts w:eastAsia="Times New Roman" w:cs="Arial"/>
          <w:color w:val="000000"/>
          <w:lang w:eastAsia="bg-BG"/>
        </w:rPr>
      </w:pPr>
    </w:p>
    <w:p w14:paraId="172E6DF7" w14:textId="77777777" w:rsidR="00CC52BD" w:rsidRPr="00CC52BD" w:rsidRDefault="00CC52BD" w:rsidP="00CC52BD">
      <w:pPr>
        <w:rPr>
          <w:rFonts w:eastAsia="Times New Roman" w:cs="Arial"/>
          <w:color w:val="000000"/>
          <w:lang w:eastAsia="bg-BG"/>
        </w:rPr>
      </w:pPr>
      <w:r w:rsidRPr="00CC52BD">
        <w:rPr>
          <w:rFonts w:eastAsia="Times New Roman" w:cs="Arial"/>
          <w:color w:val="000000"/>
          <w:lang w:eastAsia="bg-BG"/>
        </w:rPr>
        <w:t xml:space="preserve">НСПВЛС трябва да бъдат прилагани с повишено внимание при пациенти с анамнеза за стомашно- чревно заболяване (улцерозен колит, болест на </w:t>
      </w:r>
      <w:r w:rsidRPr="00CC52BD">
        <w:rPr>
          <w:rFonts w:eastAsia="Times New Roman" w:cs="Arial"/>
          <w:color w:val="000000"/>
          <w:lang w:val="en-US"/>
        </w:rPr>
        <w:t xml:space="preserve">Crohn), </w:t>
      </w:r>
      <w:r w:rsidRPr="00CC52BD">
        <w:rPr>
          <w:rFonts w:eastAsia="Times New Roman" w:cs="Arial"/>
          <w:color w:val="000000"/>
          <w:lang w:eastAsia="bg-BG"/>
        </w:rPr>
        <w:t xml:space="preserve">тъй като тяхното състояние може да се обостри (виж точка </w:t>
      </w:r>
    </w:p>
    <w:p w14:paraId="752709B7" w14:textId="7B376519" w:rsidR="00CC52BD" w:rsidRPr="00CC52BD" w:rsidRDefault="00CC52BD" w:rsidP="00CC52BD">
      <w:pPr>
        <w:rPr>
          <w:rFonts w:eastAsia="Times New Roman" w:cs="Arial"/>
          <w:lang w:eastAsia="bg-BG"/>
        </w:rPr>
      </w:pPr>
      <w:r w:rsidRPr="00CC52BD">
        <w:rPr>
          <w:rFonts w:eastAsia="Times New Roman" w:cs="Arial"/>
          <w:color w:val="000000"/>
          <w:lang w:eastAsia="bg-BG"/>
        </w:rPr>
        <w:t>4.8).</w:t>
      </w:r>
      <w:r w:rsidRPr="00CC52BD">
        <w:rPr>
          <w:rFonts w:eastAsia="Times New Roman" w:cs="Arial"/>
          <w:color w:val="000000"/>
          <w:lang w:eastAsia="bg-BG"/>
        </w:rPr>
        <w:tab/>
      </w:r>
    </w:p>
    <w:p w14:paraId="2B20C895" w14:textId="77777777" w:rsidR="00CC52BD" w:rsidRPr="00CC52BD" w:rsidRDefault="00CC52BD" w:rsidP="00CC52BD">
      <w:pPr>
        <w:spacing w:line="240" w:lineRule="auto"/>
        <w:rPr>
          <w:rFonts w:eastAsia="Times New Roman" w:cs="Arial"/>
          <w:color w:val="000000"/>
          <w:u w:val="single"/>
          <w:lang w:eastAsia="bg-BG"/>
        </w:rPr>
      </w:pPr>
    </w:p>
    <w:p w14:paraId="75ACB0A1" w14:textId="6B3D5633" w:rsidR="00CC52BD" w:rsidRPr="00CC52BD" w:rsidRDefault="00CC52BD" w:rsidP="00CC52BD">
      <w:pPr>
        <w:spacing w:line="240" w:lineRule="auto"/>
        <w:rPr>
          <w:rFonts w:eastAsia="Times New Roman" w:cs="Arial"/>
          <w:lang w:eastAsia="bg-BG"/>
        </w:rPr>
      </w:pPr>
      <w:r w:rsidRPr="00CC52BD">
        <w:rPr>
          <w:rFonts w:eastAsia="Times New Roman" w:cs="Arial"/>
          <w:color w:val="000000"/>
          <w:u w:val="single"/>
          <w:lang w:eastAsia="bg-BG"/>
        </w:rPr>
        <w:t>Пациенти в старческа възраст</w:t>
      </w:r>
    </w:p>
    <w:p w14:paraId="7D011A21" w14:textId="77777777"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При пациентите в старческа възраст има повишена честота на нежеланите реакции към НСПВЛС, по- специално стомашно-чревно кървене и перфорация, които могат да бъдат фатални (вж. точка 4.3).</w:t>
      </w:r>
    </w:p>
    <w:p w14:paraId="74970498" w14:textId="77777777" w:rsidR="00CC52BD" w:rsidRPr="00CC52BD" w:rsidRDefault="00CC52BD" w:rsidP="00CC52BD">
      <w:pPr>
        <w:spacing w:line="240" w:lineRule="auto"/>
        <w:rPr>
          <w:rFonts w:eastAsia="Times New Roman" w:cs="Arial"/>
          <w:color w:val="000000"/>
          <w:u w:val="single"/>
          <w:lang w:eastAsia="bg-BG"/>
        </w:rPr>
      </w:pPr>
    </w:p>
    <w:p w14:paraId="2E5457C1" w14:textId="23BBBEE4" w:rsidR="00CC52BD" w:rsidRPr="00CC52BD" w:rsidRDefault="00CC52BD" w:rsidP="00CC52BD">
      <w:pPr>
        <w:spacing w:line="240" w:lineRule="auto"/>
        <w:rPr>
          <w:rFonts w:eastAsia="Times New Roman" w:cs="Arial"/>
          <w:lang w:eastAsia="bg-BG"/>
        </w:rPr>
      </w:pPr>
      <w:r w:rsidRPr="00CC52BD">
        <w:rPr>
          <w:rFonts w:eastAsia="Times New Roman" w:cs="Arial"/>
          <w:color w:val="000000"/>
          <w:u w:val="single"/>
          <w:lang w:eastAsia="bg-BG"/>
        </w:rPr>
        <w:t>Кардиоваскуларни и цереброваскуларни ефекти</w:t>
      </w:r>
    </w:p>
    <w:p w14:paraId="74B75303" w14:textId="77777777"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Адекватно проследяване и консултация са необходими при пациенти с анамнеза, или налична в момента, хипертония и/или лека до умерена застойна сърдечна недостатъчност, тъй като има съобщения за задръжка на течности и оток при терапия с НСПВЛС.</w:t>
      </w:r>
    </w:p>
    <w:p w14:paraId="4B99AB11" w14:textId="77777777" w:rsidR="00CC52BD" w:rsidRPr="00CC52BD" w:rsidRDefault="00CC52BD" w:rsidP="00CC52BD">
      <w:pPr>
        <w:spacing w:line="240" w:lineRule="auto"/>
        <w:rPr>
          <w:rFonts w:eastAsia="Times New Roman" w:cs="Arial"/>
          <w:color w:val="000000"/>
          <w:lang w:eastAsia="bg-BG"/>
        </w:rPr>
      </w:pPr>
    </w:p>
    <w:p w14:paraId="37F89A5E" w14:textId="60983E44"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Данни от клинични изпитвания и епидемиологични проучвания предполагат, че използването на някои НСПВЛС, особено във високи дози и при продължително лечение, може да е свързано с повишен риск от артериални тромботични инциденти (напр. инфаркт на миокарда или инсулт). Няма достатъчно данни за изключване на такъв риск за лорноксикам.</w:t>
      </w:r>
    </w:p>
    <w:p w14:paraId="1D31164F" w14:textId="77777777" w:rsidR="00CC52BD" w:rsidRPr="00CC52BD" w:rsidRDefault="00CC52BD" w:rsidP="00CC52BD">
      <w:pPr>
        <w:spacing w:line="240" w:lineRule="auto"/>
        <w:rPr>
          <w:rFonts w:eastAsia="Times New Roman" w:cs="Arial"/>
          <w:color w:val="000000"/>
          <w:lang w:eastAsia="bg-BG"/>
        </w:rPr>
      </w:pPr>
    </w:p>
    <w:p w14:paraId="5746E0CA" w14:textId="61448863"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Пациенти с неконтролирана хипертония, застойна сърдечна недостатъчност, установена исхемична болест на сърцето, периферна артериална болест и/или мозъчно-съдова болест трябва да бъдат лекувани с лорноксикам само след внимателно обмисляне. По подобен начин трябва да бъдат разглеждани и пациенти с рискови фактори за сърдечносъдова болест (напр. хипертония, хиперлипидемия, захарен диабет, тютюнопушене) преди назначаване на дългосрочно лечение.</w:t>
      </w:r>
    </w:p>
    <w:p w14:paraId="2B250DCE" w14:textId="77777777" w:rsidR="00CC52BD" w:rsidRPr="00CC52BD" w:rsidRDefault="00CC52BD" w:rsidP="00CC52BD">
      <w:pPr>
        <w:spacing w:line="240" w:lineRule="auto"/>
        <w:rPr>
          <w:rFonts w:eastAsia="Times New Roman" w:cs="Arial"/>
          <w:color w:val="000000"/>
          <w:lang w:eastAsia="bg-BG"/>
        </w:rPr>
      </w:pPr>
    </w:p>
    <w:p w14:paraId="552A7AA6" w14:textId="7F318E17"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 xml:space="preserve">Едновременното лечение с НСПВЛС и хепарин във връзка с гръбначно-мозъчна или епидурална анестезия повишава риска от гръбначно-мозъчен/епидурален хематом (вж. точка 4.5). </w:t>
      </w:r>
    </w:p>
    <w:p w14:paraId="622EAC5E" w14:textId="77777777" w:rsidR="00CC52BD" w:rsidRPr="00CC52BD" w:rsidRDefault="00CC52BD" w:rsidP="00CC52BD">
      <w:pPr>
        <w:spacing w:line="240" w:lineRule="auto"/>
        <w:rPr>
          <w:rFonts w:eastAsia="Times New Roman" w:cs="Arial"/>
          <w:color w:val="000000"/>
          <w:u w:val="single"/>
          <w:lang w:eastAsia="bg-BG"/>
        </w:rPr>
      </w:pPr>
    </w:p>
    <w:p w14:paraId="59B02744" w14:textId="478F5EA5" w:rsidR="00CC52BD" w:rsidRPr="00CC52BD" w:rsidRDefault="00CC52BD" w:rsidP="00CC52BD">
      <w:pPr>
        <w:spacing w:line="240" w:lineRule="auto"/>
        <w:rPr>
          <w:rFonts w:eastAsia="Times New Roman" w:cs="Arial"/>
          <w:lang w:eastAsia="bg-BG"/>
        </w:rPr>
      </w:pPr>
      <w:r w:rsidRPr="00CC52BD">
        <w:rPr>
          <w:rFonts w:eastAsia="Times New Roman" w:cs="Arial"/>
          <w:color w:val="000000"/>
          <w:u w:val="single"/>
          <w:lang w:eastAsia="bg-BG"/>
        </w:rPr>
        <w:t>Кожни реакции</w:t>
      </w:r>
    </w:p>
    <w:p w14:paraId="55DF4A4C" w14:textId="77777777"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 xml:space="preserve">Сериозни кожни реакции, някои от които фатални, включително ексфолиативен дерматит, синдром на </w:t>
      </w:r>
      <w:r w:rsidRPr="00CC52BD">
        <w:rPr>
          <w:rFonts w:eastAsia="Times New Roman" w:cs="Arial"/>
          <w:color w:val="000000"/>
          <w:lang w:val="en-US"/>
        </w:rPr>
        <w:t xml:space="preserve">Stevens-Johnson </w:t>
      </w:r>
      <w:r w:rsidRPr="00CC52BD">
        <w:rPr>
          <w:rFonts w:eastAsia="Times New Roman" w:cs="Arial"/>
          <w:color w:val="000000"/>
          <w:lang w:eastAsia="bg-BG"/>
        </w:rPr>
        <w:t xml:space="preserve">и токсична епидермална некрслиза, са съобщавани много рядко във връзка с употребата на НСПВЛС (виж точка 4.8). Изглежда, че при пациентите рискът от развитие на тези реакции е най-висок в началото на лечението, които в повечето случаи настъпват през първия месец от лечението. Приемът на лорноксикам трябва да бъде преустановен при първите прояви на кожен обрив, мукозни лезии или други признаци на свръхчувствителност. </w:t>
      </w:r>
    </w:p>
    <w:p w14:paraId="72322358" w14:textId="77777777" w:rsidR="00CC52BD" w:rsidRPr="00CC52BD" w:rsidRDefault="00CC52BD" w:rsidP="00CC52BD">
      <w:pPr>
        <w:spacing w:line="240" w:lineRule="auto"/>
        <w:rPr>
          <w:rFonts w:eastAsia="Times New Roman" w:cs="Arial"/>
          <w:lang w:eastAsia="bg-BG"/>
        </w:rPr>
      </w:pPr>
    </w:p>
    <w:p w14:paraId="54A9087A" w14:textId="77777777" w:rsidR="00CC52BD" w:rsidRPr="00CC52BD" w:rsidRDefault="00CC52BD" w:rsidP="00CC52BD">
      <w:pPr>
        <w:spacing w:line="240" w:lineRule="auto"/>
        <w:rPr>
          <w:rFonts w:eastAsia="Times New Roman" w:cs="Arial"/>
          <w:color w:val="000000"/>
          <w:u w:val="single"/>
          <w:lang w:eastAsia="bg-BG"/>
        </w:rPr>
      </w:pPr>
    </w:p>
    <w:p w14:paraId="0882C9BA" w14:textId="3397767A" w:rsidR="00CC52BD" w:rsidRPr="00CC52BD" w:rsidRDefault="00CC52BD" w:rsidP="00CC52BD">
      <w:pPr>
        <w:spacing w:line="240" w:lineRule="auto"/>
        <w:rPr>
          <w:rFonts w:eastAsia="Times New Roman" w:cs="Arial"/>
          <w:lang w:eastAsia="bg-BG"/>
        </w:rPr>
      </w:pPr>
      <w:r w:rsidRPr="00CC52BD">
        <w:rPr>
          <w:rFonts w:eastAsia="Times New Roman" w:cs="Arial"/>
          <w:color w:val="000000"/>
          <w:u w:val="single"/>
          <w:lang w:eastAsia="bg-BG"/>
        </w:rPr>
        <w:t>Дихателни нарушения</w:t>
      </w:r>
    </w:p>
    <w:p w14:paraId="1C81A7A2" w14:textId="77777777"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Изисква се внимание при приложение на пациенти страдащи, или с история за бронхиална астма, като е докладвано, че НСПВЛС предизвикват бронхоспазъм при някои пациенти.</w:t>
      </w:r>
    </w:p>
    <w:p w14:paraId="4FC2DBEE" w14:textId="77777777" w:rsidR="00CC52BD" w:rsidRPr="00CC52BD" w:rsidRDefault="00CC52BD" w:rsidP="00CC52BD">
      <w:pPr>
        <w:spacing w:line="240" w:lineRule="auto"/>
        <w:rPr>
          <w:rFonts w:eastAsia="Times New Roman" w:cs="Arial"/>
          <w:color w:val="000000"/>
          <w:u w:val="single"/>
          <w:lang w:eastAsia="bg-BG"/>
        </w:rPr>
      </w:pPr>
    </w:p>
    <w:p w14:paraId="3508BB22" w14:textId="73B70835" w:rsidR="00CC52BD" w:rsidRPr="00CC52BD" w:rsidRDefault="00CC52BD" w:rsidP="00CC52BD">
      <w:pPr>
        <w:spacing w:line="240" w:lineRule="auto"/>
        <w:rPr>
          <w:rFonts w:eastAsia="Times New Roman" w:cs="Arial"/>
          <w:lang w:eastAsia="bg-BG"/>
        </w:rPr>
      </w:pPr>
      <w:r w:rsidRPr="00CC52BD">
        <w:rPr>
          <w:rFonts w:eastAsia="Times New Roman" w:cs="Arial"/>
          <w:color w:val="000000"/>
          <w:u w:val="single"/>
          <w:lang w:eastAsia="bg-BG"/>
        </w:rPr>
        <w:t>Системен лупус еритематодес или смесени заболявания на съединителната тъкан</w:t>
      </w:r>
      <w:r w:rsidRPr="00CC52BD">
        <w:rPr>
          <w:rFonts w:eastAsia="Times New Roman" w:cs="Arial"/>
          <w:color w:val="000000"/>
          <w:lang w:eastAsia="bg-BG"/>
        </w:rPr>
        <w:t xml:space="preserve"> </w:t>
      </w:r>
      <w:r w:rsidRPr="00CC52BD">
        <w:rPr>
          <w:rFonts w:eastAsia="Times New Roman" w:cs="Arial"/>
          <w:color w:val="000000"/>
          <w:vertAlign w:val="subscript"/>
          <w:lang w:eastAsia="bg-BG"/>
        </w:rPr>
        <w:t>;</w:t>
      </w:r>
    </w:p>
    <w:p w14:paraId="2AFFD38E" w14:textId="77777777"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Изисква се внимание при пациенти със системен лупус еритематодес или смесени заболявания на съединителната тъкан може би има повишен риск от асептичен менингит.</w:t>
      </w:r>
    </w:p>
    <w:p w14:paraId="0EBB5122" w14:textId="77777777" w:rsidR="00CC52BD" w:rsidRPr="00CC52BD" w:rsidRDefault="00CC52BD" w:rsidP="00CC52BD">
      <w:pPr>
        <w:spacing w:line="240" w:lineRule="auto"/>
        <w:rPr>
          <w:rFonts w:eastAsia="Times New Roman" w:cs="Arial"/>
          <w:color w:val="000000"/>
          <w:u w:val="single"/>
          <w:lang w:eastAsia="bg-BG"/>
        </w:rPr>
      </w:pPr>
    </w:p>
    <w:p w14:paraId="3363BE03" w14:textId="017C0AEA" w:rsidR="00CC52BD" w:rsidRPr="00CC52BD" w:rsidRDefault="00CC52BD" w:rsidP="00CC52BD">
      <w:pPr>
        <w:spacing w:line="240" w:lineRule="auto"/>
        <w:rPr>
          <w:rFonts w:eastAsia="Times New Roman" w:cs="Arial"/>
          <w:lang w:eastAsia="bg-BG"/>
        </w:rPr>
      </w:pPr>
      <w:r w:rsidRPr="00CC52BD">
        <w:rPr>
          <w:rFonts w:eastAsia="Times New Roman" w:cs="Arial"/>
          <w:color w:val="000000"/>
          <w:u w:val="single"/>
          <w:lang w:eastAsia="bg-BG"/>
        </w:rPr>
        <w:t>Нефротоксичност</w:t>
      </w:r>
    </w:p>
    <w:p w14:paraId="147D4140" w14:textId="77777777"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Едновременното лечение с НСПВЛС и такролимус може да повиши риска от нефротоксичност поради намален синтез на простациклин в бъбреците. Поради това бъбречната функция трябва да бъде проследявана внимателно при пациенти, получаващи комбинирана терапия (виж точка</w:t>
      </w:r>
    </w:p>
    <w:p w14:paraId="0C9D9655" w14:textId="243CE4A8" w:rsidR="00CC52BD" w:rsidRPr="00CC52BD" w:rsidRDefault="00CC52BD" w:rsidP="00CC52BD">
      <w:pPr>
        <w:spacing w:line="240" w:lineRule="auto"/>
        <w:rPr>
          <w:rFonts w:eastAsia="Times New Roman" w:cs="Arial"/>
          <w:color w:val="000000"/>
          <w:lang w:eastAsia="bg-BG"/>
        </w:rPr>
      </w:pPr>
      <w:r w:rsidRPr="00CC52BD">
        <w:rPr>
          <w:rFonts w:eastAsia="Times New Roman" w:cs="Arial"/>
          <w:color w:val="000000"/>
          <w:lang w:eastAsia="bg-BG"/>
        </w:rPr>
        <w:t>4.5).</w:t>
      </w:r>
    </w:p>
    <w:p w14:paraId="5FC1B8E5" w14:textId="77777777" w:rsidR="00CC52BD" w:rsidRPr="00CC52BD" w:rsidRDefault="00CC52BD" w:rsidP="00CC52BD">
      <w:pPr>
        <w:spacing w:line="240" w:lineRule="auto"/>
        <w:rPr>
          <w:rFonts w:eastAsia="Times New Roman" w:cs="Arial"/>
          <w:color w:val="000000"/>
          <w:lang w:eastAsia="bg-BG"/>
        </w:rPr>
      </w:pPr>
    </w:p>
    <w:p w14:paraId="5E235C03" w14:textId="77777777" w:rsidR="00CC52BD" w:rsidRPr="00CC52BD" w:rsidRDefault="00CC52BD" w:rsidP="00CC52BD">
      <w:pPr>
        <w:spacing w:line="240" w:lineRule="auto"/>
        <w:rPr>
          <w:rFonts w:eastAsia="Times New Roman" w:cs="Arial"/>
          <w:lang w:eastAsia="bg-BG"/>
        </w:rPr>
      </w:pPr>
      <w:r w:rsidRPr="00CC52BD">
        <w:rPr>
          <w:rFonts w:eastAsia="Times New Roman" w:cs="Arial"/>
          <w:color w:val="000000"/>
          <w:u w:val="single"/>
          <w:lang w:eastAsia="bg-BG"/>
        </w:rPr>
        <w:t>Лабораторни промени</w:t>
      </w:r>
    </w:p>
    <w:p w14:paraId="0D8DD94D" w14:textId="77777777"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 xml:space="preserve">Както при повечето НСПВЛС, има съобщения за инцидентно повишаване на нивото на серумните трансаминази, повишаване на серумния билирубин или други параметри на чернодробната функция, както и повишаване на серумния креатинин и кръвния уреен азот </w:t>
      </w:r>
      <w:r w:rsidRPr="00CC52BD">
        <w:rPr>
          <w:rFonts w:eastAsia="Times New Roman" w:cs="Arial"/>
          <w:color w:val="000000"/>
          <w:lang w:val="en-US"/>
        </w:rPr>
        <w:t xml:space="preserve">(BUN), </w:t>
      </w:r>
      <w:r w:rsidRPr="00CC52BD">
        <w:rPr>
          <w:rFonts w:eastAsia="Times New Roman" w:cs="Arial"/>
          <w:color w:val="000000"/>
          <w:lang w:eastAsia="bg-BG"/>
        </w:rPr>
        <w:t>както и за други отклонения при лабораторните изследвания. Ако някое от тези отклонения се окаже значимо или персистира, приложението на лорноксикам трябва да се спре и да се назначат необходимите изследвания.</w:t>
      </w:r>
    </w:p>
    <w:p w14:paraId="7936280C" w14:textId="77777777" w:rsidR="00CC52BD" w:rsidRPr="00CC52BD" w:rsidRDefault="00CC52BD" w:rsidP="00CC52BD">
      <w:pPr>
        <w:spacing w:line="240" w:lineRule="auto"/>
        <w:rPr>
          <w:rFonts w:eastAsia="Times New Roman" w:cs="Arial"/>
          <w:lang w:val="en-US" w:eastAsia="bg-BG"/>
        </w:rPr>
      </w:pPr>
    </w:p>
    <w:p w14:paraId="495C27BF" w14:textId="77777777" w:rsidR="00CC52BD" w:rsidRPr="00CC52BD" w:rsidRDefault="00CC52BD" w:rsidP="00CC52BD">
      <w:pPr>
        <w:spacing w:line="240" w:lineRule="auto"/>
        <w:rPr>
          <w:rFonts w:eastAsia="Times New Roman" w:cs="Arial"/>
          <w:lang w:eastAsia="bg-BG"/>
        </w:rPr>
      </w:pPr>
      <w:r w:rsidRPr="00CC52BD">
        <w:rPr>
          <w:rFonts w:eastAsia="Times New Roman" w:cs="Arial"/>
          <w:color w:val="000000"/>
          <w:u w:val="single"/>
          <w:lang w:eastAsia="bg-BG"/>
        </w:rPr>
        <w:t>Фертилитет,</w:t>
      </w:r>
    </w:p>
    <w:p w14:paraId="6F6DB41C" w14:textId="77777777" w:rsidR="00CC52BD" w:rsidRPr="00CC52BD" w:rsidRDefault="00CC52BD" w:rsidP="00CC52BD">
      <w:pPr>
        <w:spacing w:line="240" w:lineRule="auto"/>
        <w:rPr>
          <w:rFonts w:eastAsia="Times New Roman" w:cs="Arial"/>
          <w:lang w:eastAsia="bg-BG"/>
        </w:rPr>
      </w:pPr>
      <w:r w:rsidRPr="00CC52BD">
        <w:rPr>
          <w:rFonts w:eastAsia="Times New Roman" w:cs="Arial"/>
          <w:color w:val="000000"/>
          <w:lang w:eastAsia="bg-BG"/>
        </w:rPr>
        <w:t>Както всяко лекарство» за което е известно, че инхибира синтеза на циклооксигеназата/простагландините, така и при използване на лорноксикам може да се наблюдава нарушение на фертилитета и неговото приложение при жени, правещи опити да забременеят, не се препоръчва. Трябва да се обмисли прекратяване на лечението с лорноксикам при жени, които срещат трудности да забременеят или които са подложени на изследвания за безплодие (виж точка 4.6).</w:t>
      </w:r>
    </w:p>
    <w:p w14:paraId="25FD56F7" w14:textId="77777777" w:rsidR="00CC52BD" w:rsidRPr="00CC52BD" w:rsidRDefault="00CC52BD" w:rsidP="00CC52BD">
      <w:pPr>
        <w:spacing w:line="240" w:lineRule="auto"/>
        <w:rPr>
          <w:rFonts w:eastAsia="Times New Roman" w:cs="Arial"/>
          <w:color w:val="000000"/>
          <w:u w:val="single"/>
          <w:lang w:eastAsia="bg-BG"/>
        </w:rPr>
      </w:pPr>
    </w:p>
    <w:p w14:paraId="5EA37B53" w14:textId="012FE8A9" w:rsidR="00CC52BD" w:rsidRPr="00CC52BD" w:rsidRDefault="00CC52BD" w:rsidP="00CC52BD">
      <w:pPr>
        <w:spacing w:line="240" w:lineRule="auto"/>
        <w:rPr>
          <w:rFonts w:eastAsia="Times New Roman" w:cs="Arial"/>
          <w:lang w:eastAsia="bg-BG"/>
        </w:rPr>
      </w:pPr>
      <w:r w:rsidRPr="00CC52BD">
        <w:rPr>
          <w:rFonts w:eastAsia="Times New Roman" w:cs="Arial"/>
          <w:color w:val="000000"/>
          <w:u w:val="single"/>
          <w:lang w:eastAsia="bg-BG"/>
        </w:rPr>
        <w:t>Варицела</w:t>
      </w:r>
    </w:p>
    <w:p w14:paraId="7BE3845C" w14:textId="40BF0162" w:rsidR="00CC52BD" w:rsidRPr="00CC52BD" w:rsidRDefault="00CC52BD" w:rsidP="00CC52BD">
      <w:pPr>
        <w:spacing w:line="240" w:lineRule="auto"/>
        <w:rPr>
          <w:rFonts w:eastAsia="Times New Roman" w:cs="Arial"/>
          <w:lang w:val="en-US" w:eastAsia="bg-BG"/>
        </w:rPr>
      </w:pPr>
      <w:r w:rsidRPr="00CC52BD">
        <w:rPr>
          <w:rFonts w:eastAsia="Times New Roman" w:cs="Arial"/>
          <w:color w:val="000000"/>
          <w:lang w:eastAsia="bg-BG"/>
        </w:rPr>
        <w:t>По изключение, варицелата може да е източник на сериозни инфекциозни усложенения от страна на кожата и меките тъкани. До момента, ролята на НСПВЛС във влошаването на тези инфекции не може за бъде изключена. Поради това е препоръчително избягването на лорноксикам в случай на варицела.</w:t>
      </w:r>
    </w:p>
    <w:p w14:paraId="69035C9C" w14:textId="6C6D1E52" w:rsidR="00CC52BD" w:rsidRPr="00CC52BD" w:rsidRDefault="00CC52BD" w:rsidP="00CC52BD">
      <w:pPr>
        <w:rPr>
          <w:rFonts w:ascii="Times New Roman" w:eastAsia="Times New Roman" w:hAnsi="Times New Roman" w:cs="Times New Roman"/>
          <w:color w:val="000000"/>
          <w:sz w:val="20"/>
          <w:szCs w:val="20"/>
          <w:lang w:eastAsia="bg-BG"/>
        </w:rPr>
      </w:pPr>
      <w:r w:rsidRPr="00CC52BD">
        <w:rPr>
          <w:rFonts w:ascii="Times New Roman" w:eastAsia="Times New Roman" w:hAnsi="Times New Roman" w:cs="Times New Roman"/>
          <w:color w:val="000000"/>
          <w:sz w:val="20"/>
          <w:szCs w:val="20"/>
          <w:lang w:eastAsia="bg-BG"/>
        </w:rPr>
        <w:tab/>
      </w:r>
    </w:p>
    <w:p w14:paraId="1DA47448" w14:textId="381F54E1"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71CF497F" w14:textId="77777777" w:rsidR="00CC52BD" w:rsidRDefault="00CC52BD" w:rsidP="00CC52BD"/>
    <w:p w14:paraId="778F45E2" w14:textId="77777777"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t>Едновременно приложение на лорноксикам и:</w:t>
      </w:r>
    </w:p>
    <w:p w14:paraId="111C2EB7"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 xml:space="preserve">циметидин: повишени плазмени концентрации на лорноксикам, което може да повиши риска от нежелани реакции на лорноксикам (Не са установени взаимодействия между лорноксикам и ранитидин, или лорноксикам и антиацидни средства); </w:t>
      </w:r>
    </w:p>
    <w:p w14:paraId="7D0EF3FD"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 xml:space="preserve">антикоагуланти: НСПВЛС могат да усилят ефектите на антикоагулантите, като варфарин (виж точка 4.4). Трябва да се започне внимателно проследяване на </w:t>
      </w:r>
      <w:r w:rsidRPr="00CC52BD">
        <w:rPr>
          <w:rFonts w:eastAsia="Times New Roman" w:cs="Arial"/>
          <w:color w:val="000000"/>
          <w:lang w:val="en-US"/>
        </w:rPr>
        <w:t>INR;</w:t>
      </w:r>
    </w:p>
    <w:p w14:paraId="71DD3153"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фенпрокумон: Намален ефект на лечението с фенпрокумон;</w:t>
      </w:r>
    </w:p>
    <w:p w14:paraId="63DECC3E"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хепарин: когато се дават едновременно с хепарин във връзка със спинална или епидурална анестезия, НСПВС повишават риска от кървене и гръбначно-мозъчен или епидурален хематом (виж точка 4.4);</w:t>
      </w:r>
    </w:p>
    <w:p w14:paraId="6AD5CF2E"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АСЕ инхибитори: антихипертензивният ефект на АСЕ инхибитора може да намалее;</w:t>
      </w:r>
    </w:p>
    <w:p w14:paraId="40F0549B"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диуретици: намален диуретичен и антихипертензивен ефект на бримкови диуретици, тиазидни диуретици и калий-съхраняващи диуретици (повишен риск от хиперкалиемия и нефротоксичност);</w:t>
      </w:r>
    </w:p>
    <w:p w14:paraId="2E080772"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бета-адренергични блокери: намалена антихипертензивна ефикасност;</w:t>
      </w:r>
    </w:p>
    <w:p w14:paraId="25F08365"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 xml:space="preserve">ангиотензин </w:t>
      </w:r>
      <w:r w:rsidRPr="00CC52BD">
        <w:rPr>
          <w:rFonts w:eastAsia="Times New Roman" w:cs="Arial"/>
          <w:color w:val="000000"/>
          <w:lang w:val="en-US" w:eastAsia="bg-BG"/>
        </w:rPr>
        <w:t>II</w:t>
      </w:r>
      <w:r w:rsidRPr="00CC52BD">
        <w:rPr>
          <w:rFonts w:eastAsia="Times New Roman" w:cs="Arial"/>
          <w:color w:val="000000"/>
          <w:lang w:eastAsia="bg-BG"/>
        </w:rPr>
        <w:t>-рецепторни блокери: намалена антихипертензивна ефикасност;</w:t>
      </w:r>
    </w:p>
    <w:p w14:paraId="7E088652"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дигоксин: намален бъбречен клирънс на дигоксина, което повишава риска от токсичност на дигоксина;</w:t>
      </w:r>
    </w:p>
    <w:p w14:paraId="440DD822"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кортикостероиди: повишен риск от стомашно-чревна язва или кървене (виж точка 4.4);</w:t>
      </w:r>
    </w:p>
    <w:p w14:paraId="72E3B3B9"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хинолонови антибиотици (напр. левофлоксацин, офлоксацин): повишен рйск от гърчове;</w:t>
      </w:r>
    </w:p>
    <w:p w14:paraId="37EB797A"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тромбоцитни антиагреганти (напр. клопидогрел): повишен риск от стомашно-чревно кървене (виж точка 4.4);</w:t>
      </w:r>
    </w:p>
    <w:p w14:paraId="77473ACF"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други НСПВС: повишен риск от стомашно-чревно кървене или улцерация;</w:t>
      </w:r>
    </w:p>
    <w:p w14:paraId="1B10C54B"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lastRenderedPageBreak/>
        <w:t>метотрексат: повишена серумна концентрация на метотрексат. Може да доведе до повишена токсичност. Когато се налага да се използва едновременно лечение, трябва да се извършва внимателно проследяване;</w:t>
      </w:r>
      <w:r w:rsidRPr="00CC52BD">
        <w:rPr>
          <w:rFonts w:eastAsia="Times New Roman" w:cs="Arial"/>
          <w:color w:val="000000"/>
          <w:lang w:eastAsia="bg-BG"/>
        </w:rPr>
        <w:tab/>
      </w:r>
    </w:p>
    <w:p w14:paraId="54C30715"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 xml:space="preserve">селективни инхибитори на обратния захват на серотонина </w:t>
      </w:r>
      <w:r w:rsidRPr="00CC52BD">
        <w:rPr>
          <w:rFonts w:eastAsia="Times New Roman" w:cs="Arial"/>
          <w:color w:val="000000"/>
          <w:lang w:val="en-US"/>
        </w:rPr>
        <w:t xml:space="preserve">(SSRIs): </w:t>
      </w:r>
      <w:r w:rsidRPr="00CC52BD">
        <w:rPr>
          <w:rFonts w:eastAsia="Times New Roman" w:cs="Arial"/>
          <w:color w:val="000000"/>
          <w:lang w:eastAsia="bg-BG"/>
        </w:rPr>
        <w:t>повишен риск от стомашно-чревно кървене (виж точка 4.4);</w:t>
      </w:r>
    </w:p>
    <w:p w14:paraId="7E752AB0"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литий: НСПВС потискат бъбречния клирънс на литий, така че серумните концентрации на лития могат да се повишат над границите за токсичност. Поради това е необходимо проследяване на серумните нива на лития, особено по време на започване, адаптиране и спиране на лечението;</w:t>
      </w:r>
    </w:p>
    <w:p w14:paraId="747A1340"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циклоспорин: повишена серумна концентрация на циклоспорин. Нефротоксичността на циклоспорин може да се увеличи чрез ефектите, медиирани от бъбречните простагландини. По време на комбинираното лечение, бъбречната функция трябва да бъде проследявана;</w:t>
      </w:r>
    </w:p>
    <w:p w14:paraId="076EE588"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сулфанилурейни препарати (напр. глибенкламид): повишен риск от хипогликемия</w:t>
      </w:r>
    </w:p>
    <w:p w14:paraId="0D840D8E"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 xml:space="preserve">известни индуктори и инхибитори на </w:t>
      </w:r>
      <w:r w:rsidRPr="00CC52BD">
        <w:rPr>
          <w:rFonts w:eastAsia="Times New Roman" w:cs="Arial"/>
          <w:color w:val="000000"/>
          <w:lang w:val="en-US"/>
        </w:rPr>
        <w:t xml:space="preserve">CYP2C9 </w:t>
      </w:r>
      <w:r w:rsidRPr="00CC52BD">
        <w:rPr>
          <w:rFonts w:eastAsia="Times New Roman" w:cs="Arial"/>
          <w:color w:val="000000"/>
          <w:lang w:eastAsia="bg-BG"/>
        </w:rPr>
        <w:t xml:space="preserve">изоензимите: лорноксикам (както и другите НСПВС, зависещи от цитохром Р450 2С9 </w:t>
      </w:r>
      <w:r w:rsidRPr="00CC52BD">
        <w:rPr>
          <w:rFonts w:eastAsia="Times New Roman" w:cs="Arial"/>
          <w:color w:val="000000"/>
          <w:lang w:val="en-US"/>
        </w:rPr>
        <w:t xml:space="preserve">(CYP2C9 </w:t>
      </w:r>
      <w:r w:rsidRPr="00CC52BD">
        <w:rPr>
          <w:rFonts w:eastAsia="Times New Roman" w:cs="Arial"/>
          <w:color w:val="000000"/>
          <w:lang w:eastAsia="bg-BG"/>
        </w:rPr>
        <w:t xml:space="preserve">изоензима)) взаимодейства с известните индуктори и инхибитори на </w:t>
      </w:r>
      <w:r w:rsidRPr="00CC52BD">
        <w:rPr>
          <w:rFonts w:eastAsia="Times New Roman" w:cs="Arial"/>
          <w:color w:val="000000"/>
          <w:lang w:val="en-US"/>
        </w:rPr>
        <w:t xml:space="preserve">CYP2C9 </w:t>
      </w:r>
      <w:r w:rsidRPr="00CC52BD">
        <w:rPr>
          <w:rFonts w:eastAsia="Times New Roman" w:cs="Arial"/>
          <w:color w:val="000000"/>
          <w:lang w:eastAsia="bg-BG"/>
        </w:rPr>
        <w:t>изоензимите (вж. точка 5.2 Биотрансформация)</w:t>
      </w:r>
    </w:p>
    <w:p w14:paraId="4AD9C744" w14:textId="77777777"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такролимус: повишава риска от нефротоксичност, поради намален синтез на простациклин в бъбреците. По време на комбинираното лечение, бъбречната функция трябва да бъде проследявана (виж точка 4.4);</w:t>
      </w:r>
    </w:p>
    <w:p w14:paraId="7FA1C029" w14:textId="6109AA5E" w:rsidR="00CC52BD" w:rsidRPr="00CC52BD" w:rsidRDefault="00CC52BD" w:rsidP="00CC52BD">
      <w:pPr>
        <w:pStyle w:val="ListParagraph"/>
        <w:numPr>
          <w:ilvl w:val="0"/>
          <w:numId w:val="2"/>
        </w:numPr>
        <w:spacing w:line="240" w:lineRule="auto"/>
        <w:rPr>
          <w:rFonts w:eastAsia="Times New Roman" w:cs="Arial"/>
          <w:color w:val="000000"/>
          <w:lang w:eastAsia="bg-BG"/>
        </w:rPr>
      </w:pPr>
      <w:r w:rsidRPr="00CC52BD">
        <w:rPr>
          <w:rFonts w:eastAsia="Times New Roman" w:cs="Arial"/>
          <w:color w:val="000000"/>
          <w:lang w:eastAsia="bg-BG"/>
        </w:rPr>
        <w:t>пеметрексед: НСПВС може да намалят бъбречния клирънс на пеметрексед и да предизвикат повишена бъбречна и стомашно-чревна токсичност и миелосупресия.</w:t>
      </w:r>
    </w:p>
    <w:p w14:paraId="70C830A8" w14:textId="77777777" w:rsidR="00CC52BD" w:rsidRPr="00CC52BD" w:rsidRDefault="00CC52BD" w:rsidP="00CC52BD"/>
    <w:p w14:paraId="48846BBA" w14:textId="2507FDE7" w:rsidR="009F77A4" w:rsidRDefault="002C50EE" w:rsidP="00387A66">
      <w:pPr>
        <w:pStyle w:val="Heading2"/>
      </w:pPr>
      <w:r>
        <w:t>4.6. Фертилитет, бременност и кърмене</w:t>
      </w:r>
    </w:p>
    <w:p w14:paraId="01C400DD" w14:textId="77777777" w:rsidR="00CC52BD" w:rsidRDefault="00CC52BD" w:rsidP="00CC52BD"/>
    <w:p w14:paraId="5C664E51" w14:textId="77777777" w:rsidR="00CC52BD" w:rsidRPr="00CC52BD" w:rsidRDefault="00CC52BD" w:rsidP="00CC52BD">
      <w:pPr>
        <w:pStyle w:val="Heading3"/>
        <w:rPr>
          <w:rFonts w:eastAsia="Times New Roman"/>
          <w:b/>
          <w:bCs/>
          <w:sz w:val="28"/>
          <w:szCs w:val="28"/>
          <w:lang w:eastAsia="bg-BG"/>
        </w:rPr>
      </w:pPr>
      <w:bookmarkStart w:id="1" w:name="bookmark0"/>
      <w:r w:rsidRPr="00CC52BD">
        <w:rPr>
          <w:rFonts w:eastAsia="Times New Roman"/>
          <w:b/>
          <w:bCs/>
          <w:lang w:eastAsia="bg-BG"/>
        </w:rPr>
        <w:t>Фертилитет</w:t>
      </w:r>
      <w:bookmarkEnd w:id="1"/>
    </w:p>
    <w:p w14:paraId="5BD75F8D" w14:textId="77777777"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t>Употребата на лорноксикам, както и всяко друго лекарство, инхибиращо циклооксигеназата/простагландиновата синтеза, може да повлияе фертилитета и не се препоръчва при жени, опитващи се да забременеят. При жени, имащи затруднения със зачеването, или провеждащи изследвания за инфертилитет, трябва да се обсъди прекратяване на</w:t>
      </w:r>
    </w:p>
    <w:p w14:paraId="7079942A" w14:textId="77777777"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t>лечението с лорноксикам.</w:t>
      </w:r>
    </w:p>
    <w:p w14:paraId="1B41A926" w14:textId="77777777" w:rsidR="00CC52BD" w:rsidRPr="00CC52BD" w:rsidRDefault="00CC52BD" w:rsidP="00CC52BD">
      <w:pPr>
        <w:spacing w:line="240" w:lineRule="auto"/>
        <w:rPr>
          <w:rFonts w:eastAsia="Times New Roman" w:cs="Arial"/>
          <w:b/>
          <w:bCs/>
          <w:color w:val="000000"/>
          <w:lang w:eastAsia="bg-BG"/>
        </w:rPr>
      </w:pPr>
      <w:bookmarkStart w:id="2" w:name="bookmark2"/>
    </w:p>
    <w:p w14:paraId="0335F756" w14:textId="566C7E99" w:rsidR="00CC52BD" w:rsidRPr="00CC52BD" w:rsidRDefault="00CC52BD" w:rsidP="00CC52BD">
      <w:pPr>
        <w:pStyle w:val="Heading3"/>
        <w:rPr>
          <w:rFonts w:eastAsia="Times New Roman"/>
          <w:b/>
          <w:bCs/>
          <w:sz w:val="28"/>
          <w:szCs w:val="28"/>
          <w:lang w:eastAsia="bg-BG"/>
        </w:rPr>
      </w:pPr>
      <w:r w:rsidRPr="00CC52BD">
        <w:rPr>
          <w:rFonts w:eastAsia="Times New Roman"/>
          <w:b/>
          <w:bCs/>
          <w:lang w:eastAsia="bg-BG"/>
        </w:rPr>
        <w:t>Бременност</w:t>
      </w:r>
      <w:bookmarkEnd w:id="2"/>
    </w:p>
    <w:p w14:paraId="485E5D42" w14:textId="77777777"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t>Лорноксикам е противопоказан през третия триместьр на бременността и не трябва да се използва по време на първия и втория триместьр на бременността и по време на раждането, тъй като няма клинични данни за експозиция по време на бременност.</w:t>
      </w:r>
    </w:p>
    <w:p w14:paraId="230E5E38" w14:textId="77777777" w:rsidR="00CC52BD" w:rsidRPr="00CC52BD" w:rsidRDefault="00CC52BD" w:rsidP="00CC52BD">
      <w:pPr>
        <w:spacing w:line="240" w:lineRule="auto"/>
        <w:rPr>
          <w:rFonts w:eastAsia="Times New Roman" w:cs="Arial"/>
          <w:color w:val="000000"/>
          <w:lang w:eastAsia="bg-BG"/>
        </w:rPr>
      </w:pPr>
    </w:p>
    <w:p w14:paraId="672C7D9A" w14:textId="4102CA0E"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t>Няма достатъчно данни за употребата на лорноксикам при бременни жени. Експерименталните проучвания при животни показват репродуктивна токсичност (виж точка 5.3).</w:t>
      </w:r>
    </w:p>
    <w:p w14:paraId="58B67E66" w14:textId="77777777" w:rsidR="00CC52BD" w:rsidRPr="00CC52BD" w:rsidRDefault="00CC52BD" w:rsidP="00CC52BD">
      <w:pPr>
        <w:spacing w:line="240" w:lineRule="auto"/>
        <w:rPr>
          <w:rFonts w:eastAsia="Times New Roman" w:cs="Arial"/>
          <w:color w:val="000000"/>
          <w:lang w:eastAsia="bg-BG"/>
        </w:rPr>
      </w:pPr>
    </w:p>
    <w:p w14:paraId="30DB5882" w14:textId="794149BB"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t xml:space="preserve">Инхибирането на простагландиновия синтез може да окаже неблагоприятно влияние върху бременността и/или ембрионалното/феталното развитие. Данните от епидемиологичните проучвания показват повишен риск от спонтанен аборт и сърдечни </w:t>
      </w:r>
      <w:r w:rsidRPr="00CC52BD">
        <w:rPr>
          <w:rFonts w:eastAsia="Times New Roman" w:cs="Arial"/>
          <w:color w:val="000000"/>
          <w:lang w:eastAsia="bg-BG"/>
        </w:rPr>
        <w:lastRenderedPageBreak/>
        <w:t>малформации след употребата на инхибитор на простагландиновия синтез в началото на бременността. Смята се, че рискът нараства с повишаването на дозата и продължителността на лечението. При животни е доказано, че прилагането на инхибитори на простагландиновия синтез води до увеличени пре-и постимплантационна загуба и ембрио-фетален леталитет. По време на първия и втория триместър на бременността не трябва да</w:t>
      </w:r>
    </w:p>
    <w:p w14:paraId="69DF4BB7" w14:textId="77777777"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t>бъдат давани инхибитори на простагландиновия синтез, освен ако не са абсолютно необходими.</w:t>
      </w:r>
    </w:p>
    <w:p w14:paraId="053E30D1" w14:textId="77777777" w:rsidR="00CC52BD" w:rsidRPr="00CC52BD" w:rsidRDefault="00CC52BD" w:rsidP="00CC52BD">
      <w:pPr>
        <w:spacing w:line="240" w:lineRule="auto"/>
        <w:rPr>
          <w:rFonts w:eastAsia="Times New Roman" w:cs="Arial"/>
          <w:color w:val="000000"/>
          <w:lang w:eastAsia="bg-BG"/>
        </w:rPr>
      </w:pPr>
    </w:p>
    <w:p w14:paraId="3668992D" w14:textId="6C1BE572"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t xml:space="preserve">Инхибиторите на простагландиновия синтез, прилагани по време на третия триместър на бременността, могат да изложат фетуса на от кардиопулмонарна токсичност (преждевременно затваряне на </w:t>
      </w:r>
      <w:r w:rsidRPr="00CC52BD">
        <w:rPr>
          <w:rFonts w:eastAsia="Times New Roman" w:cs="Arial"/>
          <w:i/>
          <w:iCs/>
          <w:color w:val="000000"/>
          <w:lang w:val="en-US"/>
        </w:rPr>
        <w:t>ductus arteriosus</w:t>
      </w:r>
      <w:r w:rsidRPr="00CC52BD">
        <w:rPr>
          <w:rFonts w:eastAsia="Times New Roman" w:cs="Arial"/>
          <w:color w:val="000000"/>
          <w:lang w:val="en-US"/>
        </w:rPr>
        <w:t xml:space="preserve"> </w:t>
      </w:r>
      <w:r w:rsidRPr="00CC52BD">
        <w:rPr>
          <w:rFonts w:eastAsia="Times New Roman" w:cs="Arial"/>
          <w:color w:val="000000"/>
          <w:lang w:eastAsia="bg-BG"/>
        </w:rPr>
        <w:t>и белодробна хипертония) и бъбречна дисфункция, която може да доведе до бъбречна недостатъчност и оттук до намалено количество на амниотичната течност. В края на бременността инхибиторите на простагландиновия синтез могат да доведат до удължаване на времето на кървене при майката и фетуса, и до потискане на маточните контракции, което може да отложи или да удължи раждането. Поради това употребата на лорноксикам е противопоказана по време на третия триместьр на бременността (виж точка 4.3 Противопоказания).</w:t>
      </w:r>
    </w:p>
    <w:p w14:paraId="59B446BF" w14:textId="77777777" w:rsidR="00CC52BD" w:rsidRPr="00CC52BD" w:rsidRDefault="00CC52BD" w:rsidP="00CC52BD">
      <w:pPr>
        <w:spacing w:line="240" w:lineRule="auto"/>
        <w:rPr>
          <w:rFonts w:eastAsia="Times New Roman" w:cs="Arial"/>
          <w:b/>
          <w:bCs/>
          <w:color w:val="000000"/>
          <w:lang w:eastAsia="bg-BG"/>
        </w:rPr>
      </w:pPr>
      <w:bookmarkStart w:id="3" w:name="bookmark4"/>
    </w:p>
    <w:p w14:paraId="65C92A30" w14:textId="3DE372B4" w:rsidR="00CC52BD" w:rsidRPr="00CC52BD" w:rsidRDefault="00CC52BD" w:rsidP="00CC52BD">
      <w:pPr>
        <w:pStyle w:val="Heading3"/>
        <w:rPr>
          <w:rFonts w:eastAsia="Times New Roman"/>
          <w:b/>
          <w:bCs/>
          <w:sz w:val="28"/>
          <w:szCs w:val="28"/>
          <w:lang w:eastAsia="bg-BG"/>
        </w:rPr>
      </w:pPr>
      <w:r w:rsidRPr="00CC52BD">
        <w:rPr>
          <w:rFonts w:eastAsia="Times New Roman"/>
          <w:b/>
          <w:bCs/>
          <w:lang w:eastAsia="bg-BG"/>
        </w:rPr>
        <w:t>Кърмене</w:t>
      </w:r>
      <w:bookmarkEnd w:id="3"/>
    </w:p>
    <w:p w14:paraId="71646148" w14:textId="77777777" w:rsidR="00CC52BD" w:rsidRPr="00CC52BD" w:rsidRDefault="00CC52BD" w:rsidP="00CC52BD">
      <w:pPr>
        <w:spacing w:line="240" w:lineRule="auto"/>
        <w:rPr>
          <w:rFonts w:ascii="Times New Roman" w:eastAsia="Times New Roman" w:hAnsi="Times New Roman" w:cs="Times New Roman"/>
          <w:sz w:val="24"/>
          <w:szCs w:val="24"/>
          <w:lang w:eastAsia="bg-BG"/>
        </w:rPr>
      </w:pPr>
      <w:r w:rsidRPr="00CC52BD">
        <w:rPr>
          <w:rFonts w:eastAsia="Times New Roman" w:cs="Arial"/>
          <w:color w:val="000000"/>
          <w:lang w:eastAsia="bg-BG"/>
        </w:rPr>
        <w:t>Няма данни за отделянето на лорноксикам в кърмата. Лорноксикам се отделя в млякото на кърмещите плъхове в относително високи концентрации. Лорноксикам не трябва да се използва при кърмещи жени.</w:t>
      </w:r>
    </w:p>
    <w:p w14:paraId="5D65C6C6" w14:textId="77777777" w:rsidR="00CC52BD" w:rsidRPr="00CC52BD" w:rsidRDefault="00CC52BD" w:rsidP="00CC52BD"/>
    <w:p w14:paraId="321AAB00" w14:textId="3EA4494E" w:rsidR="009F77A4" w:rsidRDefault="002C50EE" w:rsidP="00387A66">
      <w:pPr>
        <w:pStyle w:val="Heading2"/>
      </w:pPr>
      <w:r>
        <w:t>4.7. Ефекти върху способността за шофиране и работа с машини</w:t>
      </w:r>
    </w:p>
    <w:p w14:paraId="4F5B1AC9" w14:textId="77777777" w:rsidR="00CC52BD" w:rsidRDefault="00CC52BD" w:rsidP="00CC52BD"/>
    <w:p w14:paraId="52338181" w14:textId="3DA445A3" w:rsidR="00CC52BD" w:rsidRDefault="00CC52BD" w:rsidP="00CC52BD">
      <w:r>
        <w:t>Не се очаква Лорноксикам да повлиява способността за шоане и работа с машини. Пациентите, които получават замайване и/или сънливост при лечение с лорноксикам, трябва да се въздържат от шофиране или работа с машини.</w:t>
      </w:r>
    </w:p>
    <w:p w14:paraId="6B1BEE85" w14:textId="77777777" w:rsidR="00CC52BD" w:rsidRPr="00CC52BD" w:rsidRDefault="00CC52BD" w:rsidP="00CC52BD"/>
    <w:p w14:paraId="136C86B8" w14:textId="3F9D0CA1" w:rsidR="009F77A4" w:rsidRDefault="002C50EE" w:rsidP="00387A66">
      <w:pPr>
        <w:pStyle w:val="Heading2"/>
      </w:pPr>
      <w:r>
        <w:t>4.8. Нежелани лекарствени реакции</w:t>
      </w:r>
    </w:p>
    <w:p w14:paraId="42888708" w14:textId="77777777" w:rsidR="00CC52BD" w:rsidRDefault="00CC52BD" w:rsidP="00CC52BD"/>
    <w:p w14:paraId="03D5FC61" w14:textId="77777777" w:rsidR="00CC52BD" w:rsidRPr="00CC52BD" w:rsidRDefault="00CC52BD" w:rsidP="00CC52BD">
      <w:pPr>
        <w:rPr>
          <w:rFonts w:eastAsia="Times New Roman" w:cs="Arial"/>
          <w:sz w:val="28"/>
          <w:szCs w:val="28"/>
          <w:lang w:eastAsia="bg-BG"/>
        </w:rPr>
      </w:pPr>
      <w:r w:rsidRPr="00CC52BD">
        <w:rPr>
          <w:rFonts w:cs="Arial"/>
        </w:rPr>
        <w:t>Най-често наблюдаваните нежелани реакции на НСПВС са стомашно-чревни по характер. Могат да</w:t>
      </w:r>
      <w:r w:rsidRPr="00CC52BD">
        <w:rPr>
          <w:rFonts w:cs="Arial"/>
          <w:lang w:val="en-US"/>
        </w:rPr>
        <w:t xml:space="preserve"> </w:t>
      </w:r>
      <w:r w:rsidRPr="00CC52BD">
        <w:rPr>
          <w:rFonts w:eastAsia="Times New Roman" w:cs="Arial"/>
          <w:color w:val="000000"/>
          <w:lang w:eastAsia="bg-BG"/>
        </w:rPr>
        <w:t xml:space="preserve">се появят пептични язви, перфорация или стомашно-чревно кървене, понякога фатално, особено при пациенти в старческа възраст (виж точка 4.4). След приложението на НСПВС има съобщения за гадене, повръщане, диария, метеоризъм, запек, диспепсия, абдоминална болка, мелена, хематемеза, улцерозен стоматит, обостряне на колит и болест на </w:t>
      </w:r>
      <w:r w:rsidRPr="00CC52BD">
        <w:rPr>
          <w:rFonts w:eastAsia="Times New Roman" w:cs="Arial"/>
          <w:color w:val="000000"/>
          <w:lang w:val="en-US"/>
        </w:rPr>
        <w:t xml:space="preserve">Crohn </w:t>
      </w:r>
      <w:r w:rsidRPr="00CC52BD">
        <w:rPr>
          <w:rFonts w:eastAsia="Times New Roman" w:cs="Arial"/>
          <w:color w:val="000000"/>
          <w:lang w:eastAsia="bg-BG"/>
        </w:rPr>
        <w:t>(виж точка 4.4). По-рядко е наблюдаван гастрит.</w:t>
      </w:r>
    </w:p>
    <w:p w14:paraId="763862FD" w14:textId="77777777" w:rsidR="00CC52BD" w:rsidRPr="00CC52BD" w:rsidRDefault="00CC52BD" w:rsidP="00CC52BD">
      <w:pPr>
        <w:spacing w:line="240" w:lineRule="auto"/>
        <w:rPr>
          <w:rFonts w:eastAsia="Times New Roman" w:cs="Arial"/>
          <w:color w:val="000000"/>
          <w:lang w:eastAsia="bg-BG"/>
        </w:rPr>
      </w:pPr>
    </w:p>
    <w:p w14:paraId="433FC544" w14:textId="30779268"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t>Може да се очаква, че приблизително 20% от пациентите, лекувани с лорноксикам, ще получат нежелани реакции. Най-честите нежелани ефекти на лорноксикам включват гадене, диспепсия, нарушено храносмилане, коремна болка, повръщане и диария. Според наличните проучвания, тези симптоми са се появили общо при по-малко от 10% от пациентите.</w:t>
      </w:r>
      <w:r w:rsidRPr="00CC52BD">
        <w:rPr>
          <w:rFonts w:eastAsia="Times New Roman" w:cs="Arial"/>
          <w:color w:val="000000"/>
          <w:lang w:eastAsia="bg-BG"/>
        </w:rPr>
        <w:tab/>
      </w:r>
    </w:p>
    <w:p w14:paraId="1B8682BC" w14:textId="77777777" w:rsidR="00CC52BD" w:rsidRPr="00CC52BD" w:rsidRDefault="00CC52BD" w:rsidP="00CC52BD">
      <w:pPr>
        <w:spacing w:line="240" w:lineRule="auto"/>
        <w:rPr>
          <w:rFonts w:eastAsia="Times New Roman" w:cs="Arial"/>
          <w:color w:val="000000"/>
          <w:lang w:eastAsia="bg-BG"/>
        </w:rPr>
      </w:pPr>
    </w:p>
    <w:p w14:paraId="007FAC1B" w14:textId="6C3A817D"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t>Има съобщения за възникване на отоци, хипертония и сърдечна недостатъчност във връзка с лечение с НСПВС.</w:t>
      </w:r>
    </w:p>
    <w:p w14:paraId="770360F0" w14:textId="77777777" w:rsidR="00CC52BD" w:rsidRPr="00CC52BD" w:rsidRDefault="00CC52BD" w:rsidP="00CC52BD">
      <w:pPr>
        <w:spacing w:line="240" w:lineRule="auto"/>
        <w:rPr>
          <w:rFonts w:eastAsia="Times New Roman" w:cs="Arial"/>
          <w:color w:val="000000"/>
          <w:lang w:eastAsia="bg-BG"/>
        </w:rPr>
      </w:pPr>
    </w:p>
    <w:p w14:paraId="3CFA3896" w14:textId="1252368C"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lastRenderedPageBreak/>
        <w:t>Данни от клинични изпитвания и епидемиологични проучвания предполагат, че използването на някои НСПВС (особено във високи дози и при продължително лечение) може да е свързано с повишен риск от артериални тромботични инциденти (напр. инфаркт на миокарда или инсулт)(виж точка 4.4).</w:t>
      </w:r>
    </w:p>
    <w:p w14:paraId="4E94BA67" w14:textId="77777777" w:rsidR="00CC52BD" w:rsidRPr="00CC52BD" w:rsidRDefault="00CC52BD" w:rsidP="00CC52BD">
      <w:pPr>
        <w:spacing w:line="240" w:lineRule="auto"/>
        <w:rPr>
          <w:rFonts w:eastAsia="Times New Roman" w:cs="Arial"/>
          <w:color w:val="000000"/>
          <w:lang w:eastAsia="bg-BG"/>
        </w:rPr>
      </w:pPr>
    </w:p>
    <w:p w14:paraId="6659B5D9" w14:textId="57AACD59"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t>По изключение, настъпване на сериозни инфекциозни усложнения на кожата и меките тъкани по време на варицела.</w:t>
      </w:r>
    </w:p>
    <w:p w14:paraId="67C49EA3" w14:textId="77777777" w:rsidR="00CC52BD" w:rsidRPr="00CC52BD" w:rsidRDefault="00CC52BD" w:rsidP="00CC52BD">
      <w:pPr>
        <w:spacing w:line="240" w:lineRule="auto"/>
        <w:rPr>
          <w:rFonts w:eastAsia="Times New Roman" w:cs="Arial"/>
          <w:color w:val="000000"/>
          <w:lang w:eastAsia="bg-BG"/>
        </w:rPr>
      </w:pPr>
    </w:p>
    <w:p w14:paraId="7089FF45" w14:textId="7912F818" w:rsidR="00CC52BD" w:rsidRPr="00CC52BD" w:rsidRDefault="00CC52BD" w:rsidP="00CC52BD">
      <w:pPr>
        <w:spacing w:line="240" w:lineRule="auto"/>
        <w:rPr>
          <w:rFonts w:eastAsia="Times New Roman" w:cs="Arial"/>
          <w:color w:val="000000"/>
          <w:lang w:eastAsia="bg-BG"/>
        </w:rPr>
      </w:pPr>
      <w:r w:rsidRPr="00CC52BD">
        <w:rPr>
          <w:rFonts w:eastAsia="Times New Roman" w:cs="Arial"/>
          <w:color w:val="000000"/>
          <w:lang w:eastAsia="bg-BG"/>
        </w:rPr>
        <w:t xml:space="preserve">По-надолу в таблица 1 са изброени нежеланите реакции, които са се появили общо при повече от 0,05% от  </w:t>
      </w:r>
    </w:p>
    <w:p w14:paraId="1AA22598" w14:textId="3ABFF0E9"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t>6417 пациенти, лекувани в клинична фаза II, III и IV на клиничните изпитвания.</w:t>
      </w:r>
    </w:p>
    <w:p w14:paraId="06DBA4B9" w14:textId="77777777" w:rsidR="00CC52BD" w:rsidRPr="00CC52BD" w:rsidRDefault="00CC52BD" w:rsidP="00CC52BD">
      <w:pPr>
        <w:spacing w:line="240" w:lineRule="auto"/>
        <w:rPr>
          <w:rFonts w:eastAsia="Times New Roman" w:cs="Arial"/>
          <w:color w:val="000000"/>
          <w:lang w:eastAsia="bg-BG"/>
        </w:rPr>
      </w:pPr>
    </w:p>
    <w:p w14:paraId="5988F0F0" w14:textId="7D06BF09"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t>При оценка на честотата на нежеланите реакции е използвана следната класификация Много чести (&gt;1/10); чести (&gt;1/100 до &lt;1/10); нечести (&gt;1/1 000 до &lt; 1/100); редки (&gt;1/10 000 до &lt;1/1 000); много редки (&lt;1/10 000); с неизвестна честота (не може да се определи от наличните данни).</w:t>
      </w:r>
    </w:p>
    <w:p w14:paraId="609C7D47" w14:textId="77777777" w:rsidR="00CC52BD" w:rsidRPr="00CC52BD" w:rsidRDefault="00CC52BD" w:rsidP="00CC52BD">
      <w:pPr>
        <w:spacing w:line="240" w:lineRule="auto"/>
        <w:rPr>
          <w:rFonts w:eastAsia="Times New Roman" w:cs="Arial"/>
          <w:color w:val="000000"/>
          <w:u w:val="single"/>
          <w:lang w:eastAsia="bg-BG"/>
        </w:rPr>
      </w:pPr>
    </w:p>
    <w:p w14:paraId="75901448" w14:textId="334B08C7"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u w:val="single"/>
          <w:lang w:eastAsia="bg-BG"/>
        </w:rPr>
        <w:t>Таблица 1. Нежелани реакции</w:t>
      </w:r>
    </w:p>
    <w:tbl>
      <w:tblPr>
        <w:tblStyle w:val="TableGrid"/>
        <w:tblW w:w="0" w:type="auto"/>
        <w:tblLook w:val="04A0" w:firstRow="1" w:lastRow="0" w:firstColumn="1" w:lastColumn="0" w:noHBand="0" w:noVBand="1"/>
      </w:tblPr>
      <w:tblGrid>
        <w:gridCol w:w="3118"/>
        <w:gridCol w:w="3089"/>
        <w:gridCol w:w="3143"/>
      </w:tblGrid>
      <w:tr w:rsidR="00CC52BD" w14:paraId="3DF2C17B" w14:textId="77777777" w:rsidTr="00A60693">
        <w:tc>
          <w:tcPr>
            <w:tcW w:w="3166" w:type="dxa"/>
            <w:vAlign w:val="bottom"/>
          </w:tcPr>
          <w:p w14:paraId="5BC456FD" w14:textId="6047B0CE" w:rsidR="00CC52BD" w:rsidRPr="00CC52BD" w:rsidRDefault="00CC52BD" w:rsidP="00CC52BD">
            <w:r w:rsidRPr="00CC52BD">
              <w:rPr>
                <w:b/>
                <w:bCs/>
              </w:rPr>
              <w:t>Системно- органенклас</w:t>
            </w:r>
          </w:p>
        </w:tc>
        <w:tc>
          <w:tcPr>
            <w:tcW w:w="3167" w:type="dxa"/>
          </w:tcPr>
          <w:p w14:paraId="164A1C94" w14:textId="3956C9F2" w:rsidR="00CC52BD" w:rsidRPr="00CC52BD" w:rsidRDefault="00CC52BD" w:rsidP="00CC52BD">
            <w:pPr>
              <w:rPr>
                <w:lang w:val="en-US"/>
              </w:rPr>
            </w:pPr>
            <w:r w:rsidRPr="00CC52BD">
              <w:rPr>
                <w:b/>
                <w:bCs/>
              </w:rPr>
              <w:t>Честота</w:t>
            </w:r>
          </w:p>
        </w:tc>
        <w:tc>
          <w:tcPr>
            <w:tcW w:w="3167" w:type="dxa"/>
          </w:tcPr>
          <w:p w14:paraId="34370620" w14:textId="518E0D19" w:rsidR="00CC52BD" w:rsidRPr="00CC52BD" w:rsidRDefault="00CC52BD" w:rsidP="00CC52BD">
            <w:pPr>
              <w:rPr>
                <w:lang w:val="en-US"/>
              </w:rPr>
            </w:pPr>
            <w:r w:rsidRPr="00CC52BD">
              <w:rPr>
                <w:b/>
                <w:bCs/>
              </w:rPr>
              <w:t>Нежелана(н) реакция(и)</w:t>
            </w:r>
          </w:p>
        </w:tc>
      </w:tr>
      <w:tr w:rsidR="00CC52BD" w14:paraId="023DEB4C" w14:textId="77777777" w:rsidTr="00A60693">
        <w:tc>
          <w:tcPr>
            <w:tcW w:w="3166" w:type="dxa"/>
            <w:vAlign w:val="bottom"/>
          </w:tcPr>
          <w:p w14:paraId="24F56CF1" w14:textId="51995D29" w:rsidR="00CC52BD" w:rsidRPr="00CC52BD" w:rsidRDefault="00CC52BD" w:rsidP="00CC52BD">
            <w:pPr>
              <w:rPr>
                <w:lang w:val="en-US"/>
              </w:rPr>
            </w:pPr>
            <w:r w:rsidRPr="00CC52BD">
              <w:t>Инфекции и инфестации</w:t>
            </w:r>
          </w:p>
        </w:tc>
        <w:tc>
          <w:tcPr>
            <w:tcW w:w="3167" w:type="dxa"/>
          </w:tcPr>
          <w:p w14:paraId="76612A8C" w14:textId="0397C903" w:rsidR="00CC52BD" w:rsidRPr="00CC52BD" w:rsidRDefault="00CC52BD" w:rsidP="00CC52BD">
            <w:pPr>
              <w:rPr>
                <w:lang w:val="en-US"/>
              </w:rPr>
            </w:pPr>
            <w:r w:rsidRPr="00CC52BD">
              <w:t>Редки</w:t>
            </w:r>
          </w:p>
        </w:tc>
        <w:tc>
          <w:tcPr>
            <w:tcW w:w="3167" w:type="dxa"/>
            <w:vAlign w:val="bottom"/>
          </w:tcPr>
          <w:p w14:paraId="08AA2444" w14:textId="710726C4" w:rsidR="00CC52BD" w:rsidRPr="00CC52BD" w:rsidRDefault="00CC52BD" w:rsidP="00CC52BD">
            <w:pPr>
              <w:rPr>
                <w:lang w:val="en-US"/>
              </w:rPr>
            </w:pPr>
            <w:r w:rsidRPr="00CC52BD">
              <w:t>Фарингит</w:t>
            </w:r>
          </w:p>
        </w:tc>
      </w:tr>
      <w:tr w:rsidR="00CC52BD" w14:paraId="5FE83315" w14:textId="77777777" w:rsidTr="00A60693">
        <w:tc>
          <w:tcPr>
            <w:tcW w:w="3166" w:type="dxa"/>
            <w:vMerge w:val="restart"/>
          </w:tcPr>
          <w:p w14:paraId="1C7864A1" w14:textId="3A6733A0" w:rsidR="00CC52BD" w:rsidRPr="00CC52BD" w:rsidRDefault="00CC52BD" w:rsidP="00CC52BD">
            <w:pPr>
              <w:rPr>
                <w:lang w:val="en-US"/>
              </w:rPr>
            </w:pPr>
            <w:r w:rsidRPr="00CC52BD">
              <w:t>Нарушения на кръвта и лимфната система</w:t>
            </w:r>
          </w:p>
        </w:tc>
        <w:tc>
          <w:tcPr>
            <w:tcW w:w="3167" w:type="dxa"/>
            <w:vAlign w:val="bottom"/>
          </w:tcPr>
          <w:p w14:paraId="51B939CC" w14:textId="243455DF" w:rsidR="00CC52BD" w:rsidRPr="00CC52BD" w:rsidRDefault="00CC52BD" w:rsidP="00CC52BD">
            <w:pPr>
              <w:rPr>
                <w:lang w:val="en-US"/>
              </w:rPr>
            </w:pPr>
            <w:r w:rsidRPr="00CC52BD">
              <w:t>Редки</w:t>
            </w:r>
          </w:p>
        </w:tc>
        <w:tc>
          <w:tcPr>
            <w:tcW w:w="3167" w:type="dxa"/>
            <w:vAlign w:val="bottom"/>
          </w:tcPr>
          <w:p w14:paraId="49EB38A0" w14:textId="06CF1033" w:rsidR="00CC52BD" w:rsidRPr="00CC52BD" w:rsidRDefault="00CC52BD" w:rsidP="00CC52BD">
            <w:pPr>
              <w:rPr>
                <w:lang w:val="en-US"/>
              </w:rPr>
            </w:pPr>
            <w:r w:rsidRPr="00CC52BD">
              <w:t>Анемия, тромбоцитопения, левкопения, удължено време на кървене</w:t>
            </w:r>
          </w:p>
        </w:tc>
      </w:tr>
      <w:tr w:rsidR="00CC52BD" w14:paraId="6EA08067" w14:textId="77777777" w:rsidTr="00A60693">
        <w:tc>
          <w:tcPr>
            <w:tcW w:w="3166" w:type="dxa"/>
            <w:vMerge/>
          </w:tcPr>
          <w:p w14:paraId="69FC881D" w14:textId="77777777" w:rsidR="00CC52BD" w:rsidRPr="00CC52BD" w:rsidRDefault="00CC52BD" w:rsidP="00CC52BD">
            <w:pPr>
              <w:rPr>
                <w:lang w:val="en-US"/>
              </w:rPr>
            </w:pPr>
          </w:p>
        </w:tc>
        <w:tc>
          <w:tcPr>
            <w:tcW w:w="3167" w:type="dxa"/>
          </w:tcPr>
          <w:p w14:paraId="17FEB86C" w14:textId="50AD333E" w:rsidR="00CC52BD" w:rsidRPr="00CC52BD" w:rsidRDefault="00CC52BD" w:rsidP="00CC52BD">
            <w:pPr>
              <w:rPr>
                <w:lang w:val="en-US"/>
              </w:rPr>
            </w:pPr>
            <w:r w:rsidRPr="00CC52BD">
              <w:t>Много редки</w:t>
            </w:r>
          </w:p>
        </w:tc>
        <w:tc>
          <w:tcPr>
            <w:tcW w:w="3167" w:type="dxa"/>
            <w:vAlign w:val="bottom"/>
          </w:tcPr>
          <w:p w14:paraId="21F5D2B0" w14:textId="1F93ACA3" w:rsidR="00CC52BD" w:rsidRPr="00CC52BD" w:rsidRDefault="00CC52BD" w:rsidP="00CC52BD">
            <w:pPr>
              <w:rPr>
                <w:lang w:val="en-US"/>
              </w:rPr>
            </w:pPr>
            <w:r w:rsidRPr="00CC52BD">
              <w:t>Бкхимоза. Докладвано е, че НСПВЛС предизвикват класифицирани като потенциално тежки хематологични разстройства, като неутропения, агранулоцитоза, апластична анемия и хемолитична анемия.</w:t>
            </w:r>
          </w:p>
        </w:tc>
      </w:tr>
      <w:tr w:rsidR="00CC52BD" w14:paraId="4EC58373" w14:textId="77777777" w:rsidTr="00A60693">
        <w:tc>
          <w:tcPr>
            <w:tcW w:w="3166" w:type="dxa"/>
            <w:vAlign w:val="bottom"/>
          </w:tcPr>
          <w:p w14:paraId="1E6AE0C9" w14:textId="7F52BE41" w:rsidR="00CC52BD" w:rsidRPr="00CC52BD" w:rsidRDefault="00CC52BD" w:rsidP="00CC52BD">
            <w:pPr>
              <w:rPr>
                <w:lang w:val="en-US"/>
              </w:rPr>
            </w:pPr>
            <w:r w:rsidRPr="00CC52BD">
              <w:t>Нарушения на имунната система</w:t>
            </w:r>
          </w:p>
        </w:tc>
        <w:tc>
          <w:tcPr>
            <w:tcW w:w="3167" w:type="dxa"/>
          </w:tcPr>
          <w:p w14:paraId="053E521E" w14:textId="2459CA09" w:rsidR="00CC52BD" w:rsidRPr="00CC52BD" w:rsidRDefault="00CC52BD" w:rsidP="00CC52BD">
            <w:pPr>
              <w:rPr>
                <w:lang w:val="en-US"/>
              </w:rPr>
            </w:pPr>
            <w:r w:rsidRPr="00CC52BD">
              <w:t>Редки</w:t>
            </w:r>
          </w:p>
        </w:tc>
        <w:tc>
          <w:tcPr>
            <w:tcW w:w="3167" w:type="dxa"/>
            <w:vAlign w:val="bottom"/>
          </w:tcPr>
          <w:p w14:paraId="42E10D3C" w14:textId="23A89004" w:rsidR="00CC52BD" w:rsidRPr="00CC52BD" w:rsidRDefault="00CC52BD" w:rsidP="00CC52BD">
            <w:pPr>
              <w:rPr>
                <w:lang w:val="en-US"/>
              </w:rPr>
            </w:pPr>
            <w:r w:rsidRPr="00CC52BD">
              <w:t>Свръхчувствителност, включително анафилактоидна реакция и анафилаксия</w:t>
            </w:r>
          </w:p>
        </w:tc>
      </w:tr>
      <w:tr w:rsidR="00CC52BD" w14:paraId="0C1CE7D5" w14:textId="77777777" w:rsidTr="00E459C7">
        <w:tc>
          <w:tcPr>
            <w:tcW w:w="3166" w:type="dxa"/>
            <w:vAlign w:val="bottom"/>
          </w:tcPr>
          <w:p w14:paraId="0A50A5A7" w14:textId="6C7E5A35" w:rsidR="00CC52BD" w:rsidRPr="00CC52BD" w:rsidRDefault="00CC52BD" w:rsidP="00CC52BD">
            <w:pPr>
              <w:rPr>
                <w:lang w:val="en-US"/>
              </w:rPr>
            </w:pPr>
            <w:r w:rsidRPr="00CC52BD">
              <w:t>Нарушения на метаболизма и храненето</w:t>
            </w:r>
          </w:p>
        </w:tc>
        <w:tc>
          <w:tcPr>
            <w:tcW w:w="3167" w:type="dxa"/>
          </w:tcPr>
          <w:p w14:paraId="52EFA719" w14:textId="4657A3E8" w:rsidR="00CC52BD" w:rsidRPr="00CC52BD" w:rsidRDefault="00CC52BD" w:rsidP="00CC52BD">
            <w:pPr>
              <w:rPr>
                <w:lang w:val="en-US"/>
              </w:rPr>
            </w:pPr>
            <w:r w:rsidRPr="00CC52BD">
              <w:t>Нечести</w:t>
            </w:r>
          </w:p>
        </w:tc>
        <w:tc>
          <w:tcPr>
            <w:tcW w:w="3167" w:type="dxa"/>
          </w:tcPr>
          <w:p w14:paraId="4EEA4319" w14:textId="2B37D07A" w:rsidR="00CC52BD" w:rsidRPr="00CC52BD" w:rsidRDefault="00CC52BD" w:rsidP="00CC52BD">
            <w:pPr>
              <w:rPr>
                <w:lang w:val="en-US"/>
              </w:rPr>
            </w:pPr>
            <w:r w:rsidRPr="00CC52BD">
              <w:t>Анорексия, промени в теглото</w:t>
            </w:r>
          </w:p>
        </w:tc>
      </w:tr>
      <w:tr w:rsidR="00CC52BD" w14:paraId="70214684" w14:textId="77777777" w:rsidTr="00CC52BD">
        <w:tc>
          <w:tcPr>
            <w:tcW w:w="3166" w:type="dxa"/>
            <w:vMerge w:val="restart"/>
          </w:tcPr>
          <w:p w14:paraId="4BF6905F" w14:textId="17459FF4" w:rsidR="00CC52BD" w:rsidRPr="00CC52BD" w:rsidRDefault="00CC52BD" w:rsidP="00CC52BD">
            <w:pPr>
              <w:rPr>
                <w:lang w:val="en-US"/>
              </w:rPr>
            </w:pPr>
            <w:r w:rsidRPr="00CC52BD">
              <w:t>Психични нарушения</w:t>
            </w:r>
          </w:p>
        </w:tc>
        <w:tc>
          <w:tcPr>
            <w:tcW w:w="3167" w:type="dxa"/>
          </w:tcPr>
          <w:p w14:paraId="4D0D7CFB" w14:textId="65161FFE" w:rsidR="00CC52BD" w:rsidRPr="00CC52BD" w:rsidRDefault="00CC52BD" w:rsidP="00CC52BD">
            <w:pPr>
              <w:rPr>
                <w:lang w:val="en-US"/>
              </w:rPr>
            </w:pPr>
            <w:r w:rsidRPr="00CC52BD">
              <w:t>Нечести</w:t>
            </w:r>
          </w:p>
        </w:tc>
        <w:tc>
          <w:tcPr>
            <w:tcW w:w="3167" w:type="dxa"/>
          </w:tcPr>
          <w:p w14:paraId="19807550" w14:textId="1CD630A3" w:rsidR="00CC52BD" w:rsidRPr="00CC52BD" w:rsidRDefault="00CC52BD" w:rsidP="00CC52BD">
            <w:pPr>
              <w:rPr>
                <w:lang w:val="en-US"/>
              </w:rPr>
            </w:pPr>
            <w:r w:rsidRPr="00CC52BD">
              <w:t>Безсъние, депресия</w:t>
            </w:r>
          </w:p>
        </w:tc>
      </w:tr>
      <w:tr w:rsidR="00CC52BD" w14:paraId="0914A977" w14:textId="77777777" w:rsidTr="00CC52BD">
        <w:tc>
          <w:tcPr>
            <w:tcW w:w="3166" w:type="dxa"/>
            <w:vMerge/>
          </w:tcPr>
          <w:p w14:paraId="479B2898" w14:textId="77777777" w:rsidR="00CC52BD" w:rsidRPr="00CC52BD" w:rsidRDefault="00CC52BD" w:rsidP="00CC52BD">
            <w:pPr>
              <w:rPr>
                <w:lang w:val="en-US"/>
              </w:rPr>
            </w:pPr>
          </w:p>
        </w:tc>
        <w:tc>
          <w:tcPr>
            <w:tcW w:w="3167" w:type="dxa"/>
          </w:tcPr>
          <w:p w14:paraId="267125C3" w14:textId="60149D21" w:rsidR="00CC52BD" w:rsidRPr="00CC52BD" w:rsidRDefault="00CC52BD" w:rsidP="00CC52BD">
            <w:pPr>
              <w:rPr>
                <w:lang w:val="en-US"/>
              </w:rPr>
            </w:pPr>
            <w:r w:rsidRPr="00CC52BD">
              <w:t>Редки</w:t>
            </w:r>
          </w:p>
        </w:tc>
        <w:tc>
          <w:tcPr>
            <w:tcW w:w="3167" w:type="dxa"/>
          </w:tcPr>
          <w:p w14:paraId="5DC27BCF" w14:textId="11DCD282" w:rsidR="00CC52BD" w:rsidRPr="00CC52BD" w:rsidRDefault="00CC52BD" w:rsidP="00CC52BD">
            <w:pPr>
              <w:rPr>
                <w:lang w:val="en-US"/>
              </w:rPr>
            </w:pPr>
            <w:r w:rsidRPr="00CC52BD">
              <w:t>Объркване, нервност, ажитация</w:t>
            </w:r>
          </w:p>
        </w:tc>
      </w:tr>
      <w:tr w:rsidR="00CC52BD" w14:paraId="7F7913DB" w14:textId="77777777" w:rsidTr="00CC52BD">
        <w:tc>
          <w:tcPr>
            <w:tcW w:w="3166" w:type="dxa"/>
            <w:vMerge w:val="restart"/>
          </w:tcPr>
          <w:p w14:paraId="78B5F7F8" w14:textId="5F847EB2" w:rsidR="00CC52BD" w:rsidRPr="00CC52BD" w:rsidRDefault="00CC52BD" w:rsidP="00CC52BD">
            <w:pPr>
              <w:rPr>
                <w:lang w:val="en-US"/>
              </w:rPr>
            </w:pPr>
            <w:r w:rsidRPr="00CC52BD">
              <w:t>Нарушения на нервната система</w:t>
            </w:r>
          </w:p>
        </w:tc>
        <w:tc>
          <w:tcPr>
            <w:tcW w:w="3167" w:type="dxa"/>
          </w:tcPr>
          <w:p w14:paraId="77F6D8B4" w14:textId="78FD58B7" w:rsidR="00CC52BD" w:rsidRPr="00CC52BD" w:rsidRDefault="00CC52BD" w:rsidP="00CC52BD">
            <w:pPr>
              <w:rPr>
                <w:lang w:val="en-US"/>
              </w:rPr>
            </w:pPr>
            <w:r w:rsidRPr="00CC52BD">
              <w:t>Чести</w:t>
            </w:r>
          </w:p>
        </w:tc>
        <w:tc>
          <w:tcPr>
            <w:tcW w:w="3167" w:type="dxa"/>
          </w:tcPr>
          <w:p w14:paraId="53E47C15" w14:textId="2A414D75" w:rsidR="00CC52BD" w:rsidRPr="00CC52BD" w:rsidRDefault="00CC52BD" w:rsidP="00CC52BD">
            <w:pPr>
              <w:rPr>
                <w:lang w:val="en-US"/>
              </w:rPr>
            </w:pPr>
            <w:r w:rsidRPr="00CC52BD">
              <w:t>Леко и преходно главоболие, замайване</w:t>
            </w:r>
          </w:p>
        </w:tc>
      </w:tr>
      <w:tr w:rsidR="00CC52BD" w14:paraId="13AF00EE" w14:textId="77777777" w:rsidTr="00CC52BD">
        <w:tc>
          <w:tcPr>
            <w:tcW w:w="3166" w:type="dxa"/>
            <w:vMerge/>
          </w:tcPr>
          <w:p w14:paraId="62FBBDC8" w14:textId="77777777" w:rsidR="00CC52BD" w:rsidRPr="00CC52BD" w:rsidRDefault="00CC52BD" w:rsidP="00CC52BD">
            <w:pPr>
              <w:rPr>
                <w:lang w:val="en-US"/>
              </w:rPr>
            </w:pPr>
          </w:p>
        </w:tc>
        <w:tc>
          <w:tcPr>
            <w:tcW w:w="3167" w:type="dxa"/>
          </w:tcPr>
          <w:p w14:paraId="6EAC79FF" w14:textId="2645476A" w:rsidR="00CC52BD" w:rsidRPr="00CC52BD" w:rsidRDefault="00CC52BD" w:rsidP="00CC52BD">
            <w:pPr>
              <w:rPr>
                <w:lang w:val="en-US"/>
              </w:rPr>
            </w:pPr>
            <w:r w:rsidRPr="00CC52BD">
              <w:t>Редки</w:t>
            </w:r>
          </w:p>
        </w:tc>
        <w:tc>
          <w:tcPr>
            <w:tcW w:w="3167" w:type="dxa"/>
          </w:tcPr>
          <w:p w14:paraId="69D10B65" w14:textId="4AD1730A" w:rsidR="00CC52BD" w:rsidRPr="00CC52BD" w:rsidRDefault="00CC52BD" w:rsidP="00CC52BD">
            <w:pPr>
              <w:rPr>
                <w:lang w:val="en-US"/>
              </w:rPr>
            </w:pPr>
            <w:r w:rsidRPr="00CC52BD">
              <w:t>Сънливост, парестезия, дисгеузия, тремор, мигрена</w:t>
            </w:r>
          </w:p>
        </w:tc>
      </w:tr>
      <w:tr w:rsidR="00CC52BD" w14:paraId="6B9FF34B" w14:textId="77777777" w:rsidTr="00CC52BD">
        <w:tc>
          <w:tcPr>
            <w:tcW w:w="3166" w:type="dxa"/>
            <w:vMerge/>
          </w:tcPr>
          <w:p w14:paraId="3BC358C4" w14:textId="77777777" w:rsidR="00CC52BD" w:rsidRPr="00CC52BD" w:rsidRDefault="00CC52BD" w:rsidP="00CC52BD">
            <w:pPr>
              <w:rPr>
                <w:lang w:val="en-US"/>
              </w:rPr>
            </w:pPr>
          </w:p>
        </w:tc>
        <w:tc>
          <w:tcPr>
            <w:tcW w:w="3167" w:type="dxa"/>
          </w:tcPr>
          <w:p w14:paraId="50313AC8" w14:textId="6037360D" w:rsidR="00CC52BD" w:rsidRPr="00CC52BD" w:rsidRDefault="00CC52BD" w:rsidP="00CC52BD">
            <w:pPr>
              <w:rPr>
                <w:lang w:val="en-US"/>
              </w:rPr>
            </w:pPr>
            <w:r w:rsidRPr="00CC52BD">
              <w:t>Много редки</w:t>
            </w:r>
          </w:p>
        </w:tc>
        <w:tc>
          <w:tcPr>
            <w:tcW w:w="3167" w:type="dxa"/>
          </w:tcPr>
          <w:p w14:paraId="0BA8F3DC" w14:textId="41216E62" w:rsidR="00CC52BD" w:rsidRPr="00CC52BD" w:rsidRDefault="00CC52BD" w:rsidP="00CC52BD">
            <w:pPr>
              <w:rPr>
                <w:lang w:val="en-US"/>
              </w:rPr>
            </w:pPr>
            <w:r w:rsidRPr="00CC52BD">
              <w:t xml:space="preserve">Асептичен менингит при пациенти със системен </w:t>
            </w:r>
            <w:r w:rsidRPr="00CC52BD">
              <w:lastRenderedPageBreak/>
              <w:t>лупус еритематозус смесени нарушения на съединителната тъкан (виж точка 4.4)</w:t>
            </w:r>
          </w:p>
        </w:tc>
      </w:tr>
      <w:tr w:rsidR="00CC52BD" w14:paraId="144A0A21" w14:textId="77777777" w:rsidTr="00CC52BD">
        <w:tc>
          <w:tcPr>
            <w:tcW w:w="3166" w:type="dxa"/>
            <w:vMerge w:val="restart"/>
          </w:tcPr>
          <w:p w14:paraId="7245832C" w14:textId="3BC17A6B" w:rsidR="00CC52BD" w:rsidRPr="00CC52BD" w:rsidRDefault="00CC52BD" w:rsidP="00CC52BD">
            <w:pPr>
              <w:rPr>
                <w:lang w:val="en-US"/>
              </w:rPr>
            </w:pPr>
            <w:r w:rsidRPr="00CC52BD">
              <w:lastRenderedPageBreak/>
              <w:t>Нарушения на</w:t>
            </w:r>
            <w:r>
              <w:t xml:space="preserve"> </w:t>
            </w:r>
            <w:r w:rsidRPr="00CC52BD">
              <w:t>очите</w:t>
            </w:r>
          </w:p>
        </w:tc>
        <w:tc>
          <w:tcPr>
            <w:tcW w:w="3167" w:type="dxa"/>
          </w:tcPr>
          <w:p w14:paraId="6FC623CC" w14:textId="6E34A05C" w:rsidR="00CC52BD" w:rsidRPr="00CC52BD" w:rsidRDefault="00CC52BD" w:rsidP="00CC52BD">
            <w:pPr>
              <w:rPr>
                <w:lang w:val="en-US"/>
              </w:rPr>
            </w:pPr>
            <w:r w:rsidRPr="00CC52BD">
              <w:t>Нечести</w:t>
            </w:r>
          </w:p>
        </w:tc>
        <w:tc>
          <w:tcPr>
            <w:tcW w:w="3167" w:type="dxa"/>
          </w:tcPr>
          <w:p w14:paraId="1F5829D8" w14:textId="73F8CAC0" w:rsidR="00CC52BD" w:rsidRPr="00CC52BD" w:rsidRDefault="00CC52BD" w:rsidP="00CC52BD">
            <w:pPr>
              <w:rPr>
                <w:lang w:val="en-US"/>
              </w:rPr>
            </w:pPr>
            <w:r w:rsidRPr="00CC52BD">
              <w:t>Конюнктивит</w:t>
            </w:r>
          </w:p>
        </w:tc>
      </w:tr>
      <w:tr w:rsidR="00CC52BD" w14:paraId="1B2C869B" w14:textId="77777777" w:rsidTr="00CC52BD">
        <w:tc>
          <w:tcPr>
            <w:tcW w:w="3166" w:type="dxa"/>
            <w:vMerge/>
          </w:tcPr>
          <w:p w14:paraId="7773527A" w14:textId="77777777" w:rsidR="00CC52BD" w:rsidRDefault="00CC52BD" w:rsidP="00CC52BD">
            <w:pPr>
              <w:rPr>
                <w:lang w:val="en-US"/>
              </w:rPr>
            </w:pPr>
          </w:p>
        </w:tc>
        <w:tc>
          <w:tcPr>
            <w:tcW w:w="3167" w:type="dxa"/>
          </w:tcPr>
          <w:p w14:paraId="1E2FFEE5" w14:textId="53471C7C" w:rsidR="00CC52BD" w:rsidRDefault="00CC52BD" w:rsidP="00CC52BD">
            <w:pPr>
              <w:rPr>
                <w:lang w:val="en-US"/>
              </w:rPr>
            </w:pPr>
            <w:r>
              <w:t>Редки</w:t>
            </w:r>
          </w:p>
        </w:tc>
        <w:tc>
          <w:tcPr>
            <w:tcW w:w="3167" w:type="dxa"/>
          </w:tcPr>
          <w:p w14:paraId="32525250" w14:textId="6A1C98B6" w:rsidR="00CC52BD" w:rsidRDefault="00CC52BD" w:rsidP="00CC52BD">
            <w:pPr>
              <w:rPr>
                <w:lang w:val="en-US"/>
              </w:rPr>
            </w:pPr>
            <w:r>
              <w:t>Зрителни нарушения</w:t>
            </w:r>
          </w:p>
        </w:tc>
      </w:tr>
      <w:tr w:rsidR="00CC52BD" w14:paraId="665951D8" w14:textId="77777777" w:rsidTr="00A5429E">
        <w:tc>
          <w:tcPr>
            <w:tcW w:w="3166" w:type="dxa"/>
            <w:vAlign w:val="bottom"/>
          </w:tcPr>
          <w:p w14:paraId="16349CFC" w14:textId="66702F7B" w:rsidR="00CC52BD" w:rsidRPr="00CC52BD" w:rsidRDefault="00CC52BD" w:rsidP="00CC52BD">
            <w:pPr>
              <w:rPr>
                <w:lang w:val="en-US"/>
              </w:rPr>
            </w:pPr>
            <w:r w:rsidRPr="00CC52BD">
              <w:t>Нарушения на ухото и лабиринта</w:t>
            </w:r>
          </w:p>
        </w:tc>
        <w:tc>
          <w:tcPr>
            <w:tcW w:w="3167" w:type="dxa"/>
          </w:tcPr>
          <w:p w14:paraId="7B773D9E" w14:textId="78DA72AC" w:rsidR="00CC52BD" w:rsidRPr="00CC52BD" w:rsidRDefault="00CC52BD" w:rsidP="00CC52BD">
            <w:pPr>
              <w:rPr>
                <w:lang w:val="en-US"/>
              </w:rPr>
            </w:pPr>
            <w:r w:rsidRPr="00CC52BD">
              <w:t>Нечести</w:t>
            </w:r>
          </w:p>
        </w:tc>
        <w:tc>
          <w:tcPr>
            <w:tcW w:w="3167" w:type="dxa"/>
          </w:tcPr>
          <w:p w14:paraId="2883E0F1" w14:textId="6F6E2D63" w:rsidR="00CC52BD" w:rsidRPr="00CC52BD" w:rsidRDefault="00CC52BD" w:rsidP="00CC52BD">
            <w:pPr>
              <w:rPr>
                <w:lang w:val="en-US"/>
              </w:rPr>
            </w:pPr>
            <w:r w:rsidRPr="00CC52BD">
              <w:t>Виене на свят, шум в ушите</w:t>
            </w:r>
          </w:p>
        </w:tc>
      </w:tr>
      <w:tr w:rsidR="00CC52BD" w14:paraId="356FA22F" w14:textId="77777777" w:rsidTr="00A5429E">
        <w:tc>
          <w:tcPr>
            <w:tcW w:w="3166" w:type="dxa"/>
            <w:vAlign w:val="bottom"/>
          </w:tcPr>
          <w:p w14:paraId="0BA5B293" w14:textId="70D0275F" w:rsidR="00CC52BD" w:rsidRPr="00CC52BD" w:rsidRDefault="00CC52BD" w:rsidP="00CC52BD">
            <w:pPr>
              <w:rPr>
                <w:lang w:val="en-US"/>
              </w:rPr>
            </w:pPr>
            <w:r w:rsidRPr="00CC52BD">
              <w:t>Сърдечни нарушения</w:t>
            </w:r>
          </w:p>
        </w:tc>
        <w:tc>
          <w:tcPr>
            <w:tcW w:w="3167" w:type="dxa"/>
          </w:tcPr>
          <w:p w14:paraId="6EC0627A" w14:textId="7C8363D0" w:rsidR="00CC52BD" w:rsidRPr="00CC52BD" w:rsidRDefault="00CC52BD" w:rsidP="00CC52BD">
            <w:pPr>
              <w:rPr>
                <w:lang w:val="en-US"/>
              </w:rPr>
            </w:pPr>
            <w:r w:rsidRPr="00CC52BD">
              <w:t>Нечести</w:t>
            </w:r>
          </w:p>
        </w:tc>
        <w:tc>
          <w:tcPr>
            <w:tcW w:w="3167" w:type="dxa"/>
            <w:vAlign w:val="bottom"/>
          </w:tcPr>
          <w:p w14:paraId="658EE18C" w14:textId="57992FF3" w:rsidR="00CC52BD" w:rsidRPr="00CC52BD" w:rsidRDefault="00CC52BD" w:rsidP="00CC52BD">
            <w:pPr>
              <w:rPr>
                <w:lang w:val="en-US"/>
              </w:rPr>
            </w:pPr>
            <w:r w:rsidRPr="00CC52BD">
              <w:t>Палпитации, тахикардия, оток, сърдечна недостатъчност (виж точка 4.4)</w:t>
            </w:r>
          </w:p>
        </w:tc>
      </w:tr>
      <w:tr w:rsidR="00CC52BD" w14:paraId="2E225C04" w14:textId="77777777" w:rsidTr="00A5429E">
        <w:tc>
          <w:tcPr>
            <w:tcW w:w="3166" w:type="dxa"/>
            <w:vMerge w:val="restart"/>
          </w:tcPr>
          <w:p w14:paraId="16ADB540" w14:textId="2AD17431" w:rsidR="00CC52BD" w:rsidRPr="00CC52BD" w:rsidRDefault="00CC52BD" w:rsidP="00CC52BD">
            <w:pPr>
              <w:rPr>
                <w:lang w:val="en-US"/>
              </w:rPr>
            </w:pPr>
            <w:r w:rsidRPr="00CC52BD">
              <w:t>Съдови нарушения</w:t>
            </w:r>
          </w:p>
        </w:tc>
        <w:tc>
          <w:tcPr>
            <w:tcW w:w="3167" w:type="dxa"/>
            <w:vAlign w:val="bottom"/>
          </w:tcPr>
          <w:p w14:paraId="210F195D" w14:textId="40633964" w:rsidR="00CC52BD" w:rsidRPr="00CC52BD" w:rsidRDefault="00CC52BD" w:rsidP="00CC52BD">
            <w:pPr>
              <w:rPr>
                <w:lang w:val="en-US"/>
              </w:rPr>
            </w:pPr>
            <w:r w:rsidRPr="00CC52BD">
              <w:t>Нечести</w:t>
            </w:r>
          </w:p>
        </w:tc>
        <w:tc>
          <w:tcPr>
            <w:tcW w:w="3167" w:type="dxa"/>
            <w:vAlign w:val="bottom"/>
          </w:tcPr>
          <w:p w14:paraId="5B4CD8B4" w14:textId="399D9702" w:rsidR="00CC52BD" w:rsidRPr="00CC52BD" w:rsidRDefault="00CC52BD" w:rsidP="00CC52BD">
            <w:pPr>
              <w:rPr>
                <w:lang w:val="en-US"/>
              </w:rPr>
            </w:pPr>
            <w:r w:rsidRPr="00CC52BD">
              <w:t>Зачервяване, оток</w:t>
            </w:r>
          </w:p>
        </w:tc>
      </w:tr>
      <w:tr w:rsidR="00CC52BD" w14:paraId="7037C964" w14:textId="77777777" w:rsidTr="00A5429E">
        <w:tc>
          <w:tcPr>
            <w:tcW w:w="3166" w:type="dxa"/>
            <w:vMerge/>
          </w:tcPr>
          <w:p w14:paraId="7730CB22" w14:textId="77777777" w:rsidR="00CC52BD" w:rsidRPr="00CC52BD" w:rsidRDefault="00CC52BD" w:rsidP="00CC52BD">
            <w:pPr>
              <w:rPr>
                <w:lang w:val="en-US"/>
              </w:rPr>
            </w:pPr>
          </w:p>
        </w:tc>
        <w:tc>
          <w:tcPr>
            <w:tcW w:w="3167" w:type="dxa"/>
            <w:vAlign w:val="bottom"/>
          </w:tcPr>
          <w:p w14:paraId="25EDD4B5" w14:textId="6DB6EDDB" w:rsidR="00CC52BD" w:rsidRPr="00CC52BD" w:rsidRDefault="00CC52BD" w:rsidP="00CC52BD">
            <w:pPr>
              <w:rPr>
                <w:lang w:val="en-US"/>
              </w:rPr>
            </w:pPr>
            <w:r w:rsidRPr="00CC52BD">
              <w:t>Редки</w:t>
            </w:r>
          </w:p>
        </w:tc>
        <w:tc>
          <w:tcPr>
            <w:tcW w:w="3167" w:type="dxa"/>
            <w:vAlign w:val="bottom"/>
          </w:tcPr>
          <w:p w14:paraId="3005F940" w14:textId="1DCFEB5D" w:rsidR="00CC52BD" w:rsidRPr="00CC52BD" w:rsidRDefault="00CC52BD" w:rsidP="00CC52BD">
            <w:pPr>
              <w:rPr>
                <w:lang w:val="en-US"/>
              </w:rPr>
            </w:pPr>
            <w:r w:rsidRPr="00CC52BD">
              <w:t>Хипертония, топли вълни, кръвоизлив, хематом</w:t>
            </w:r>
          </w:p>
        </w:tc>
      </w:tr>
      <w:tr w:rsidR="00CC52BD" w14:paraId="358E9C0B" w14:textId="77777777" w:rsidTr="00A5429E">
        <w:tc>
          <w:tcPr>
            <w:tcW w:w="3166" w:type="dxa"/>
            <w:vMerge w:val="restart"/>
            <w:vAlign w:val="bottom"/>
          </w:tcPr>
          <w:p w14:paraId="2735E390" w14:textId="4C850B8D" w:rsidR="00CC52BD" w:rsidRPr="00CC52BD" w:rsidRDefault="00CC52BD" w:rsidP="00CC52BD">
            <w:pPr>
              <w:rPr>
                <w:lang w:val="en-US"/>
              </w:rPr>
            </w:pPr>
            <w:r w:rsidRPr="00CC52BD">
              <w:t>Респираторни, гръдни и медиастинални нарушения</w:t>
            </w:r>
          </w:p>
        </w:tc>
        <w:tc>
          <w:tcPr>
            <w:tcW w:w="3167" w:type="dxa"/>
          </w:tcPr>
          <w:p w14:paraId="5967C3E2" w14:textId="271905FA" w:rsidR="00CC52BD" w:rsidRPr="00CC52BD" w:rsidRDefault="00CC52BD" w:rsidP="00CC52BD">
            <w:pPr>
              <w:rPr>
                <w:lang w:val="en-US"/>
              </w:rPr>
            </w:pPr>
            <w:r w:rsidRPr="00CC52BD">
              <w:t>Нечести</w:t>
            </w:r>
          </w:p>
        </w:tc>
        <w:tc>
          <w:tcPr>
            <w:tcW w:w="3167" w:type="dxa"/>
          </w:tcPr>
          <w:p w14:paraId="7CD29442" w14:textId="060714ED" w:rsidR="00CC52BD" w:rsidRPr="00CC52BD" w:rsidRDefault="00CC52BD" w:rsidP="00CC52BD">
            <w:pPr>
              <w:rPr>
                <w:lang w:val="en-US"/>
              </w:rPr>
            </w:pPr>
            <w:r w:rsidRPr="00CC52BD">
              <w:t>Ринит</w:t>
            </w:r>
          </w:p>
        </w:tc>
      </w:tr>
      <w:tr w:rsidR="00CC52BD" w14:paraId="7DBA24AD" w14:textId="77777777" w:rsidTr="00A5429E">
        <w:tc>
          <w:tcPr>
            <w:tcW w:w="3166" w:type="dxa"/>
            <w:vMerge/>
            <w:vAlign w:val="bottom"/>
          </w:tcPr>
          <w:p w14:paraId="3B051369" w14:textId="77777777" w:rsidR="00CC52BD" w:rsidRPr="00CC52BD" w:rsidRDefault="00CC52BD" w:rsidP="00CC52BD">
            <w:pPr>
              <w:rPr>
                <w:lang w:val="en-US"/>
              </w:rPr>
            </w:pPr>
          </w:p>
        </w:tc>
        <w:tc>
          <w:tcPr>
            <w:tcW w:w="3167" w:type="dxa"/>
          </w:tcPr>
          <w:p w14:paraId="4CC66C93" w14:textId="58BA780D" w:rsidR="00CC52BD" w:rsidRPr="00CC52BD" w:rsidRDefault="00CC52BD" w:rsidP="00CC52BD">
            <w:pPr>
              <w:rPr>
                <w:lang w:val="en-US"/>
              </w:rPr>
            </w:pPr>
            <w:r w:rsidRPr="00CC52BD">
              <w:t>Редки</w:t>
            </w:r>
          </w:p>
        </w:tc>
        <w:tc>
          <w:tcPr>
            <w:tcW w:w="3167" w:type="dxa"/>
          </w:tcPr>
          <w:p w14:paraId="73401D8A" w14:textId="049C6E28" w:rsidR="00CC52BD" w:rsidRPr="00CC52BD" w:rsidRDefault="00CC52BD" w:rsidP="00CC52BD">
            <w:pPr>
              <w:rPr>
                <w:lang w:val="en-US"/>
              </w:rPr>
            </w:pPr>
            <w:r w:rsidRPr="00CC52BD">
              <w:t>Диспнея, кашлица, бронхоспазъм</w:t>
            </w:r>
          </w:p>
        </w:tc>
      </w:tr>
      <w:tr w:rsidR="00CC52BD" w14:paraId="59CCA553" w14:textId="77777777" w:rsidTr="00CC52BD">
        <w:tc>
          <w:tcPr>
            <w:tcW w:w="3166" w:type="dxa"/>
            <w:vMerge w:val="restart"/>
          </w:tcPr>
          <w:p w14:paraId="691DF044" w14:textId="20F0FF43" w:rsidR="00CC52BD" w:rsidRPr="00CC52BD" w:rsidRDefault="00CC52BD" w:rsidP="00CC52BD">
            <w:pPr>
              <w:rPr>
                <w:lang w:val="en-US"/>
              </w:rPr>
            </w:pPr>
            <w:r w:rsidRPr="00CC52BD">
              <w:t>Стомашно-чревни нарушения</w:t>
            </w:r>
          </w:p>
        </w:tc>
        <w:tc>
          <w:tcPr>
            <w:tcW w:w="3167" w:type="dxa"/>
          </w:tcPr>
          <w:p w14:paraId="3C973E70" w14:textId="587D6AB4" w:rsidR="00CC52BD" w:rsidRPr="00CC52BD" w:rsidRDefault="00CC52BD" w:rsidP="00CC52BD">
            <w:pPr>
              <w:rPr>
                <w:lang w:val="en-US"/>
              </w:rPr>
            </w:pPr>
            <w:r w:rsidRPr="00CC52BD">
              <w:t>Чести</w:t>
            </w:r>
          </w:p>
        </w:tc>
        <w:tc>
          <w:tcPr>
            <w:tcW w:w="3167" w:type="dxa"/>
          </w:tcPr>
          <w:p w14:paraId="11433172" w14:textId="5E737286" w:rsidR="00CC52BD" w:rsidRPr="00CC52BD" w:rsidRDefault="00CC52BD" w:rsidP="00CC52BD">
            <w:pPr>
              <w:rPr>
                <w:lang w:val="en-US"/>
              </w:rPr>
            </w:pPr>
            <w:r w:rsidRPr="00CC52BD">
              <w:t>Гадене, коремна болка, диспепсия, диария, повръщане</w:t>
            </w:r>
          </w:p>
        </w:tc>
      </w:tr>
      <w:tr w:rsidR="00CC52BD" w14:paraId="2496B7DB" w14:textId="77777777" w:rsidTr="0073462B">
        <w:tc>
          <w:tcPr>
            <w:tcW w:w="3166" w:type="dxa"/>
            <w:vMerge/>
          </w:tcPr>
          <w:p w14:paraId="1AEF42DD" w14:textId="77777777" w:rsidR="00CC52BD" w:rsidRPr="00CC52BD" w:rsidRDefault="00CC52BD" w:rsidP="00CC52BD">
            <w:pPr>
              <w:rPr>
                <w:lang w:val="en-US"/>
              </w:rPr>
            </w:pPr>
          </w:p>
        </w:tc>
        <w:tc>
          <w:tcPr>
            <w:tcW w:w="3167" w:type="dxa"/>
          </w:tcPr>
          <w:p w14:paraId="67E4C65D" w14:textId="0DFD778B" w:rsidR="00CC52BD" w:rsidRPr="00CC52BD" w:rsidRDefault="00CC52BD" w:rsidP="00CC52BD">
            <w:pPr>
              <w:rPr>
                <w:lang w:val="en-US"/>
              </w:rPr>
            </w:pPr>
            <w:r w:rsidRPr="00CC52BD">
              <w:t>Нечести</w:t>
            </w:r>
          </w:p>
        </w:tc>
        <w:tc>
          <w:tcPr>
            <w:tcW w:w="3167" w:type="dxa"/>
            <w:vAlign w:val="bottom"/>
          </w:tcPr>
          <w:p w14:paraId="4E9AD2D3" w14:textId="4FDFC272" w:rsidR="00CC52BD" w:rsidRPr="00CC52BD" w:rsidRDefault="00CC52BD" w:rsidP="00CC52BD">
            <w:pPr>
              <w:rPr>
                <w:lang w:val="en-US"/>
              </w:rPr>
            </w:pPr>
            <w:r w:rsidRPr="00CC52BD">
              <w:t>Запек, метеоризъм, оригване, сухота в устата, гастрит, стомашна язва, болка в горната част на корема, дуоденална язва, разязвяване на устата</w:t>
            </w:r>
          </w:p>
        </w:tc>
      </w:tr>
      <w:tr w:rsidR="00CC52BD" w14:paraId="5932532B" w14:textId="77777777" w:rsidTr="0073462B">
        <w:tc>
          <w:tcPr>
            <w:tcW w:w="3166" w:type="dxa"/>
            <w:vMerge/>
          </w:tcPr>
          <w:p w14:paraId="4517FFCF" w14:textId="77777777" w:rsidR="00CC52BD" w:rsidRPr="00CC52BD" w:rsidRDefault="00CC52BD" w:rsidP="00CC52BD">
            <w:pPr>
              <w:rPr>
                <w:lang w:val="en-US"/>
              </w:rPr>
            </w:pPr>
          </w:p>
        </w:tc>
        <w:tc>
          <w:tcPr>
            <w:tcW w:w="3167" w:type="dxa"/>
          </w:tcPr>
          <w:p w14:paraId="44BD8B54" w14:textId="56337D08" w:rsidR="00CC52BD" w:rsidRPr="00CC52BD" w:rsidRDefault="00CC52BD" w:rsidP="00CC52BD">
            <w:pPr>
              <w:rPr>
                <w:lang w:val="en-US"/>
              </w:rPr>
            </w:pPr>
            <w:r w:rsidRPr="00CC52BD">
              <w:t>Редки</w:t>
            </w:r>
          </w:p>
        </w:tc>
        <w:tc>
          <w:tcPr>
            <w:tcW w:w="3167" w:type="dxa"/>
            <w:vAlign w:val="bottom"/>
          </w:tcPr>
          <w:p w14:paraId="3696FB45" w14:textId="10509225" w:rsidR="00CC52BD" w:rsidRPr="00CC52BD" w:rsidRDefault="00CC52BD" w:rsidP="00CC52BD">
            <w:pPr>
              <w:rPr>
                <w:lang w:val="en-US"/>
              </w:rPr>
            </w:pPr>
            <w:r w:rsidRPr="00CC52BD">
              <w:t>Мелена, хематемеза, стоматит, езофагит, гастроезофагеален рефлукс, дисфагия, афтозен стоматит, глосит, перфорирала пептичнаязва, стомашно-чревен кръвоизлив</w:t>
            </w:r>
          </w:p>
        </w:tc>
      </w:tr>
      <w:tr w:rsidR="00CC52BD" w14:paraId="013ECE40" w14:textId="77777777" w:rsidTr="0073462B">
        <w:tc>
          <w:tcPr>
            <w:tcW w:w="3166" w:type="dxa"/>
            <w:vMerge w:val="restart"/>
          </w:tcPr>
          <w:p w14:paraId="7AAD6EEF" w14:textId="7E03610A" w:rsidR="00CC52BD" w:rsidRPr="00CC52BD" w:rsidRDefault="00CC52BD" w:rsidP="00CC52BD">
            <w:pPr>
              <w:rPr>
                <w:lang w:val="en-US"/>
              </w:rPr>
            </w:pPr>
            <w:r w:rsidRPr="00CC52BD">
              <w:t>Хепато-билиарни нарушения</w:t>
            </w:r>
          </w:p>
        </w:tc>
        <w:tc>
          <w:tcPr>
            <w:tcW w:w="3167" w:type="dxa"/>
          </w:tcPr>
          <w:p w14:paraId="6A85D09D" w14:textId="62AEC766" w:rsidR="00CC52BD" w:rsidRPr="00CC52BD" w:rsidRDefault="00CC52BD" w:rsidP="00CC52BD">
            <w:pPr>
              <w:rPr>
                <w:lang w:val="en-US"/>
              </w:rPr>
            </w:pPr>
            <w:r w:rsidRPr="00CC52BD">
              <w:t>Нечести</w:t>
            </w:r>
          </w:p>
        </w:tc>
        <w:tc>
          <w:tcPr>
            <w:tcW w:w="3167" w:type="dxa"/>
            <w:vAlign w:val="bottom"/>
          </w:tcPr>
          <w:p w14:paraId="2AA118BD" w14:textId="66247D2D" w:rsidR="00CC52BD" w:rsidRPr="00CC52BD" w:rsidRDefault="00CC52BD" w:rsidP="00CC52BD">
            <w:pPr>
              <w:rPr>
                <w:lang w:val="en-US"/>
              </w:rPr>
            </w:pPr>
            <w:r w:rsidRPr="00CC52BD">
              <w:t>Повишени стойности на показателите на чернодробната функция, СГПТ(АЛАТ) или СГОТ (АСАТ)</w:t>
            </w:r>
          </w:p>
        </w:tc>
      </w:tr>
      <w:tr w:rsidR="00CC52BD" w14:paraId="13BA4AD3" w14:textId="77777777" w:rsidTr="0073462B">
        <w:tc>
          <w:tcPr>
            <w:tcW w:w="3166" w:type="dxa"/>
            <w:vMerge/>
          </w:tcPr>
          <w:p w14:paraId="617B1A94" w14:textId="77777777" w:rsidR="00CC52BD" w:rsidRPr="00CC52BD" w:rsidRDefault="00CC52BD" w:rsidP="00CC52BD">
            <w:pPr>
              <w:rPr>
                <w:lang w:val="en-US"/>
              </w:rPr>
            </w:pPr>
          </w:p>
        </w:tc>
        <w:tc>
          <w:tcPr>
            <w:tcW w:w="3167" w:type="dxa"/>
            <w:vAlign w:val="bottom"/>
          </w:tcPr>
          <w:p w14:paraId="4AB79BD9" w14:textId="20E3217C" w:rsidR="00CC52BD" w:rsidRPr="00CC52BD" w:rsidRDefault="00CC52BD" w:rsidP="00CC52BD">
            <w:pPr>
              <w:rPr>
                <w:lang w:val="en-US"/>
              </w:rPr>
            </w:pPr>
            <w:r w:rsidRPr="00CC52BD">
              <w:t>Много редки</w:t>
            </w:r>
          </w:p>
        </w:tc>
        <w:tc>
          <w:tcPr>
            <w:tcW w:w="3167" w:type="dxa"/>
            <w:vAlign w:val="bottom"/>
          </w:tcPr>
          <w:p w14:paraId="00E2B159" w14:textId="4488485F" w:rsidR="00CC52BD" w:rsidRPr="00CC52BD" w:rsidRDefault="00CC52BD" w:rsidP="00CC52BD">
            <w:pPr>
              <w:rPr>
                <w:lang w:val="en-US"/>
              </w:rPr>
            </w:pPr>
            <w:r w:rsidRPr="00CC52BD">
              <w:t>Хепатотоксичност предизвикваща напр. чернодробна недостатъчност, хепатит, жълтеница и холестаза</w:t>
            </w:r>
          </w:p>
        </w:tc>
      </w:tr>
      <w:tr w:rsidR="00CC52BD" w14:paraId="5878A9AD" w14:textId="77777777" w:rsidTr="0073462B">
        <w:tc>
          <w:tcPr>
            <w:tcW w:w="3166" w:type="dxa"/>
            <w:vMerge w:val="restart"/>
          </w:tcPr>
          <w:p w14:paraId="6CD52990" w14:textId="3B4D3270" w:rsidR="00CC52BD" w:rsidRPr="00CC52BD" w:rsidRDefault="00CC52BD" w:rsidP="00CC52BD">
            <w:pPr>
              <w:rPr>
                <w:lang w:val="en-US"/>
              </w:rPr>
            </w:pPr>
            <w:r w:rsidRPr="00CC52BD">
              <w:t>Нарушения на кожата и подкожната тъкан</w:t>
            </w:r>
          </w:p>
        </w:tc>
        <w:tc>
          <w:tcPr>
            <w:tcW w:w="3167" w:type="dxa"/>
          </w:tcPr>
          <w:p w14:paraId="48A86565" w14:textId="1B94C8EF" w:rsidR="00CC52BD" w:rsidRPr="00CC52BD" w:rsidRDefault="00CC52BD" w:rsidP="00CC52BD">
            <w:pPr>
              <w:rPr>
                <w:lang w:val="en-US"/>
              </w:rPr>
            </w:pPr>
            <w:r w:rsidRPr="00CC52BD">
              <w:t>Нечести</w:t>
            </w:r>
          </w:p>
        </w:tc>
        <w:tc>
          <w:tcPr>
            <w:tcW w:w="3167" w:type="dxa"/>
            <w:vAlign w:val="bottom"/>
          </w:tcPr>
          <w:p w14:paraId="7F46C175" w14:textId="35ED2EEC" w:rsidR="00CC52BD" w:rsidRPr="00CC52BD" w:rsidRDefault="00CC52BD" w:rsidP="00CC52BD">
            <w:pPr>
              <w:rPr>
                <w:lang w:val="en-US"/>
              </w:rPr>
            </w:pPr>
            <w:r w:rsidRPr="00CC52BD">
              <w:t xml:space="preserve">Обрив, сърбеж, хиперхидроза, </w:t>
            </w:r>
            <w:r w:rsidRPr="00CC52BD">
              <w:lastRenderedPageBreak/>
              <w:t>еритематозен обрив, уртикария, ангиоедем, алопеция</w:t>
            </w:r>
          </w:p>
        </w:tc>
      </w:tr>
      <w:tr w:rsidR="00CC52BD" w14:paraId="4DEC0106" w14:textId="77777777" w:rsidTr="00CC52BD">
        <w:tc>
          <w:tcPr>
            <w:tcW w:w="3166" w:type="dxa"/>
            <w:vMerge/>
          </w:tcPr>
          <w:p w14:paraId="28123B93" w14:textId="77777777" w:rsidR="00CC52BD" w:rsidRPr="00CC52BD" w:rsidRDefault="00CC52BD" w:rsidP="00CC52BD">
            <w:pPr>
              <w:rPr>
                <w:lang w:val="en-US"/>
              </w:rPr>
            </w:pPr>
          </w:p>
        </w:tc>
        <w:tc>
          <w:tcPr>
            <w:tcW w:w="3167" w:type="dxa"/>
          </w:tcPr>
          <w:p w14:paraId="5E843531" w14:textId="672DF31E" w:rsidR="00CC52BD" w:rsidRPr="00CC52BD" w:rsidRDefault="00CC52BD" w:rsidP="00CC52BD">
            <w:pPr>
              <w:rPr>
                <w:lang w:val="en-US"/>
              </w:rPr>
            </w:pPr>
            <w:r w:rsidRPr="00CC52BD">
              <w:t>Редки</w:t>
            </w:r>
          </w:p>
        </w:tc>
        <w:tc>
          <w:tcPr>
            <w:tcW w:w="3167" w:type="dxa"/>
          </w:tcPr>
          <w:p w14:paraId="10F97AE3" w14:textId="68D4A880" w:rsidR="00CC52BD" w:rsidRPr="00CC52BD" w:rsidRDefault="00CC52BD" w:rsidP="00CC52BD">
            <w:pPr>
              <w:rPr>
                <w:lang w:val="en-US"/>
              </w:rPr>
            </w:pPr>
            <w:r w:rsidRPr="00CC52BD">
              <w:t>Дерматит, екзема, пурпура</w:t>
            </w:r>
          </w:p>
        </w:tc>
      </w:tr>
      <w:tr w:rsidR="00CC52BD" w14:paraId="6FEA0648" w14:textId="77777777" w:rsidTr="0073462B">
        <w:tc>
          <w:tcPr>
            <w:tcW w:w="3166" w:type="dxa"/>
            <w:vMerge/>
          </w:tcPr>
          <w:p w14:paraId="71F0239C" w14:textId="77777777" w:rsidR="00CC52BD" w:rsidRPr="00CC52BD" w:rsidRDefault="00CC52BD" w:rsidP="00CC52BD">
            <w:pPr>
              <w:rPr>
                <w:lang w:val="en-US"/>
              </w:rPr>
            </w:pPr>
          </w:p>
        </w:tc>
        <w:tc>
          <w:tcPr>
            <w:tcW w:w="3167" w:type="dxa"/>
            <w:vAlign w:val="bottom"/>
          </w:tcPr>
          <w:p w14:paraId="24930F1C" w14:textId="41513833" w:rsidR="00CC52BD" w:rsidRPr="00CC52BD" w:rsidRDefault="00CC52BD" w:rsidP="00CC52BD">
            <w:pPr>
              <w:rPr>
                <w:lang w:val="en-US"/>
              </w:rPr>
            </w:pPr>
            <w:r w:rsidRPr="00CC52BD">
              <w:t>Много редки</w:t>
            </w:r>
          </w:p>
        </w:tc>
        <w:tc>
          <w:tcPr>
            <w:tcW w:w="3167" w:type="dxa"/>
            <w:vAlign w:val="bottom"/>
          </w:tcPr>
          <w:p w14:paraId="38B76D54" w14:textId="63E5E679" w:rsidR="00CC52BD" w:rsidRPr="00CC52BD" w:rsidRDefault="00CC52BD" w:rsidP="00CC52BD">
            <w:pPr>
              <w:rPr>
                <w:lang w:val="en-US"/>
              </w:rPr>
            </w:pPr>
            <w:r w:rsidRPr="00CC52BD">
              <w:t xml:space="preserve">Оток и булозни реакции, като </w:t>
            </w:r>
            <w:r w:rsidRPr="00CC52BD">
              <w:rPr>
                <w:lang w:val="en-US"/>
              </w:rPr>
              <w:t xml:space="preserve">Erythema multiforme, </w:t>
            </w:r>
            <w:r w:rsidRPr="00CC52BD">
              <w:t xml:space="preserve">синдром на </w:t>
            </w:r>
            <w:r w:rsidRPr="00CC52BD">
              <w:rPr>
                <w:lang w:val="en-US"/>
              </w:rPr>
              <w:t xml:space="preserve">Stevens- Johnson, </w:t>
            </w:r>
            <w:r w:rsidRPr="00CC52BD">
              <w:t>токсична епидермална некролиза</w:t>
            </w:r>
          </w:p>
        </w:tc>
      </w:tr>
      <w:tr w:rsidR="00CC52BD" w14:paraId="67905A9F" w14:textId="77777777" w:rsidTr="00CC52BD">
        <w:tc>
          <w:tcPr>
            <w:tcW w:w="3166" w:type="dxa"/>
            <w:vMerge w:val="restart"/>
          </w:tcPr>
          <w:p w14:paraId="7FFFDF07" w14:textId="358B4167" w:rsidR="00CC52BD" w:rsidRPr="00CC52BD" w:rsidRDefault="00CC52BD" w:rsidP="00CC52BD">
            <w:pPr>
              <w:rPr>
                <w:lang w:val="en-US"/>
              </w:rPr>
            </w:pPr>
            <w:r w:rsidRPr="00CC52BD">
              <w:t>Нарушения на мускулно- скелетната система и съединителната тъкан</w:t>
            </w:r>
          </w:p>
        </w:tc>
        <w:tc>
          <w:tcPr>
            <w:tcW w:w="3167" w:type="dxa"/>
          </w:tcPr>
          <w:p w14:paraId="161C1EE2" w14:textId="3A58ED4D" w:rsidR="00CC52BD" w:rsidRPr="00CC52BD" w:rsidRDefault="00CC52BD" w:rsidP="00CC52BD">
            <w:pPr>
              <w:rPr>
                <w:lang w:val="en-US"/>
              </w:rPr>
            </w:pPr>
            <w:r w:rsidRPr="00CC52BD">
              <w:t>Нечести</w:t>
            </w:r>
          </w:p>
        </w:tc>
        <w:tc>
          <w:tcPr>
            <w:tcW w:w="3167" w:type="dxa"/>
          </w:tcPr>
          <w:p w14:paraId="4FD98A02" w14:textId="0094777F" w:rsidR="00CC52BD" w:rsidRPr="00CC52BD" w:rsidRDefault="00CC52BD" w:rsidP="00CC52BD">
            <w:pPr>
              <w:rPr>
                <w:lang w:val="en-US"/>
              </w:rPr>
            </w:pPr>
            <w:r w:rsidRPr="00CC52BD">
              <w:t>Артралгия</w:t>
            </w:r>
          </w:p>
        </w:tc>
      </w:tr>
      <w:tr w:rsidR="00CC52BD" w14:paraId="6A5CA414" w14:textId="77777777" w:rsidTr="00CC52BD">
        <w:tc>
          <w:tcPr>
            <w:tcW w:w="3166" w:type="dxa"/>
            <w:vMerge/>
          </w:tcPr>
          <w:p w14:paraId="27F1752F" w14:textId="77777777" w:rsidR="00CC52BD" w:rsidRPr="00CC52BD" w:rsidRDefault="00CC52BD" w:rsidP="00CC52BD">
            <w:pPr>
              <w:rPr>
                <w:lang w:val="en-US"/>
              </w:rPr>
            </w:pPr>
          </w:p>
        </w:tc>
        <w:tc>
          <w:tcPr>
            <w:tcW w:w="3167" w:type="dxa"/>
          </w:tcPr>
          <w:p w14:paraId="7529435E" w14:textId="5AB8F26A" w:rsidR="00CC52BD" w:rsidRPr="00CC52BD" w:rsidRDefault="00CC52BD" w:rsidP="00CC52BD">
            <w:pPr>
              <w:rPr>
                <w:lang w:val="en-US"/>
              </w:rPr>
            </w:pPr>
            <w:r w:rsidRPr="00CC52BD">
              <w:t>Редки</w:t>
            </w:r>
          </w:p>
        </w:tc>
        <w:tc>
          <w:tcPr>
            <w:tcW w:w="3167" w:type="dxa"/>
          </w:tcPr>
          <w:p w14:paraId="4B0A6F4C" w14:textId="0438BDF4" w:rsidR="00CC52BD" w:rsidRPr="00CC52BD" w:rsidRDefault="00CC52BD" w:rsidP="00CC52BD">
            <w:pPr>
              <w:rPr>
                <w:lang w:val="en-US"/>
              </w:rPr>
            </w:pPr>
            <w:r w:rsidRPr="00CC52BD">
              <w:t>Болка в костите, мускулни спазми, миалгия</w:t>
            </w:r>
          </w:p>
        </w:tc>
      </w:tr>
      <w:tr w:rsidR="00CC52BD" w14:paraId="0C83CC23" w14:textId="77777777" w:rsidTr="00521232">
        <w:trPr>
          <w:trHeight w:val="373"/>
        </w:trPr>
        <w:tc>
          <w:tcPr>
            <w:tcW w:w="3166" w:type="dxa"/>
            <w:vMerge w:val="restart"/>
          </w:tcPr>
          <w:p w14:paraId="7F0F7B90" w14:textId="0FDBF8BC" w:rsidR="00CC52BD" w:rsidRPr="00CC52BD" w:rsidRDefault="00CC52BD" w:rsidP="00CC52BD">
            <w:pPr>
              <w:rPr>
                <w:lang w:val="en-US"/>
              </w:rPr>
            </w:pPr>
            <w:r w:rsidRPr="00CC52BD">
              <w:t>Нарушения на бъбреците и пикочните пътища</w:t>
            </w:r>
          </w:p>
        </w:tc>
        <w:tc>
          <w:tcPr>
            <w:tcW w:w="3167" w:type="dxa"/>
          </w:tcPr>
          <w:p w14:paraId="10043D86" w14:textId="04E1F587" w:rsidR="00CC52BD" w:rsidRPr="00CC52BD" w:rsidRDefault="00CC52BD" w:rsidP="00CC52BD">
            <w:pPr>
              <w:rPr>
                <w:lang w:val="en-US"/>
              </w:rPr>
            </w:pPr>
            <w:r w:rsidRPr="00CC52BD">
              <w:t>Редки</w:t>
            </w:r>
          </w:p>
        </w:tc>
        <w:tc>
          <w:tcPr>
            <w:tcW w:w="3167" w:type="dxa"/>
            <w:vAlign w:val="bottom"/>
          </w:tcPr>
          <w:p w14:paraId="0DB8FB0D" w14:textId="6B94FC7B" w:rsidR="00CC52BD" w:rsidRPr="00CC52BD" w:rsidRDefault="00CC52BD" w:rsidP="00CC52BD">
            <w:pPr>
              <w:rPr>
                <w:lang w:val="en-US"/>
              </w:rPr>
            </w:pPr>
            <w:r w:rsidRPr="00CC52BD">
              <w:t>Никтурия, микционни нарушения, повишаване нивата на серумната урея и креатинина</w:t>
            </w:r>
          </w:p>
        </w:tc>
      </w:tr>
      <w:tr w:rsidR="00CC52BD" w14:paraId="489716C3" w14:textId="77777777" w:rsidTr="00521232">
        <w:tc>
          <w:tcPr>
            <w:tcW w:w="3166" w:type="dxa"/>
            <w:vMerge/>
          </w:tcPr>
          <w:p w14:paraId="373B06D9" w14:textId="77777777" w:rsidR="00CC52BD" w:rsidRPr="00CC52BD" w:rsidRDefault="00CC52BD" w:rsidP="00CC52BD">
            <w:pPr>
              <w:rPr>
                <w:lang w:val="en-US"/>
              </w:rPr>
            </w:pPr>
          </w:p>
        </w:tc>
        <w:tc>
          <w:tcPr>
            <w:tcW w:w="3167" w:type="dxa"/>
          </w:tcPr>
          <w:p w14:paraId="6E828C25" w14:textId="4DA6DC9D" w:rsidR="00CC52BD" w:rsidRPr="00CC52BD" w:rsidRDefault="00CC52BD" w:rsidP="00CC52BD">
            <w:pPr>
              <w:rPr>
                <w:lang w:val="en-US"/>
              </w:rPr>
            </w:pPr>
            <w:r w:rsidRPr="00CC52BD">
              <w:t>Много редки</w:t>
            </w:r>
          </w:p>
        </w:tc>
        <w:tc>
          <w:tcPr>
            <w:tcW w:w="3167" w:type="dxa"/>
            <w:vAlign w:val="bottom"/>
          </w:tcPr>
          <w:p w14:paraId="21475510" w14:textId="156A5C76" w:rsidR="00CC52BD" w:rsidRPr="00CC52BD" w:rsidRDefault="00CC52BD" w:rsidP="00CC52BD">
            <w:pPr>
              <w:rPr>
                <w:lang w:val="en-US"/>
              </w:rPr>
            </w:pPr>
            <w:r w:rsidRPr="00CC52BD">
              <w:t>Лорноксикам може да предизвика остра бъбречна недостатъчност при пациенти с предшестващи бъбречни нарушения, които са зависими от бъбречните простагландини за поддържане на бъбречния кръвоток (виж точка 4.4). С НСПВС като класифициран ефект е била асоцирана нефротоксичност във вариращи форми, включително нефрит и нефротичен синдром</w:t>
            </w:r>
          </w:p>
        </w:tc>
      </w:tr>
      <w:tr w:rsidR="00CC52BD" w14:paraId="574A1B54" w14:textId="77777777" w:rsidTr="00CC52BD">
        <w:tc>
          <w:tcPr>
            <w:tcW w:w="3166" w:type="dxa"/>
            <w:vMerge w:val="restart"/>
          </w:tcPr>
          <w:p w14:paraId="67510969" w14:textId="2C69E426" w:rsidR="00CC52BD" w:rsidRPr="00CC52BD" w:rsidRDefault="00CC52BD" w:rsidP="00CC52BD">
            <w:pPr>
              <w:rPr>
                <w:lang w:val="en-US"/>
              </w:rPr>
            </w:pPr>
            <w:r w:rsidRPr="00CC52BD">
              <w:t>Общи нарушения и ефекти на мястото на приложение</w:t>
            </w:r>
          </w:p>
        </w:tc>
        <w:tc>
          <w:tcPr>
            <w:tcW w:w="3167" w:type="dxa"/>
          </w:tcPr>
          <w:p w14:paraId="2AE2E16E" w14:textId="75625201" w:rsidR="00CC52BD" w:rsidRPr="00CC52BD" w:rsidRDefault="00CC52BD" w:rsidP="00CC52BD">
            <w:pPr>
              <w:rPr>
                <w:lang w:val="en-US"/>
              </w:rPr>
            </w:pPr>
            <w:r w:rsidRPr="00CC52BD">
              <w:t>Нечести</w:t>
            </w:r>
          </w:p>
        </w:tc>
        <w:tc>
          <w:tcPr>
            <w:tcW w:w="3167" w:type="dxa"/>
          </w:tcPr>
          <w:p w14:paraId="5CEEFC18" w14:textId="57F0E626" w:rsidR="00CC52BD" w:rsidRPr="00CC52BD" w:rsidRDefault="00CC52BD" w:rsidP="00CC52BD">
            <w:pPr>
              <w:rPr>
                <w:lang w:val="en-US"/>
              </w:rPr>
            </w:pPr>
            <w:r w:rsidRPr="00CC52BD">
              <w:t>Неразположение, оток на лицето</w:t>
            </w:r>
          </w:p>
        </w:tc>
      </w:tr>
      <w:tr w:rsidR="00CC52BD" w14:paraId="1BCBB824" w14:textId="77777777" w:rsidTr="00CC52BD">
        <w:tc>
          <w:tcPr>
            <w:tcW w:w="3166" w:type="dxa"/>
            <w:vMerge/>
          </w:tcPr>
          <w:p w14:paraId="510753F6" w14:textId="77777777" w:rsidR="00CC52BD" w:rsidRPr="00CC52BD" w:rsidRDefault="00CC52BD" w:rsidP="00CC52BD">
            <w:pPr>
              <w:rPr>
                <w:lang w:val="en-US"/>
              </w:rPr>
            </w:pPr>
          </w:p>
        </w:tc>
        <w:tc>
          <w:tcPr>
            <w:tcW w:w="3167" w:type="dxa"/>
          </w:tcPr>
          <w:p w14:paraId="212CD42B" w14:textId="4FBA2E53" w:rsidR="00CC52BD" w:rsidRPr="00CC52BD" w:rsidRDefault="00CC52BD" w:rsidP="00CC52BD">
            <w:pPr>
              <w:rPr>
                <w:lang w:val="en-US"/>
              </w:rPr>
            </w:pPr>
            <w:r w:rsidRPr="00CC52BD">
              <w:t>Редки</w:t>
            </w:r>
          </w:p>
        </w:tc>
        <w:tc>
          <w:tcPr>
            <w:tcW w:w="3167" w:type="dxa"/>
          </w:tcPr>
          <w:p w14:paraId="4FD43A41" w14:textId="348FFCEC" w:rsidR="00CC52BD" w:rsidRPr="00CC52BD" w:rsidRDefault="00CC52BD" w:rsidP="00CC52BD">
            <w:pPr>
              <w:rPr>
                <w:lang w:val="en-US"/>
              </w:rPr>
            </w:pPr>
            <w:r w:rsidRPr="00CC52BD">
              <w:t>Астения</w:t>
            </w:r>
          </w:p>
        </w:tc>
      </w:tr>
    </w:tbl>
    <w:p w14:paraId="30E9D4DD" w14:textId="77777777" w:rsidR="00CC52BD" w:rsidRDefault="00CC52BD" w:rsidP="00CC52BD">
      <w:pPr>
        <w:spacing w:line="240" w:lineRule="auto"/>
        <w:rPr>
          <w:rFonts w:eastAsia="Times New Roman" w:cs="Arial"/>
          <w:color w:val="000000"/>
          <w:u w:val="single"/>
          <w:lang w:eastAsia="bg-BG"/>
        </w:rPr>
      </w:pPr>
    </w:p>
    <w:p w14:paraId="59005E51" w14:textId="1A830F2C" w:rsidR="00CC52BD" w:rsidRPr="00CC52BD" w:rsidRDefault="00CC52BD" w:rsidP="00CC52BD">
      <w:pPr>
        <w:spacing w:line="240" w:lineRule="auto"/>
        <w:rPr>
          <w:rFonts w:eastAsia="Times New Roman" w:cs="Arial"/>
          <w:lang w:eastAsia="bg-BG"/>
        </w:rPr>
      </w:pPr>
      <w:r w:rsidRPr="00CC52BD">
        <w:rPr>
          <w:rFonts w:eastAsia="Times New Roman" w:cs="Arial"/>
          <w:color w:val="000000"/>
          <w:u w:val="single"/>
          <w:lang w:eastAsia="bg-BG"/>
        </w:rPr>
        <w:t>Съобщаване на подозирани нежелани реакции</w:t>
      </w:r>
    </w:p>
    <w:p w14:paraId="495B6FDE" w14:textId="23D51F7B" w:rsidR="00CC52BD" w:rsidRDefault="00CC52BD" w:rsidP="00CC52BD">
      <w:pPr>
        <w:rPr>
          <w:rFonts w:eastAsia="Times New Roman" w:cs="Arial"/>
          <w:lang w:eastAsia="bg-BG"/>
        </w:rPr>
      </w:pPr>
      <w:r w:rsidRPr="00CC52BD">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в Изпълнителна агенция по лекарствата ул.,Дамян Груев” № 8, 1303 София, тел.: +35 928903417, уебсайт:</w:t>
      </w:r>
      <w:r w:rsidRPr="00CC52BD">
        <w:rPr>
          <w:rFonts w:eastAsia="Times New Roman" w:cs="Arial"/>
          <w:lang w:eastAsia="bg-BG"/>
        </w:rPr>
        <w:fldChar w:fldCharType="begin"/>
      </w:r>
      <w:r w:rsidRPr="00CC52BD">
        <w:rPr>
          <w:rFonts w:eastAsia="Times New Roman" w:cs="Arial"/>
          <w:lang w:eastAsia="bg-BG"/>
        </w:rPr>
        <w:instrText xml:space="preserve"> HYPERLINK "http://www.bda.bg" </w:instrText>
      </w:r>
      <w:r w:rsidRPr="00CC52BD">
        <w:rPr>
          <w:rFonts w:eastAsia="Times New Roman" w:cs="Arial"/>
          <w:lang w:eastAsia="bg-BG"/>
        </w:rPr>
      </w:r>
      <w:r w:rsidRPr="00CC52BD">
        <w:rPr>
          <w:rFonts w:eastAsia="Times New Roman" w:cs="Arial"/>
          <w:lang w:eastAsia="bg-BG"/>
        </w:rPr>
        <w:fldChar w:fldCharType="separate"/>
      </w:r>
      <w:r w:rsidRPr="00CC52BD">
        <w:rPr>
          <w:rFonts w:eastAsia="Times New Roman" w:cs="Arial"/>
          <w:color w:val="000000"/>
          <w:u w:val="single"/>
          <w:lang w:val="en-US"/>
        </w:rPr>
        <w:t>www.bda.bg</w:t>
      </w:r>
      <w:r w:rsidRPr="00CC52BD">
        <w:rPr>
          <w:rFonts w:eastAsia="Times New Roman" w:cs="Arial"/>
          <w:lang w:eastAsia="bg-BG"/>
        </w:rPr>
        <w:fldChar w:fldCharType="end"/>
      </w:r>
    </w:p>
    <w:p w14:paraId="30E5B936" w14:textId="77777777" w:rsidR="00CC52BD" w:rsidRPr="00CC52BD" w:rsidRDefault="00CC52BD" w:rsidP="00CC52BD">
      <w:pPr>
        <w:rPr>
          <w:rFonts w:eastAsia="Times New Roman" w:cs="Arial"/>
          <w:color w:val="000000"/>
          <w:lang w:eastAsia="bg-BG"/>
        </w:rPr>
      </w:pPr>
    </w:p>
    <w:p w14:paraId="2AE962CE" w14:textId="2079A8C4" w:rsidR="00CC52BD" w:rsidRDefault="002C50EE" w:rsidP="00CC52BD">
      <w:pPr>
        <w:pStyle w:val="Heading2"/>
      </w:pPr>
      <w:r>
        <w:t>4.9. Предозиране</w:t>
      </w:r>
    </w:p>
    <w:p w14:paraId="63335296" w14:textId="77777777" w:rsidR="00CC52BD" w:rsidRPr="00CC52BD" w:rsidRDefault="00CC52BD" w:rsidP="00CC52BD"/>
    <w:p w14:paraId="1548A644" w14:textId="77777777" w:rsidR="00CC52BD" w:rsidRPr="00CC52BD" w:rsidRDefault="00CC52BD" w:rsidP="00CC52BD">
      <w:pPr>
        <w:rPr>
          <w:rFonts w:eastAsia="Times New Roman" w:cs="Arial"/>
          <w:sz w:val="28"/>
          <w:szCs w:val="28"/>
          <w:lang w:eastAsia="bg-BG"/>
        </w:rPr>
      </w:pPr>
      <w:r w:rsidRPr="00CC52BD">
        <w:rPr>
          <w:rFonts w:cs="Arial"/>
        </w:rPr>
        <w:t>Засега няма опит с предозиране, който да позволи определяне на последствията от</w:t>
      </w:r>
      <w:r w:rsidRPr="00CC52BD">
        <w:rPr>
          <w:rFonts w:cs="Arial"/>
        </w:rPr>
        <w:t xml:space="preserve"> </w:t>
      </w:r>
      <w:r w:rsidRPr="00CC52BD">
        <w:rPr>
          <w:rFonts w:eastAsia="Times New Roman" w:cs="Arial"/>
          <w:color w:val="000000"/>
          <w:lang w:eastAsia="bg-BG"/>
        </w:rPr>
        <w:t xml:space="preserve">предозирането или да предложи специфично лечение. Но след предозиране с </w:t>
      </w:r>
      <w:r w:rsidRPr="00CC52BD">
        <w:rPr>
          <w:rFonts w:eastAsia="Times New Roman" w:cs="Arial"/>
          <w:color w:val="000000"/>
          <w:lang w:eastAsia="bg-BG"/>
        </w:rPr>
        <w:lastRenderedPageBreak/>
        <w:t>лорноксикам може да се очаква да бъдат наблюдавани следните симптоми: гадене, повръщане, церебрални симптоми (замайване, нарушения на зрението). Тежките симптоми са атаксия, напредваща до кома и крампи, чернодробни и бъбречни увреждания, и потенциални нарушения на коагулацията.</w:t>
      </w:r>
    </w:p>
    <w:p w14:paraId="2AA9ACB2" w14:textId="77777777" w:rsidR="00CC52BD" w:rsidRPr="00CC52BD" w:rsidRDefault="00CC52BD" w:rsidP="00CC52BD">
      <w:pPr>
        <w:rPr>
          <w:rFonts w:eastAsia="Times New Roman" w:cs="Arial"/>
          <w:color w:val="000000"/>
          <w:lang w:eastAsia="bg-BG"/>
        </w:rPr>
      </w:pPr>
    </w:p>
    <w:p w14:paraId="6C7D0D14" w14:textId="146BA1C5" w:rsidR="00CC52BD" w:rsidRPr="00CC52BD" w:rsidRDefault="00CC52BD" w:rsidP="00CC52BD">
      <w:pPr>
        <w:rPr>
          <w:rFonts w:eastAsia="Times New Roman" w:cs="Arial"/>
          <w:color w:val="000000"/>
          <w:lang w:eastAsia="bg-BG"/>
        </w:rPr>
      </w:pPr>
      <w:r w:rsidRPr="00CC52BD">
        <w:rPr>
          <w:rFonts w:eastAsia="Times New Roman" w:cs="Arial"/>
          <w:color w:val="000000"/>
          <w:lang w:eastAsia="bg-BG"/>
        </w:rPr>
        <w:t>В случай на реално предозиране или съмнение за такова, лечението с лекарствения продукт трябва да бъде спряно. Поради краткия си полуживот, лорноксикам се отделя бързо. Лорноксикам не се диализира. До днес не е известен специфичен антидот. Трябва да се имат предвид обичайните спешни мерки, включително стомашна промивка. Според правилата, само прилагането на активен въглен веднага след приема на лорноксикам може да доведе до намалена резорбция на продукта. Стомашно-чревните нарушения, например, могат да бъдат лекувани с простагландинов аналог или ранитидин.</w:t>
      </w:r>
    </w:p>
    <w:p w14:paraId="02081B24" w14:textId="36FE76F4" w:rsidR="00395555" w:rsidRPr="00395555" w:rsidRDefault="002C50EE" w:rsidP="008A6AF2">
      <w:pPr>
        <w:pStyle w:val="Heading1"/>
      </w:pPr>
      <w:r>
        <w:t>5. ФАРМАКОЛОГИЧНИ СВОЙСТВА</w:t>
      </w:r>
    </w:p>
    <w:p w14:paraId="7F6CC5E1" w14:textId="38E92AEC" w:rsidR="00F62E44" w:rsidRDefault="002C50EE" w:rsidP="00387A66">
      <w:pPr>
        <w:pStyle w:val="Heading2"/>
      </w:pPr>
      <w:r>
        <w:t>5.1. Фармакодинамични свойства</w:t>
      </w:r>
    </w:p>
    <w:p w14:paraId="2C811A6E" w14:textId="77777777" w:rsidR="00CC52BD" w:rsidRDefault="00CC52BD" w:rsidP="00CC52BD"/>
    <w:p w14:paraId="783A99A9" w14:textId="77777777"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t xml:space="preserve">Фармакотерапевтична група: противовъзпалителни и антиревматични лекарства, нестероиди, оксиками, АТС код: </w:t>
      </w:r>
      <w:r w:rsidRPr="00CC52BD">
        <w:rPr>
          <w:rFonts w:eastAsia="Times New Roman" w:cs="Arial"/>
          <w:color w:val="000000"/>
          <w:lang w:val="en-US"/>
        </w:rPr>
        <w:t>M01</w:t>
      </w:r>
      <w:r w:rsidRPr="00CC52BD">
        <w:rPr>
          <w:rFonts w:eastAsia="Times New Roman" w:cs="Arial"/>
          <w:color w:val="000000"/>
          <w:lang w:eastAsia="bg-BG"/>
        </w:rPr>
        <w:t>АС05.</w:t>
      </w:r>
    </w:p>
    <w:p w14:paraId="5BB75E7F" w14:textId="77777777" w:rsidR="00CC52BD" w:rsidRPr="00CC52BD" w:rsidRDefault="00CC52BD" w:rsidP="00CC52BD">
      <w:pPr>
        <w:spacing w:line="240" w:lineRule="auto"/>
        <w:rPr>
          <w:rFonts w:eastAsia="Times New Roman" w:cs="Arial"/>
          <w:color w:val="000000"/>
          <w:u w:val="single"/>
          <w:lang w:eastAsia="bg-BG"/>
        </w:rPr>
      </w:pPr>
    </w:p>
    <w:p w14:paraId="7B25E6CC" w14:textId="5E0E0A8B"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u w:val="single"/>
          <w:lang w:eastAsia="bg-BG"/>
        </w:rPr>
        <w:t>Механизъм на действие</w:t>
      </w:r>
    </w:p>
    <w:p w14:paraId="78140A6E" w14:textId="77777777"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t>Лорноксикам е нестероидно противовъзпалително лекарство с аналгетични свойства, което принадлежи към класа на оксикамите. Начинът на действие на лорноксикама се свързва главно с инхибирането на простагландиновия синтез (инхибиране на ензима циклооксигеназа), което води до десензибилизиране на периферните ноцицептори и последващо инхибиране на възпалението.Предполага се и централен ефект върху ноцицепцията, който изглежда е независим от противовъзпалителните ефекти.</w:t>
      </w:r>
      <w:r w:rsidRPr="00CC52BD">
        <w:rPr>
          <w:rFonts w:eastAsia="Times New Roman" w:cs="Arial"/>
          <w:color w:val="000000"/>
          <w:lang w:eastAsia="bg-BG"/>
        </w:rPr>
        <w:tab/>
      </w:r>
    </w:p>
    <w:p w14:paraId="37384BBC" w14:textId="77777777" w:rsidR="00CC52BD" w:rsidRPr="00CC52BD" w:rsidRDefault="00CC52BD" w:rsidP="00CC52BD">
      <w:pPr>
        <w:spacing w:line="240" w:lineRule="auto"/>
        <w:rPr>
          <w:rFonts w:eastAsia="Times New Roman" w:cs="Arial"/>
          <w:color w:val="000000"/>
          <w:u w:val="single"/>
          <w:lang w:eastAsia="bg-BG"/>
        </w:rPr>
      </w:pPr>
    </w:p>
    <w:p w14:paraId="33E11493" w14:textId="24B10C79"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u w:val="single"/>
          <w:lang w:eastAsia="bg-BG"/>
        </w:rPr>
        <w:t>Фармакодинамични ефекти</w:t>
      </w:r>
    </w:p>
    <w:p w14:paraId="5CDF138F" w14:textId="77777777"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t>Лорноксикам не повлиява показателите на жизнените функции (напр., телесна температура, честота на дишане, сърдечна честота, кръвно налягане, ЕКГ, спирометрия).</w:t>
      </w:r>
    </w:p>
    <w:p w14:paraId="6CCE7FA6" w14:textId="77777777" w:rsidR="00CC52BD" w:rsidRPr="00CC52BD" w:rsidRDefault="00CC52BD" w:rsidP="00CC52BD">
      <w:pPr>
        <w:spacing w:line="240" w:lineRule="auto"/>
        <w:rPr>
          <w:rFonts w:eastAsia="Times New Roman" w:cs="Arial"/>
          <w:color w:val="000000"/>
          <w:u w:val="single"/>
          <w:lang w:eastAsia="bg-BG"/>
        </w:rPr>
      </w:pPr>
    </w:p>
    <w:p w14:paraId="74FE2BB7" w14:textId="05BE339B"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u w:val="single"/>
          <w:lang w:eastAsia="bg-BG"/>
        </w:rPr>
        <w:t>Клинична ефикасност и безопасност</w:t>
      </w:r>
    </w:p>
    <w:p w14:paraId="55DFF25B" w14:textId="77777777"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t>Аналгетичните свойства на лорноксикам са доказани успешно в няколко клинични изпитвания по време на разработването на лекарството.</w:t>
      </w:r>
    </w:p>
    <w:p w14:paraId="0B617609" w14:textId="77777777"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t>Поради локалното стомашно-чревно дразнене и системния улцерогенен ефект, свързан с инхибирането на простагландиновия (РС)-синтез, стомашно-чревните последици са чести нежелани ефекти след лечение с лорноксикам, както и при другите НСПВС.</w:t>
      </w:r>
    </w:p>
    <w:p w14:paraId="72EA8437" w14:textId="77777777" w:rsidR="00CC52BD" w:rsidRPr="00CC52BD" w:rsidRDefault="00CC52BD" w:rsidP="00CC52BD"/>
    <w:p w14:paraId="544FFDAF" w14:textId="64206E42" w:rsidR="00F62E44" w:rsidRDefault="002C50EE" w:rsidP="00387A66">
      <w:pPr>
        <w:pStyle w:val="Heading2"/>
      </w:pPr>
      <w:r>
        <w:t>5.2. Фармакокинетични свойства</w:t>
      </w:r>
    </w:p>
    <w:p w14:paraId="7B3E4084" w14:textId="77777777" w:rsidR="00CC52BD" w:rsidRDefault="00CC52BD" w:rsidP="00CC52BD"/>
    <w:p w14:paraId="46CAD605" w14:textId="77777777"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u w:val="single"/>
          <w:lang w:eastAsia="bg-BG"/>
        </w:rPr>
        <w:t>Абсорбция</w:t>
      </w:r>
    </w:p>
    <w:p w14:paraId="6E816930" w14:textId="77777777"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t>Лорноксикам се резорбира бързо и почти напълно от стомашно-чревния тракт. Максимални плазмени концентрации се достигат след около 30 минути. С</w:t>
      </w:r>
      <w:r w:rsidRPr="00CC52BD">
        <w:rPr>
          <w:rFonts w:eastAsia="Times New Roman" w:cs="Arial"/>
          <w:color w:val="000000"/>
          <w:vertAlign w:val="subscript"/>
          <w:lang w:val="en-US"/>
        </w:rPr>
        <w:t>max</w:t>
      </w:r>
      <w:r w:rsidRPr="00CC52BD">
        <w:rPr>
          <w:rFonts w:eastAsia="Times New Roman" w:cs="Arial"/>
          <w:color w:val="000000"/>
          <w:lang w:eastAsia="bg-BG"/>
        </w:rPr>
        <w:t xml:space="preserve"> на </w:t>
      </w:r>
      <w:proofErr w:type="spellStart"/>
      <w:r w:rsidRPr="00CC52BD">
        <w:rPr>
          <w:rFonts w:eastAsia="Times New Roman" w:cs="Arial"/>
          <w:color w:val="000000"/>
          <w:lang w:val="en-US"/>
        </w:rPr>
        <w:t>Xefo</w:t>
      </w:r>
      <w:proofErr w:type="spellEnd"/>
      <w:r w:rsidRPr="00CC52BD">
        <w:rPr>
          <w:rFonts w:eastAsia="Times New Roman" w:cs="Arial"/>
          <w:color w:val="000000"/>
          <w:lang w:val="en-US"/>
        </w:rPr>
        <w:t xml:space="preserve"> Rapid </w:t>
      </w:r>
      <w:r w:rsidRPr="00CC52BD">
        <w:rPr>
          <w:rFonts w:eastAsia="Times New Roman" w:cs="Arial"/>
          <w:color w:val="000000"/>
          <w:lang w:eastAsia="bg-BG"/>
        </w:rPr>
        <w:t xml:space="preserve">8 </w:t>
      </w:r>
      <w:r w:rsidRPr="00CC52BD">
        <w:rPr>
          <w:rFonts w:eastAsia="Times New Roman" w:cs="Arial"/>
          <w:color w:val="000000"/>
          <w:lang w:val="en-US"/>
        </w:rPr>
        <w:t xml:space="preserve">mg </w:t>
      </w:r>
      <w:r w:rsidRPr="00CC52BD">
        <w:rPr>
          <w:rFonts w:eastAsia="Times New Roman" w:cs="Arial"/>
          <w:color w:val="000000"/>
          <w:lang w:eastAsia="bg-BG"/>
        </w:rPr>
        <w:t>филмирани таблетки е по- висока от С</w:t>
      </w:r>
      <w:r w:rsidRPr="00CC52BD">
        <w:rPr>
          <w:rFonts w:eastAsia="Times New Roman" w:cs="Arial"/>
          <w:color w:val="000000"/>
          <w:vertAlign w:val="subscript"/>
          <w:lang w:val="en-US"/>
        </w:rPr>
        <w:t>max</w:t>
      </w:r>
      <w:r w:rsidRPr="00CC52BD">
        <w:rPr>
          <w:rFonts w:eastAsia="Times New Roman" w:cs="Arial"/>
          <w:color w:val="000000"/>
          <w:lang w:eastAsia="bg-BG"/>
        </w:rPr>
        <w:t xml:space="preserve"> на </w:t>
      </w:r>
      <w:proofErr w:type="spellStart"/>
      <w:r w:rsidRPr="00CC52BD">
        <w:rPr>
          <w:rFonts w:eastAsia="Times New Roman" w:cs="Arial"/>
          <w:color w:val="000000"/>
          <w:lang w:val="en-US"/>
        </w:rPr>
        <w:t>Xefo</w:t>
      </w:r>
      <w:proofErr w:type="spellEnd"/>
      <w:r w:rsidRPr="00CC52BD">
        <w:rPr>
          <w:rFonts w:eastAsia="Times New Roman" w:cs="Arial"/>
          <w:color w:val="000000"/>
          <w:lang w:val="en-US"/>
        </w:rPr>
        <w:t xml:space="preserve"> </w:t>
      </w:r>
      <w:r w:rsidRPr="00CC52BD">
        <w:rPr>
          <w:rFonts w:eastAsia="Times New Roman" w:cs="Arial"/>
          <w:color w:val="000000"/>
          <w:lang w:eastAsia="bg-BG"/>
        </w:rPr>
        <w:t>филмирани таблетки и е равна на</w:t>
      </w:r>
      <w:r w:rsidRPr="00CC52BD">
        <w:rPr>
          <w:rFonts w:eastAsia="Times New Roman" w:cs="Arial"/>
          <w:color w:val="000000"/>
          <w:lang w:val="en-US"/>
        </w:rPr>
        <w:t xml:space="preserve"> </w:t>
      </w:r>
      <w:proofErr w:type="spellStart"/>
      <w:r w:rsidRPr="00CC52BD">
        <w:rPr>
          <w:rFonts w:eastAsia="Times New Roman" w:cs="Arial"/>
          <w:color w:val="000000"/>
          <w:lang w:val="en-US"/>
        </w:rPr>
        <w:t>C</w:t>
      </w:r>
      <w:r w:rsidRPr="00CC52BD">
        <w:rPr>
          <w:rFonts w:eastAsia="Times New Roman" w:cs="Arial"/>
          <w:color w:val="000000"/>
          <w:vertAlign w:val="subscript"/>
          <w:lang w:val="en-US"/>
        </w:rPr>
        <w:t>max</w:t>
      </w:r>
      <w:proofErr w:type="spellEnd"/>
      <w:r w:rsidRPr="00CC52BD">
        <w:rPr>
          <w:rFonts w:eastAsia="Times New Roman" w:cs="Arial"/>
          <w:color w:val="000000"/>
          <w:lang w:eastAsia="bg-BG"/>
        </w:rPr>
        <w:tab/>
        <w:t>на парентералната форма лорноксикам.</w:t>
      </w:r>
    </w:p>
    <w:p w14:paraId="75AD3B70" w14:textId="77777777"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t xml:space="preserve">Абсолютната бионаличност на </w:t>
      </w:r>
      <w:proofErr w:type="spellStart"/>
      <w:r w:rsidRPr="00CC52BD">
        <w:rPr>
          <w:rFonts w:eastAsia="Times New Roman" w:cs="Arial"/>
          <w:color w:val="000000"/>
          <w:lang w:val="en-US"/>
        </w:rPr>
        <w:t>Xefo</w:t>
      </w:r>
      <w:proofErr w:type="spellEnd"/>
      <w:r w:rsidRPr="00CC52BD">
        <w:rPr>
          <w:rFonts w:eastAsia="Times New Roman" w:cs="Arial"/>
          <w:color w:val="000000"/>
          <w:lang w:val="en-US"/>
        </w:rPr>
        <w:t xml:space="preserve"> Rapid </w:t>
      </w:r>
      <w:r w:rsidRPr="00CC52BD">
        <w:rPr>
          <w:rFonts w:eastAsia="Times New Roman" w:cs="Arial"/>
          <w:color w:val="000000"/>
          <w:lang w:eastAsia="bg-BG"/>
        </w:rPr>
        <w:t xml:space="preserve">филмирани таблетки е 90-100% и е евкивалентна на </w:t>
      </w:r>
      <w:proofErr w:type="spellStart"/>
      <w:r w:rsidRPr="00CC52BD">
        <w:rPr>
          <w:rFonts w:eastAsia="Times New Roman" w:cs="Arial"/>
          <w:color w:val="000000"/>
          <w:lang w:val="en-US"/>
        </w:rPr>
        <w:t>Xefo</w:t>
      </w:r>
      <w:proofErr w:type="spellEnd"/>
      <w:r w:rsidRPr="00CC52BD">
        <w:rPr>
          <w:rFonts w:eastAsia="Times New Roman" w:cs="Arial"/>
          <w:color w:val="000000"/>
          <w:lang w:val="en-US"/>
        </w:rPr>
        <w:t xml:space="preserve"> </w:t>
      </w:r>
      <w:r w:rsidRPr="00CC52BD">
        <w:rPr>
          <w:rFonts w:eastAsia="Times New Roman" w:cs="Arial"/>
          <w:color w:val="000000"/>
          <w:lang w:eastAsia="bg-BG"/>
        </w:rPr>
        <w:t>филмирани таблетки. Не се наблюдава ефект на първо преминаване през черния дроб. Средният елиминационен полуживот е 3-4 часа.</w:t>
      </w:r>
    </w:p>
    <w:p w14:paraId="60ED47A3" w14:textId="77777777" w:rsidR="00CC52BD" w:rsidRPr="00CC52BD" w:rsidRDefault="00CC52BD" w:rsidP="00CC52BD">
      <w:pPr>
        <w:rPr>
          <w:rFonts w:eastAsia="Times New Roman" w:cs="Arial"/>
          <w:color w:val="000000"/>
          <w:lang w:eastAsia="bg-BG"/>
        </w:rPr>
      </w:pPr>
    </w:p>
    <w:p w14:paraId="4B1F6B9F" w14:textId="399D8B78" w:rsidR="00CC52BD" w:rsidRPr="00CC52BD" w:rsidRDefault="00CC52BD" w:rsidP="00CC52BD">
      <w:pPr>
        <w:rPr>
          <w:rFonts w:eastAsia="Times New Roman" w:cs="Arial"/>
          <w:color w:val="000000"/>
          <w:lang w:eastAsia="bg-BG"/>
        </w:rPr>
      </w:pPr>
      <w:r w:rsidRPr="00CC52BD">
        <w:rPr>
          <w:rFonts w:eastAsia="Times New Roman" w:cs="Arial"/>
          <w:color w:val="000000"/>
          <w:lang w:eastAsia="bg-BG"/>
        </w:rPr>
        <w:t xml:space="preserve">Няма данни за едновременното приемане на </w:t>
      </w:r>
      <w:proofErr w:type="spellStart"/>
      <w:r w:rsidRPr="00CC52BD">
        <w:rPr>
          <w:rFonts w:eastAsia="Times New Roman" w:cs="Arial"/>
          <w:color w:val="000000"/>
          <w:lang w:val="en-US"/>
        </w:rPr>
        <w:t>Xefo</w:t>
      </w:r>
      <w:proofErr w:type="spellEnd"/>
      <w:r w:rsidRPr="00CC52BD">
        <w:rPr>
          <w:rFonts w:eastAsia="Times New Roman" w:cs="Arial"/>
          <w:color w:val="000000"/>
          <w:lang w:val="en-US"/>
        </w:rPr>
        <w:t xml:space="preserve"> Rapid </w:t>
      </w:r>
      <w:r w:rsidRPr="00CC52BD">
        <w:rPr>
          <w:rFonts w:eastAsia="Times New Roman" w:cs="Arial"/>
          <w:color w:val="000000"/>
          <w:lang w:eastAsia="bg-BG"/>
        </w:rPr>
        <w:t xml:space="preserve">8 </w:t>
      </w:r>
      <w:r w:rsidRPr="00CC52BD">
        <w:rPr>
          <w:rFonts w:eastAsia="Times New Roman" w:cs="Arial"/>
          <w:color w:val="000000"/>
          <w:lang w:val="en-US"/>
        </w:rPr>
        <w:t xml:space="preserve">mg </w:t>
      </w:r>
      <w:r w:rsidRPr="00CC52BD">
        <w:rPr>
          <w:rFonts w:eastAsia="Times New Roman" w:cs="Arial"/>
          <w:color w:val="000000"/>
          <w:lang w:eastAsia="bg-BG"/>
        </w:rPr>
        <w:t xml:space="preserve">филмирани таблетки с храна, но въз основа на данните за </w:t>
      </w:r>
      <w:proofErr w:type="spellStart"/>
      <w:r w:rsidRPr="00CC52BD">
        <w:rPr>
          <w:rFonts w:eastAsia="Times New Roman" w:cs="Arial"/>
          <w:color w:val="000000"/>
          <w:lang w:val="en-US"/>
        </w:rPr>
        <w:t>Xefo</w:t>
      </w:r>
      <w:proofErr w:type="spellEnd"/>
      <w:r w:rsidRPr="00CC52BD">
        <w:rPr>
          <w:rFonts w:eastAsia="Times New Roman" w:cs="Arial"/>
          <w:color w:val="000000"/>
          <w:lang w:val="en-US"/>
        </w:rPr>
        <w:t xml:space="preserve"> </w:t>
      </w:r>
      <w:r w:rsidRPr="00CC52BD">
        <w:rPr>
          <w:rFonts w:eastAsia="Times New Roman" w:cs="Arial"/>
          <w:color w:val="000000"/>
          <w:lang w:eastAsia="bg-BG"/>
        </w:rPr>
        <w:t>филмирани таблетки, може да се очаква намаляване на С</w:t>
      </w:r>
      <w:r w:rsidRPr="00CC52BD">
        <w:rPr>
          <w:rFonts w:eastAsia="Times New Roman" w:cs="Arial"/>
          <w:color w:val="000000"/>
          <w:vertAlign w:val="subscript"/>
          <w:lang w:val="en-US"/>
        </w:rPr>
        <w:t xml:space="preserve">max  </w:t>
      </w:r>
      <w:r w:rsidRPr="00CC52BD">
        <w:rPr>
          <w:rFonts w:eastAsia="Times New Roman" w:cs="Arial"/>
          <w:color w:val="000000"/>
          <w:lang w:eastAsia="bg-BG"/>
        </w:rPr>
        <w:t>повишаване на Т</w:t>
      </w:r>
      <w:r w:rsidRPr="00CC52BD">
        <w:rPr>
          <w:rFonts w:eastAsia="Times New Roman" w:cs="Arial"/>
          <w:color w:val="000000"/>
          <w:vertAlign w:val="subscript"/>
          <w:lang w:val="en-US" w:eastAsia="bg-BG"/>
        </w:rPr>
        <w:t>max</w:t>
      </w:r>
      <w:r w:rsidRPr="00CC52BD">
        <w:rPr>
          <w:rFonts w:eastAsia="Times New Roman" w:cs="Arial"/>
          <w:color w:val="000000"/>
          <w:lang w:eastAsia="bg-BG"/>
        </w:rPr>
        <w:t xml:space="preserve"> и намаляване на резорбцията </w:t>
      </w:r>
      <w:r w:rsidRPr="00CC52BD">
        <w:rPr>
          <w:rFonts w:eastAsia="Times New Roman" w:cs="Arial"/>
          <w:color w:val="000000"/>
          <w:lang w:val="en-US"/>
        </w:rPr>
        <w:t xml:space="preserve">(AUC) </w:t>
      </w:r>
      <w:r w:rsidRPr="00CC52BD">
        <w:rPr>
          <w:rFonts w:eastAsia="Times New Roman" w:cs="Arial"/>
          <w:color w:val="000000"/>
          <w:lang w:eastAsia="bg-BG"/>
        </w:rPr>
        <w:t>на лорноксикам</w:t>
      </w:r>
    </w:p>
    <w:p w14:paraId="4270C286" w14:textId="77777777" w:rsidR="00CC52BD" w:rsidRPr="00CC52BD" w:rsidRDefault="00CC52BD" w:rsidP="00CC52BD">
      <w:pPr>
        <w:rPr>
          <w:rFonts w:eastAsia="Times New Roman" w:cs="Arial"/>
          <w:color w:val="000000"/>
          <w:lang w:eastAsia="bg-BG"/>
        </w:rPr>
      </w:pPr>
    </w:p>
    <w:p w14:paraId="0218BC47" w14:textId="77777777"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u w:val="single"/>
          <w:lang w:eastAsia="bg-BG"/>
        </w:rPr>
        <w:t>Разпределение</w:t>
      </w:r>
    </w:p>
    <w:p w14:paraId="09FBB3C2" w14:textId="77777777"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t>Лорноксикам се открива в плазмата в непроменен вид и като неговия хидроксилиран метаболит. Свързването на лорноксикам с плазмените протеини е 99 % и не зависи от концентрацията Лорноксикам също е открит в синовиалната течност при многократно дозиране.</w:t>
      </w:r>
    </w:p>
    <w:p w14:paraId="0044B278" w14:textId="77777777" w:rsidR="00CC52BD" w:rsidRDefault="00CC52BD" w:rsidP="00CC52BD"/>
    <w:p w14:paraId="03ECD2BF" w14:textId="77777777"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u w:val="single"/>
          <w:lang w:eastAsia="bg-BG"/>
        </w:rPr>
        <w:t>Биотрансформация</w:t>
      </w:r>
    </w:p>
    <w:p w14:paraId="33C00DC7" w14:textId="77777777" w:rsidR="00CC52BD" w:rsidRPr="00CC52BD" w:rsidRDefault="00CC52BD" w:rsidP="00CC52BD">
      <w:pPr>
        <w:spacing w:line="240" w:lineRule="auto"/>
        <w:rPr>
          <w:rFonts w:eastAsia="Times New Roman" w:cs="Arial"/>
          <w:color w:val="000000"/>
          <w:lang w:eastAsia="bg-BG"/>
        </w:rPr>
      </w:pPr>
      <w:r w:rsidRPr="00CC52BD">
        <w:rPr>
          <w:rFonts w:eastAsia="Times New Roman" w:cs="Arial"/>
          <w:color w:val="000000"/>
          <w:lang w:eastAsia="bg-BG"/>
        </w:rPr>
        <w:t xml:space="preserve">Лорноксикам се метаболизира екстензивно в черния дроб, предимно до неактивния 5- хидроксилорноксикам, посредством хидроксилиране. В биотрансформацията на лорноксикам взима участие </w:t>
      </w:r>
      <w:r w:rsidRPr="00CC52BD">
        <w:rPr>
          <w:rFonts w:eastAsia="Times New Roman" w:cs="Arial"/>
          <w:color w:val="000000"/>
          <w:lang w:val="en-US"/>
        </w:rPr>
        <w:t xml:space="preserve">CYP2C9. </w:t>
      </w:r>
      <w:r w:rsidRPr="00CC52BD">
        <w:rPr>
          <w:rFonts w:eastAsia="Times New Roman" w:cs="Arial"/>
          <w:color w:val="000000"/>
          <w:lang w:eastAsia="bg-BG"/>
        </w:rPr>
        <w:t xml:space="preserve">Поради генетичния полиморфизъм, има бавни и бързи метаболизатори на този ензим, което би могло да доведе до подчертано повишени плазмени нива на лорноксикам при бавните метаболизатори. </w:t>
      </w:r>
    </w:p>
    <w:p w14:paraId="2F5DA422" w14:textId="3C30B5ED"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t>Хидроксилираният метаболит не показва фармакологична активност. Лорноксикам се метаболизира напълно, като приблизително 2/3 се отделят чрез черния дроб и 1 /3 чрез бъбреците като неактивно вещество.</w:t>
      </w:r>
      <w:r w:rsidRPr="00CC52BD">
        <w:rPr>
          <w:rFonts w:eastAsia="Times New Roman" w:cs="Arial"/>
          <w:color w:val="000000"/>
          <w:lang w:eastAsia="bg-BG"/>
        </w:rPr>
        <w:tab/>
      </w:r>
    </w:p>
    <w:p w14:paraId="7A1F9433" w14:textId="77777777" w:rsidR="00CC52BD" w:rsidRPr="00CC52BD" w:rsidRDefault="00CC52BD" w:rsidP="00CC52BD">
      <w:pPr>
        <w:spacing w:line="240" w:lineRule="auto"/>
        <w:rPr>
          <w:rFonts w:eastAsia="Times New Roman" w:cs="Arial"/>
          <w:color w:val="000000"/>
          <w:lang w:eastAsia="bg-BG"/>
        </w:rPr>
      </w:pPr>
    </w:p>
    <w:p w14:paraId="366E6F6A" w14:textId="1099DF7E"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t>Когато е изследван при животински модели, лорноксикам не е индуцирал чернодробните ензими. Данните от клиничните изпитвания не дават доказателства за кумулиране на лорноксикам при многократно приложение, когато се спазват препоръчваните дози. Това се потвърждава от данните за проследяване на лекарството при едногодишните проучвания.</w:t>
      </w:r>
    </w:p>
    <w:p w14:paraId="6E974E59" w14:textId="77777777" w:rsidR="00CC52BD" w:rsidRPr="00CC52BD" w:rsidRDefault="00CC52BD" w:rsidP="00CC52BD">
      <w:pPr>
        <w:spacing w:line="240" w:lineRule="auto"/>
        <w:rPr>
          <w:rFonts w:eastAsia="Times New Roman" w:cs="Arial"/>
          <w:color w:val="000000"/>
          <w:u w:val="single"/>
          <w:lang w:eastAsia="bg-BG"/>
        </w:rPr>
      </w:pPr>
    </w:p>
    <w:p w14:paraId="45B4FECA" w14:textId="69DD6C79"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u w:val="single"/>
          <w:lang w:eastAsia="bg-BG"/>
        </w:rPr>
        <w:t>Елиминиране</w:t>
      </w:r>
    </w:p>
    <w:p w14:paraId="4B9F5796" w14:textId="77777777" w:rsidR="00CC52BD" w:rsidRPr="00CC52BD" w:rsidRDefault="00CC52BD" w:rsidP="00CC52BD">
      <w:pPr>
        <w:spacing w:line="240" w:lineRule="auto"/>
        <w:rPr>
          <w:rFonts w:eastAsia="Times New Roman" w:cs="Arial"/>
          <w:sz w:val="28"/>
          <w:szCs w:val="28"/>
          <w:lang w:eastAsia="bg-BG"/>
        </w:rPr>
      </w:pPr>
      <w:r w:rsidRPr="00CC52BD">
        <w:rPr>
          <w:rFonts w:eastAsia="Times New Roman" w:cs="Arial"/>
          <w:color w:val="000000"/>
          <w:lang w:eastAsia="bg-BG"/>
        </w:rPr>
        <w:t>Средният елиминационен полуживот на основното съединение е 3 до 4 часа. След перорално приложение около 50% се отделя с фекалиите и 42% през бъбреците, главно като 5- хидроксилорноксикам. Елиминационният полуживот на 5-хидроксилорноксикам е прибилзително 9 часа след парентерална доза веднъж или два пъти дневно. При пациенти в старческа възраст над 65 годни, клирънсът е намален с 30-40 %. Освен намаления клирънс, при по-възрастните пациенти няма значима промяна в кинетичния профил на лорноксикам. Няма данни за промени в скоростта на елиминиране при многократно дозиране.</w:t>
      </w:r>
    </w:p>
    <w:p w14:paraId="14BF7937" w14:textId="77777777" w:rsidR="00CC52BD" w:rsidRPr="00CC52BD" w:rsidRDefault="00CC52BD" w:rsidP="00CC52BD">
      <w:pPr>
        <w:rPr>
          <w:rFonts w:eastAsia="Times New Roman" w:cs="Arial"/>
          <w:color w:val="000000"/>
          <w:lang w:eastAsia="bg-BG"/>
        </w:rPr>
      </w:pPr>
    </w:p>
    <w:p w14:paraId="774A0E91" w14:textId="3DA597DB" w:rsidR="00CC52BD" w:rsidRPr="00CC52BD" w:rsidRDefault="00CC52BD" w:rsidP="00CC52BD">
      <w:pPr>
        <w:rPr>
          <w:rFonts w:eastAsia="Times New Roman" w:cs="Arial"/>
          <w:color w:val="000000"/>
          <w:lang w:val="en-US"/>
        </w:rPr>
      </w:pPr>
      <w:r w:rsidRPr="00CC52BD">
        <w:rPr>
          <w:rFonts w:eastAsia="Times New Roman" w:cs="Arial"/>
          <w:color w:val="000000"/>
          <w:lang w:eastAsia="bg-BG"/>
        </w:rPr>
        <w:t xml:space="preserve">При пациентите с бъбречна или чернодробна недостатъчност няма значима промяна в кинетичния профил на лорноксикам, освен кумулирането при пациенти с хронично чернодробно заболяване след 7-ия ден от лечението при дневни дози от 12 и 16 </w:t>
      </w:r>
      <w:r w:rsidRPr="00CC52BD">
        <w:rPr>
          <w:rFonts w:eastAsia="Times New Roman" w:cs="Arial"/>
          <w:color w:val="000000"/>
          <w:lang w:val="en-US"/>
        </w:rPr>
        <w:t>mg.</w:t>
      </w:r>
    </w:p>
    <w:p w14:paraId="20F00108" w14:textId="77777777" w:rsidR="00CC52BD" w:rsidRPr="00CC52BD" w:rsidRDefault="00CC52BD" w:rsidP="00CC52BD"/>
    <w:p w14:paraId="6925FEB0" w14:textId="4B32C19A" w:rsidR="00F62E44" w:rsidRDefault="002C50EE" w:rsidP="00387A66">
      <w:pPr>
        <w:pStyle w:val="Heading2"/>
      </w:pPr>
      <w:r>
        <w:t>5.3. Предклинични данни за безопасност</w:t>
      </w:r>
    </w:p>
    <w:p w14:paraId="195D6F9F" w14:textId="77777777" w:rsidR="00CC52BD" w:rsidRDefault="00CC52BD" w:rsidP="00CC52BD"/>
    <w:p w14:paraId="005329E3" w14:textId="77777777" w:rsidR="00F42910" w:rsidRPr="00F42910" w:rsidRDefault="00F42910" w:rsidP="00F42910">
      <w:pPr>
        <w:spacing w:line="240" w:lineRule="auto"/>
        <w:rPr>
          <w:rFonts w:eastAsia="Times New Roman" w:cs="Arial"/>
          <w:sz w:val="28"/>
          <w:szCs w:val="28"/>
          <w:lang w:eastAsia="bg-BG"/>
        </w:rPr>
      </w:pPr>
      <w:r w:rsidRPr="00F42910">
        <w:rPr>
          <w:rFonts w:eastAsia="Times New Roman" w:cs="Arial"/>
          <w:color w:val="000000"/>
          <w:lang w:eastAsia="bg-BG"/>
        </w:rPr>
        <w:t>Неклиничните данни не показват особен риск за хората на база на конвенционалните фармакологични изпитвания за безопасност, токсичност при многократно приложение, генотоксичност и карциногенен потенциал.</w:t>
      </w:r>
    </w:p>
    <w:p w14:paraId="4BA4BDEF" w14:textId="77777777" w:rsidR="00F42910" w:rsidRPr="00F42910" w:rsidRDefault="00F42910" w:rsidP="00F42910">
      <w:pPr>
        <w:spacing w:line="240" w:lineRule="auto"/>
        <w:rPr>
          <w:rFonts w:eastAsia="Times New Roman" w:cs="Arial"/>
          <w:color w:val="000000"/>
          <w:lang w:eastAsia="bg-BG"/>
        </w:rPr>
      </w:pPr>
    </w:p>
    <w:p w14:paraId="117A9035" w14:textId="3D644B2C" w:rsidR="00F42910" w:rsidRPr="00F42910" w:rsidRDefault="00F42910" w:rsidP="00F42910">
      <w:pPr>
        <w:spacing w:line="240" w:lineRule="auto"/>
        <w:rPr>
          <w:rFonts w:eastAsia="Times New Roman" w:cs="Arial"/>
          <w:sz w:val="28"/>
          <w:szCs w:val="28"/>
          <w:lang w:eastAsia="bg-BG"/>
        </w:rPr>
      </w:pPr>
      <w:r w:rsidRPr="00F42910">
        <w:rPr>
          <w:rFonts w:eastAsia="Times New Roman" w:cs="Arial"/>
          <w:color w:val="000000"/>
          <w:lang w:eastAsia="bg-BG"/>
        </w:rPr>
        <w:lastRenderedPageBreak/>
        <w:t xml:space="preserve">При проучвания за токсичност при еднократно и многократно прилагане, лорноксикам е причинявал бъбречна токсичност и стомашно-чревно разязвяване при няколко биологични вида, </w:t>
      </w:r>
    </w:p>
    <w:p w14:paraId="78C0C988" w14:textId="77777777" w:rsidR="00F42910" w:rsidRPr="00F42910" w:rsidRDefault="00F42910" w:rsidP="00F42910">
      <w:pPr>
        <w:spacing w:line="240" w:lineRule="auto"/>
        <w:rPr>
          <w:rFonts w:eastAsia="Times New Roman" w:cs="Arial"/>
          <w:color w:val="000000"/>
          <w:lang w:eastAsia="bg-BG"/>
        </w:rPr>
      </w:pPr>
    </w:p>
    <w:p w14:paraId="25FAF136" w14:textId="5D9D5B34" w:rsidR="00F42910" w:rsidRPr="00F42910" w:rsidRDefault="00F42910" w:rsidP="00F42910">
      <w:pPr>
        <w:spacing w:line="240" w:lineRule="auto"/>
        <w:rPr>
          <w:rFonts w:eastAsia="Times New Roman" w:cs="Arial"/>
          <w:sz w:val="28"/>
          <w:szCs w:val="28"/>
          <w:lang w:eastAsia="bg-BG"/>
        </w:rPr>
      </w:pPr>
      <w:r w:rsidRPr="00F42910">
        <w:rPr>
          <w:rFonts w:eastAsia="Times New Roman" w:cs="Arial"/>
          <w:color w:val="000000"/>
          <w:lang w:eastAsia="bg-BG"/>
        </w:rPr>
        <w:t xml:space="preserve">При плъхове лорноксикам уврежда фертилитета (ефекти върху овулацията и имплантацията) и повлиява бременността и раждането. При зайци и плъхове лорноксикам причинява преждевременно затваряне на </w:t>
      </w:r>
      <w:r w:rsidRPr="00F42910">
        <w:rPr>
          <w:rFonts w:eastAsia="Times New Roman" w:cs="Arial"/>
          <w:color w:val="000000"/>
          <w:lang w:val="en-US"/>
        </w:rPr>
        <w:t xml:space="preserve">ductus arteriosus, </w:t>
      </w:r>
      <w:r w:rsidRPr="00F42910">
        <w:rPr>
          <w:rFonts w:eastAsia="Times New Roman" w:cs="Arial"/>
          <w:color w:val="000000"/>
          <w:lang w:eastAsia="bg-BG"/>
        </w:rPr>
        <w:t>поради инхибиране на циклооксигеназата.</w:t>
      </w:r>
    </w:p>
    <w:p w14:paraId="3F3E8C69" w14:textId="77777777" w:rsidR="00F42910" w:rsidRPr="00F42910" w:rsidRDefault="00F42910" w:rsidP="00F42910">
      <w:pPr>
        <w:rPr>
          <w:rFonts w:eastAsia="Times New Roman" w:cs="Arial"/>
          <w:color w:val="000000"/>
          <w:lang w:eastAsia="bg-BG"/>
        </w:rPr>
      </w:pPr>
    </w:p>
    <w:p w14:paraId="1DADBA0E" w14:textId="0A1769B2" w:rsidR="00CC52BD" w:rsidRPr="00F42910" w:rsidRDefault="00F42910" w:rsidP="00F42910">
      <w:pPr>
        <w:rPr>
          <w:rFonts w:cs="Arial"/>
          <w:sz w:val="24"/>
          <w:szCs w:val="24"/>
        </w:rPr>
      </w:pPr>
      <w:r w:rsidRPr="00F42910">
        <w:rPr>
          <w:rFonts w:eastAsia="Times New Roman" w:cs="Arial"/>
          <w:color w:val="000000"/>
          <w:lang w:eastAsia="bg-BG"/>
        </w:rPr>
        <w:t>При животни е доказано, че прилагането на инхибитори на простагландиновия синтез води до увеличени пре- и постимплантационна загуба и ембрио-фетален леталитет. В допълнение, има съобщения за повишена честота на различните малформации, включително сърдечносъдови, при животни, на които е даван инхибитор на простагландиновия синтез по време на периода на органогенезата.</w:t>
      </w:r>
    </w:p>
    <w:p w14:paraId="357049A8" w14:textId="6CD46E4B" w:rsidR="00BB22B4" w:rsidRDefault="002C50EE" w:rsidP="00471F10">
      <w:pPr>
        <w:pStyle w:val="Heading1"/>
      </w:pPr>
      <w:r>
        <w:t>7. ПРИТЕЖАТЕЛ НА РАЗРЕШЕНИЕТО ЗА УПОТРЕБА</w:t>
      </w:r>
    </w:p>
    <w:p w14:paraId="043529BC" w14:textId="77777777" w:rsidR="00F42910" w:rsidRDefault="00F42910" w:rsidP="00F42910"/>
    <w:p w14:paraId="2F75C237" w14:textId="083ECA30" w:rsidR="00F42910" w:rsidRPr="00F42910" w:rsidRDefault="00F42910" w:rsidP="00F42910">
      <w:r>
        <w:t xml:space="preserve">Takeda Austria GmbH, St.- Peter 25, A - 4020 Linz, </w:t>
      </w:r>
      <w:r>
        <w:rPr>
          <w:lang w:eastAsia="bg-BG"/>
        </w:rPr>
        <w:t>Австрия</w:t>
      </w:r>
    </w:p>
    <w:p w14:paraId="0A53321D" w14:textId="74FBD4FB" w:rsidR="00EE6C97" w:rsidRDefault="00936AD0" w:rsidP="00A93499">
      <w:pPr>
        <w:pStyle w:val="Heading1"/>
      </w:pPr>
      <w:r>
        <w:t>8.</w:t>
      </w:r>
      <w:r w:rsidR="002C50EE">
        <w:t>НОМЕР НА РАЗРЕШЕНИЕТО ЗА УПОТРЕБА</w:t>
      </w:r>
    </w:p>
    <w:p w14:paraId="7FE38827" w14:textId="77777777" w:rsidR="00F42910" w:rsidRDefault="00F42910" w:rsidP="00F42910"/>
    <w:p w14:paraId="1A47EBE1" w14:textId="273D20D0" w:rsidR="00F42910" w:rsidRPr="00F42910" w:rsidRDefault="00F42910" w:rsidP="00F42910">
      <w:r>
        <w:rPr>
          <w:lang w:val="en-US"/>
        </w:rPr>
        <w:t>II</w:t>
      </w:r>
      <w:r>
        <w:t>-12721/29.03.2011 год.</w:t>
      </w:r>
    </w:p>
    <w:p w14:paraId="7C2688F5" w14:textId="6D610EDF" w:rsidR="00F62E44" w:rsidRDefault="00F62E44" w:rsidP="00F62E44"/>
    <w:p w14:paraId="00481C21" w14:textId="753A12CC" w:rsidR="00F62E44" w:rsidRDefault="002C50EE" w:rsidP="00387A66">
      <w:pPr>
        <w:pStyle w:val="Heading1"/>
      </w:pPr>
      <w:r>
        <w:t>9. ДАТА НА ПЪРВО РАЗРЕШАВАНЕ/ПОДНОВЯВАНЕ НА РАЗРЕШЕНИЕТО ЗА УПОТРЕБА</w:t>
      </w:r>
    </w:p>
    <w:p w14:paraId="7D1C498D" w14:textId="77777777" w:rsidR="00F42910" w:rsidRDefault="00F42910" w:rsidP="00F42910"/>
    <w:p w14:paraId="497AFC61" w14:textId="77777777" w:rsidR="00F42910" w:rsidRPr="00F42910" w:rsidRDefault="00F42910" w:rsidP="00F42910">
      <w:pPr>
        <w:rPr>
          <w:sz w:val="24"/>
          <w:szCs w:val="24"/>
          <w:lang w:eastAsia="bg-BG"/>
        </w:rPr>
      </w:pPr>
      <w:r w:rsidRPr="00F42910">
        <w:rPr>
          <w:lang w:eastAsia="bg-BG"/>
        </w:rPr>
        <w:t>Дата на първо разрешаване: 12.11.1999 год.</w:t>
      </w:r>
    </w:p>
    <w:p w14:paraId="0E30F3BA" w14:textId="77777777" w:rsidR="00F42910" w:rsidRPr="00F42910" w:rsidRDefault="00F42910" w:rsidP="00F42910">
      <w:pPr>
        <w:rPr>
          <w:sz w:val="24"/>
          <w:szCs w:val="24"/>
          <w:lang w:eastAsia="bg-BG"/>
        </w:rPr>
      </w:pPr>
      <w:r w:rsidRPr="00F42910">
        <w:rPr>
          <w:lang w:eastAsia="bg-BG"/>
        </w:rPr>
        <w:t>Дата на последно подновяване: 29.03.2011 год.</w:t>
      </w:r>
    </w:p>
    <w:p w14:paraId="1C1EAE5D" w14:textId="77777777" w:rsidR="00F42910" w:rsidRPr="00F42910" w:rsidRDefault="00F42910" w:rsidP="00F42910"/>
    <w:p w14:paraId="43FB38A2" w14:textId="0C18A683" w:rsidR="007C605B" w:rsidRDefault="002C50EE" w:rsidP="005726E3">
      <w:pPr>
        <w:pStyle w:val="Heading1"/>
      </w:pPr>
      <w:r>
        <w:t>10. ДАТА НА АКТУАЛИЗИРАНЕ НА ТЕКСТА</w:t>
      </w:r>
      <w:bookmarkEnd w:id="0"/>
    </w:p>
    <w:p w14:paraId="472617BD" w14:textId="0860AAF2" w:rsidR="00BB22B4" w:rsidRPr="00BB22B4" w:rsidRDefault="00F42910" w:rsidP="00F42910">
      <w:r>
        <w:t>01.2020</w:t>
      </w:r>
    </w:p>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0"/>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19"/>
  </w:num>
  <w:num w:numId="7" w16cid:durableId="1241988161">
    <w:abstractNumId w:val="12"/>
  </w:num>
  <w:num w:numId="8" w16cid:durableId="2102022361">
    <w:abstractNumId w:val="18"/>
  </w:num>
  <w:num w:numId="9" w16cid:durableId="1154613663">
    <w:abstractNumId w:val="2"/>
  </w:num>
  <w:num w:numId="10" w16cid:durableId="1733848127">
    <w:abstractNumId w:val="4"/>
  </w:num>
  <w:num w:numId="11" w16cid:durableId="1861704680">
    <w:abstractNumId w:val="33"/>
  </w:num>
  <w:num w:numId="12" w16cid:durableId="1434934028">
    <w:abstractNumId w:val="16"/>
  </w:num>
  <w:num w:numId="13" w16cid:durableId="479157895">
    <w:abstractNumId w:val="22"/>
  </w:num>
  <w:num w:numId="14" w16cid:durableId="1670476636">
    <w:abstractNumId w:val="14"/>
  </w:num>
  <w:num w:numId="15" w16cid:durableId="1000155783">
    <w:abstractNumId w:val="32"/>
  </w:num>
  <w:num w:numId="16" w16cid:durableId="2056420707">
    <w:abstractNumId w:val="11"/>
  </w:num>
  <w:num w:numId="17" w16cid:durableId="1787119182">
    <w:abstractNumId w:val="27"/>
  </w:num>
  <w:num w:numId="18" w16cid:durableId="722945139">
    <w:abstractNumId w:val="8"/>
  </w:num>
  <w:num w:numId="19" w16cid:durableId="1678728408">
    <w:abstractNumId w:val="29"/>
  </w:num>
  <w:num w:numId="20" w16cid:durableId="1970816657">
    <w:abstractNumId w:val="26"/>
  </w:num>
  <w:num w:numId="21" w16cid:durableId="1531146514">
    <w:abstractNumId w:val="20"/>
  </w:num>
  <w:num w:numId="22" w16cid:durableId="1276465">
    <w:abstractNumId w:val="28"/>
  </w:num>
  <w:num w:numId="23" w16cid:durableId="1624310558">
    <w:abstractNumId w:val="21"/>
  </w:num>
  <w:num w:numId="24" w16cid:durableId="1692877547">
    <w:abstractNumId w:val="9"/>
  </w:num>
  <w:num w:numId="25" w16cid:durableId="50930855">
    <w:abstractNumId w:val="25"/>
  </w:num>
  <w:num w:numId="26" w16cid:durableId="176701536">
    <w:abstractNumId w:val="24"/>
  </w:num>
  <w:num w:numId="27" w16cid:durableId="2050564750">
    <w:abstractNumId w:val="34"/>
  </w:num>
  <w:num w:numId="28" w16cid:durableId="1820733422">
    <w:abstractNumId w:val="6"/>
  </w:num>
  <w:num w:numId="29" w16cid:durableId="973678124">
    <w:abstractNumId w:val="23"/>
  </w:num>
  <w:num w:numId="30" w16cid:durableId="154884452">
    <w:abstractNumId w:val="38"/>
  </w:num>
  <w:num w:numId="31" w16cid:durableId="1053964910">
    <w:abstractNumId w:val="5"/>
  </w:num>
  <w:num w:numId="32" w16cid:durableId="2073575793">
    <w:abstractNumId w:val="36"/>
  </w:num>
  <w:num w:numId="33" w16cid:durableId="1566643170">
    <w:abstractNumId w:val="31"/>
  </w:num>
  <w:num w:numId="34" w16cid:durableId="2060787732">
    <w:abstractNumId w:val="35"/>
  </w:num>
  <w:num w:numId="35" w16cid:durableId="34161354">
    <w:abstractNumId w:val="7"/>
  </w:num>
  <w:num w:numId="36" w16cid:durableId="1976908676">
    <w:abstractNumId w:val="10"/>
  </w:num>
  <w:num w:numId="37" w16cid:durableId="758528303">
    <w:abstractNumId w:val="17"/>
  </w:num>
  <w:num w:numId="38" w16cid:durableId="178396561">
    <w:abstractNumId w:val="37"/>
  </w:num>
  <w:num w:numId="39" w16cid:durableId="9348259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095A"/>
    <w:rsid w:val="001D1B23"/>
    <w:rsid w:val="002B3C38"/>
    <w:rsid w:val="002B4DBB"/>
    <w:rsid w:val="002C50EE"/>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C52BD"/>
    <w:rsid w:val="00CF77F7"/>
    <w:rsid w:val="00D86297"/>
    <w:rsid w:val="00DB32D3"/>
    <w:rsid w:val="00DD466D"/>
    <w:rsid w:val="00E9184E"/>
    <w:rsid w:val="00EB6364"/>
    <w:rsid w:val="00EE6C97"/>
    <w:rsid w:val="00F37B64"/>
    <w:rsid w:val="00F42910"/>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4441</Words>
  <Characters>25317</Characters>
  <Application>Microsoft Office Word</Application>
  <DocSecurity>0</DocSecurity>
  <Lines>210</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2023-06-04T20:38:00Z</dcterms:created>
  <dcterms:modified xsi:type="dcterms:W3CDTF">2023-06-04T20:38:00Z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