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308FB46" w:rsidR="009F77A4" w:rsidRDefault="00DD466D" w:rsidP="00387A66">
      <w:pPr>
        <w:pStyle w:val="Heading1"/>
      </w:pPr>
      <w:r>
        <w:t>1.ИМЕ НА ЛЕКАРСТВЕНИЯ ПРОДУКТ</w:t>
      </w:r>
    </w:p>
    <w:p w14:paraId="05753181" w14:textId="77777777" w:rsidR="00255D07" w:rsidRDefault="00255D07" w:rsidP="00255D07"/>
    <w:p w14:paraId="1D976EB1" w14:textId="77777777" w:rsidR="00255D07" w:rsidRPr="00255D07" w:rsidRDefault="00255D07" w:rsidP="00255D07">
      <w:pPr>
        <w:rPr>
          <w:sz w:val="24"/>
          <w:szCs w:val="24"/>
          <w:lang w:val="en-US" w:eastAsia="bg-BG"/>
        </w:rPr>
      </w:pPr>
      <w:r w:rsidRPr="00255D07">
        <w:rPr>
          <w:lang w:eastAsia="bg-BG"/>
        </w:rPr>
        <w:t xml:space="preserve">Ксефо Рапид 8 </w:t>
      </w:r>
      <w:r w:rsidRPr="00255D07">
        <w:rPr>
          <w:lang w:val="en-US"/>
        </w:rPr>
        <w:t xml:space="preserve">mg </w:t>
      </w:r>
      <w:r w:rsidRPr="00255D07">
        <w:rPr>
          <w:lang w:eastAsia="bg-BG"/>
        </w:rPr>
        <w:t>филмирани таблетки</w:t>
      </w:r>
    </w:p>
    <w:p w14:paraId="15C6A924" w14:textId="557E3FF6" w:rsidR="00255D07" w:rsidRPr="00255D07" w:rsidRDefault="00255D07" w:rsidP="00255D07">
      <w:proofErr w:type="spellStart"/>
      <w:r w:rsidRPr="00255D07">
        <w:rPr>
          <w:lang w:val="en-US"/>
        </w:rPr>
        <w:t>Xefo</w:t>
      </w:r>
      <w:proofErr w:type="spellEnd"/>
      <w:r w:rsidRPr="00255D07">
        <w:rPr>
          <w:lang w:val="en-US"/>
        </w:rPr>
        <w:t xml:space="preserve"> Rapid </w:t>
      </w:r>
      <w:r w:rsidRPr="00255D07">
        <w:rPr>
          <w:lang w:eastAsia="bg-BG"/>
        </w:rPr>
        <w:t xml:space="preserve">8 </w:t>
      </w:r>
      <w:r w:rsidRPr="00255D07">
        <w:rPr>
          <w:lang w:val="en-US"/>
        </w:rPr>
        <w:t>mg film-coated tablets</w:t>
      </w:r>
    </w:p>
    <w:p w14:paraId="0DF202EC" w14:textId="10882A08" w:rsidR="00F53FB7" w:rsidRDefault="00DD466D" w:rsidP="00A93499">
      <w:pPr>
        <w:pStyle w:val="Heading1"/>
      </w:pPr>
      <w:r>
        <w:t>2. КАЧЕСТВЕН И КОЛИЧЕСТВЕН СЪСТАВ</w:t>
      </w:r>
    </w:p>
    <w:p w14:paraId="17043B43" w14:textId="77777777" w:rsidR="00255D07" w:rsidRDefault="00255D07" w:rsidP="00255D07"/>
    <w:p w14:paraId="08640ADA" w14:textId="1EEFB714" w:rsidR="00255D07" w:rsidRDefault="00255D07" w:rsidP="00255D07">
      <w:pPr>
        <w:rPr>
          <w:lang w:val="en-US"/>
        </w:rPr>
      </w:pPr>
      <w:r w:rsidRPr="00255D07">
        <w:rPr>
          <w:lang w:eastAsia="bg-BG"/>
        </w:rPr>
        <w:t xml:space="preserve">Всяка филмирана таблетка (с бързо освобождаване) съдържа 8 </w:t>
      </w:r>
      <w:r w:rsidRPr="00255D07">
        <w:rPr>
          <w:lang w:val="en-US"/>
        </w:rPr>
        <w:t xml:space="preserve">mg </w:t>
      </w:r>
      <w:r w:rsidRPr="00255D07">
        <w:rPr>
          <w:lang w:eastAsia="bg-BG"/>
        </w:rPr>
        <w:t xml:space="preserve">лорноксикам </w:t>
      </w:r>
      <w:r w:rsidRPr="00255D07">
        <w:rPr>
          <w:lang w:val="en-US"/>
        </w:rPr>
        <w:t>(</w:t>
      </w:r>
      <w:proofErr w:type="spellStart"/>
      <w:r w:rsidRPr="00255D07">
        <w:rPr>
          <w:lang w:val="en-US"/>
        </w:rPr>
        <w:t>lomoxucam</w:t>
      </w:r>
      <w:proofErr w:type="spellEnd"/>
      <w:r w:rsidRPr="00255D07">
        <w:rPr>
          <w:lang w:val="en-US"/>
        </w:rPr>
        <w:t>).</w:t>
      </w:r>
    </w:p>
    <w:p w14:paraId="0C79D3B2" w14:textId="77777777" w:rsidR="00255D07" w:rsidRPr="00255D07" w:rsidRDefault="00255D07" w:rsidP="00255D07">
      <w:pPr>
        <w:rPr>
          <w:sz w:val="24"/>
          <w:szCs w:val="24"/>
          <w:lang w:eastAsia="bg-BG"/>
        </w:rPr>
      </w:pPr>
    </w:p>
    <w:p w14:paraId="4CABB9ED" w14:textId="2740FB4D" w:rsidR="00F53FB7" w:rsidRDefault="00DD466D" w:rsidP="00A93499">
      <w:pPr>
        <w:pStyle w:val="Heading1"/>
      </w:pPr>
      <w:r>
        <w:t>3. ЛЕКАРСТВЕНА ФОРМА</w:t>
      </w:r>
    </w:p>
    <w:p w14:paraId="7D385D47" w14:textId="77777777" w:rsidR="00255D07" w:rsidRDefault="00255D07" w:rsidP="00255D07"/>
    <w:p w14:paraId="7B461CDE" w14:textId="77777777" w:rsidR="00255D07" w:rsidRPr="00255D07" w:rsidRDefault="00255D07" w:rsidP="00255D07">
      <w:pPr>
        <w:rPr>
          <w:sz w:val="24"/>
          <w:szCs w:val="24"/>
          <w:lang w:eastAsia="bg-BG"/>
        </w:rPr>
      </w:pPr>
      <w:r w:rsidRPr="00255D07">
        <w:rPr>
          <w:lang w:eastAsia="bg-BG"/>
        </w:rPr>
        <w:t>Филмирана таблетка</w:t>
      </w:r>
    </w:p>
    <w:p w14:paraId="4424D88F" w14:textId="4BCE792B" w:rsidR="00255D07" w:rsidRPr="00255D07" w:rsidRDefault="00255D07" w:rsidP="00255D07">
      <w:r w:rsidRPr="00255D07">
        <w:rPr>
          <w:lang w:eastAsia="bg-BG"/>
        </w:rPr>
        <w:t>Бяла до жълтеникава, кръгла, двойно изпъкнала, филмирана таблетка.</w:t>
      </w:r>
    </w:p>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51A8DE0B" w14:textId="77777777" w:rsidR="00255D07" w:rsidRDefault="00255D07" w:rsidP="00255D07"/>
    <w:p w14:paraId="00126813" w14:textId="1C867503" w:rsidR="00255D07" w:rsidRDefault="00255D07" w:rsidP="00255D07">
      <w:pPr>
        <w:rPr>
          <w:lang w:eastAsia="bg-BG"/>
        </w:rPr>
      </w:pPr>
      <w:r w:rsidRPr="00255D07">
        <w:rPr>
          <w:lang w:eastAsia="bg-BG"/>
        </w:rPr>
        <w:t xml:space="preserve">Краткосрочно симптоматично лечение на остра лека до умерена болка при възрастни. </w:t>
      </w:r>
      <w:bookmarkStart w:id="1" w:name="bookmark0"/>
      <w:bookmarkEnd w:id="1"/>
    </w:p>
    <w:p w14:paraId="09D98EAD" w14:textId="77777777" w:rsidR="00255D07" w:rsidRPr="00255D07" w:rsidRDefault="00255D07" w:rsidP="00255D07">
      <w:pPr>
        <w:rPr>
          <w:sz w:val="24"/>
          <w:szCs w:val="24"/>
          <w:lang w:eastAsia="bg-BG"/>
        </w:rPr>
      </w:pPr>
    </w:p>
    <w:p w14:paraId="31744E5A" w14:textId="29FBB145" w:rsidR="009F77A4" w:rsidRDefault="002C50EE" w:rsidP="00387A66">
      <w:pPr>
        <w:pStyle w:val="Heading2"/>
      </w:pPr>
      <w:r>
        <w:t>4.2. Дозировка и начин на приложение</w:t>
      </w:r>
    </w:p>
    <w:p w14:paraId="4932A3DB" w14:textId="77777777" w:rsidR="00255D07" w:rsidRDefault="00255D07" w:rsidP="00255D07"/>
    <w:p w14:paraId="72B78AC5" w14:textId="77777777" w:rsidR="00255D07" w:rsidRPr="00255D07" w:rsidRDefault="00255D07" w:rsidP="00255D07">
      <w:pPr>
        <w:pStyle w:val="Heading3"/>
        <w:rPr>
          <w:rFonts w:eastAsia="Times New Roman"/>
          <w:sz w:val="28"/>
          <w:szCs w:val="28"/>
          <w:u w:val="single"/>
          <w:lang w:eastAsia="bg-BG"/>
        </w:rPr>
      </w:pPr>
      <w:r w:rsidRPr="00255D07">
        <w:rPr>
          <w:rFonts w:eastAsia="Times New Roman"/>
          <w:u w:val="single"/>
          <w:lang w:eastAsia="bg-BG"/>
        </w:rPr>
        <w:t>Дозировка</w:t>
      </w:r>
    </w:p>
    <w:p w14:paraId="06539D0F"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При всички пациенти подходящата схема на приложение трябва да се определя въз основа на индивидуалния отговор на лечението. Нежеланите реакции могат да бъдат сведени до минимум чрез прилагане на най-ниската ефективна доза за най-краткия период от време, необходим за контрол на симптоматиката (виж точка 4.4).</w:t>
      </w:r>
    </w:p>
    <w:p w14:paraId="175CC828" w14:textId="77777777" w:rsidR="00255D07" w:rsidRPr="00255D07" w:rsidRDefault="00255D07" w:rsidP="00255D07">
      <w:pPr>
        <w:spacing w:line="240" w:lineRule="auto"/>
        <w:rPr>
          <w:rFonts w:eastAsia="Times New Roman" w:cs="Arial"/>
          <w:color w:val="000000"/>
          <w:u w:val="single"/>
          <w:lang w:eastAsia="bg-BG"/>
        </w:rPr>
      </w:pPr>
    </w:p>
    <w:p w14:paraId="50BCF4BB" w14:textId="4520D373"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Остра болка</w:t>
      </w:r>
    </w:p>
    <w:p w14:paraId="7C05912E"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8-16 </w:t>
      </w:r>
      <w:r w:rsidRPr="00255D07">
        <w:rPr>
          <w:rFonts w:eastAsia="Times New Roman" w:cs="Arial"/>
          <w:color w:val="000000"/>
          <w:lang w:val="en-US"/>
        </w:rPr>
        <w:t xml:space="preserve">mg </w:t>
      </w:r>
      <w:r w:rsidRPr="00255D07">
        <w:rPr>
          <w:rFonts w:eastAsia="Times New Roman" w:cs="Arial"/>
          <w:color w:val="000000"/>
          <w:lang w:eastAsia="bg-BG"/>
        </w:rPr>
        <w:t xml:space="preserve">лорноксикам, давани в дози от 8 </w:t>
      </w:r>
      <w:r w:rsidRPr="00255D07">
        <w:rPr>
          <w:rFonts w:eastAsia="Times New Roman" w:cs="Arial"/>
          <w:color w:val="000000"/>
          <w:lang w:val="en-US"/>
        </w:rPr>
        <w:t xml:space="preserve">mg. </w:t>
      </w:r>
      <w:r w:rsidRPr="00255D07">
        <w:rPr>
          <w:rFonts w:eastAsia="Times New Roman" w:cs="Arial"/>
          <w:color w:val="000000"/>
          <w:lang w:eastAsia="bg-BG"/>
        </w:rPr>
        <w:t xml:space="preserve">През първия ден от лечението може да бъде дадена първоначална доза от 16 </w:t>
      </w:r>
      <w:r w:rsidRPr="00255D07">
        <w:rPr>
          <w:rFonts w:eastAsia="Times New Roman" w:cs="Arial"/>
          <w:color w:val="000000"/>
          <w:lang w:val="en-US"/>
        </w:rPr>
        <w:t xml:space="preserve">mg, </w:t>
      </w:r>
      <w:r w:rsidRPr="00255D07">
        <w:rPr>
          <w:rFonts w:eastAsia="Times New Roman" w:cs="Arial"/>
          <w:color w:val="000000"/>
          <w:lang w:eastAsia="bg-BG"/>
        </w:rPr>
        <w:t xml:space="preserve">последвана от 8 </w:t>
      </w:r>
      <w:r w:rsidRPr="00255D07">
        <w:rPr>
          <w:rFonts w:eastAsia="Times New Roman" w:cs="Arial"/>
          <w:color w:val="000000"/>
          <w:lang w:val="en-US"/>
        </w:rPr>
        <w:t xml:space="preserve">mg </w:t>
      </w:r>
      <w:r w:rsidRPr="00255D07">
        <w:rPr>
          <w:rFonts w:eastAsia="Times New Roman" w:cs="Arial"/>
          <w:color w:val="000000"/>
          <w:lang w:eastAsia="bg-BG"/>
        </w:rPr>
        <w:t xml:space="preserve">12 часа по-късно. След първия ден на лечението, препоръчваната максимална дневна доза е 16 </w:t>
      </w:r>
      <w:r w:rsidRPr="00255D07">
        <w:rPr>
          <w:rFonts w:eastAsia="Times New Roman" w:cs="Arial"/>
          <w:color w:val="000000"/>
          <w:lang w:val="en-US"/>
        </w:rPr>
        <w:t>mg.</w:t>
      </w:r>
    </w:p>
    <w:p w14:paraId="4B22FE17" w14:textId="77777777" w:rsidR="00255D07" w:rsidRPr="00255D07" w:rsidRDefault="00255D07" w:rsidP="00255D07">
      <w:pPr>
        <w:spacing w:line="240" w:lineRule="auto"/>
        <w:rPr>
          <w:rFonts w:eastAsia="Times New Roman" w:cs="Arial"/>
          <w:i/>
          <w:iCs/>
          <w:color w:val="000000"/>
          <w:u w:val="single"/>
          <w:lang w:eastAsia="bg-BG"/>
        </w:rPr>
      </w:pPr>
    </w:p>
    <w:p w14:paraId="7C9F9D73" w14:textId="5D777727" w:rsidR="00255D07" w:rsidRPr="00255D07" w:rsidRDefault="00255D07" w:rsidP="00255D07">
      <w:pPr>
        <w:spacing w:line="240" w:lineRule="auto"/>
        <w:rPr>
          <w:rFonts w:eastAsia="Times New Roman" w:cs="Arial"/>
          <w:sz w:val="28"/>
          <w:szCs w:val="28"/>
          <w:lang w:eastAsia="bg-BG"/>
        </w:rPr>
      </w:pPr>
      <w:r w:rsidRPr="00255D07">
        <w:rPr>
          <w:rFonts w:eastAsia="Times New Roman" w:cs="Arial"/>
          <w:i/>
          <w:iCs/>
          <w:color w:val="000000"/>
          <w:u w:val="single"/>
          <w:lang w:eastAsia="bg-BG"/>
        </w:rPr>
        <w:t>Специални популаиии</w:t>
      </w:r>
    </w:p>
    <w:p w14:paraId="326F6C84" w14:textId="77777777" w:rsidR="00255D07" w:rsidRPr="00255D07" w:rsidRDefault="00255D07" w:rsidP="00255D07">
      <w:pPr>
        <w:spacing w:line="240" w:lineRule="auto"/>
        <w:rPr>
          <w:rFonts w:eastAsia="Times New Roman" w:cs="Arial"/>
          <w:color w:val="000000"/>
          <w:u w:val="single"/>
          <w:lang w:eastAsia="bg-BG"/>
        </w:rPr>
      </w:pPr>
    </w:p>
    <w:p w14:paraId="12683BD7" w14:textId="187A99EA"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Педиатрична популация</w:t>
      </w:r>
    </w:p>
    <w:p w14:paraId="43CC72B5"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Лорноксикам не се препоръчва за употреба при деца и юноши под 18-годишна възраст, поради липсата на д анни за безопасността и ефикасността.</w:t>
      </w:r>
    </w:p>
    <w:p w14:paraId="3DB36B76" w14:textId="77777777" w:rsidR="00255D07" w:rsidRPr="00255D07" w:rsidRDefault="00255D07" w:rsidP="00255D07">
      <w:pPr>
        <w:spacing w:line="240" w:lineRule="auto"/>
        <w:rPr>
          <w:rFonts w:eastAsia="Times New Roman" w:cs="Arial"/>
          <w:color w:val="000000"/>
          <w:u w:val="single"/>
          <w:lang w:eastAsia="bg-BG"/>
        </w:rPr>
      </w:pPr>
    </w:p>
    <w:p w14:paraId="15596E29" w14:textId="77A2DADE"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Старческа възраст</w:t>
      </w:r>
    </w:p>
    <w:p w14:paraId="22E3DDA8"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Не се изискват специални промени в дозата при възрастни пациенти над 65-годишна възраст без нарушена бъбречна или чернодробна функция, но лорноксикам трябва да се </w:t>
      </w:r>
      <w:r w:rsidRPr="00255D07">
        <w:rPr>
          <w:rFonts w:eastAsia="Times New Roman" w:cs="Arial"/>
          <w:color w:val="000000"/>
          <w:lang w:eastAsia="bg-BG"/>
        </w:rPr>
        <w:lastRenderedPageBreak/>
        <w:t>прилага с повишено внимание, тъй като гастроинтестиналните нежелани реакции се понасят по-тежко от тази възрастова група (виж точка 4.4).</w:t>
      </w:r>
    </w:p>
    <w:p w14:paraId="3B55D087" w14:textId="77777777" w:rsidR="00255D07" w:rsidRPr="00255D07" w:rsidRDefault="00255D07" w:rsidP="00255D07">
      <w:pPr>
        <w:spacing w:line="240" w:lineRule="auto"/>
        <w:rPr>
          <w:rFonts w:eastAsia="Times New Roman" w:cs="Arial"/>
          <w:color w:val="000000"/>
          <w:u w:val="single"/>
          <w:lang w:eastAsia="bg-BG"/>
        </w:rPr>
      </w:pPr>
    </w:p>
    <w:p w14:paraId="1ABB49CE" w14:textId="272E6E9A"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Бъбречно увреждане</w:t>
      </w:r>
    </w:p>
    <w:p w14:paraId="1E0B1A29"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При пациенти с леко до умерено бъбречно увреждане се препоръчва намаляване на четотата на приложение на Ксефо Рапид 8 </w:t>
      </w:r>
      <w:r w:rsidRPr="00255D07">
        <w:rPr>
          <w:rFonts w:eastAsia="Times New Roman" w:cs="Arial"/>
          <w:color w:val="000000"/>
          <w:lang w:val="en-US"/>
        </w:rPr>
        <w:t xml:space="preserve">mg </w:t>
      </w:r>
      <w:r w:rsidRPr="00255D07">
        <w:rPr>
          <w:rFonts w:eastAsia="Times New Roman" w:cs="Arial"/>
          <w:color w:val="000000"/>
          <w:lang w:eastAsia="bg-BG"/>
        </w:rPr>
        <w:t>филмирани таблетки до веднъж дневно (виж точка 4.4). Лорноксикам е противопоказен при пациенти с тежко бъбречно увреждане (виж точка 4.3).</w:t>
      </w:r>
    </w:p>
    <w:p w14:paraId="39AFBA6B" w14:textId="77777777" w:rsidR="00255D07" w:rsidRPr="00255D07" w:rsidRDefault="00255D07" w:rsidP="00255D07">
      <w:pPr>
        <w:rPr>
          <w:rFonts w:cs="Arial"/>
          <w:sz w:val="24"/>
          <w:szCs w:val="24"/>
        </w:rPr>
      </w:pPr>
    </w:p>
    <w:p w14:paraId="3A5CD892"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Чернодробно увреждане</w:t>
      </w:r>
    </w:p>
    <w:p w14:paraId="16ED2C5D"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При пациентите, страдащи от умерено чернодробно увреждане трябва да се обсъди намаляване на честота на приложение на Ксефо Рапид 8 </w:t>
      </w:r>
      <w:r w:rsidRPr="00255D07">
        <w:rPr>
          <w:rFonts w:eastAsia="Times New Roman" w:cs="Arial"/>
          <w:color w:val="000000"/>
          <w:lang w:val="en-US"/>
        </w:rPr>
        <w:t xml:space="preserve">mg </w:t>
      </w:r>
      <w:r w:rsidRPr="00255D07">
        <w:rPr>
          <w:rFonts w:eastAsia="Times New Roman" w:cs="Arial"/>
          <w:color w:val="000000"/>
          <w:lang w:eastAsia="bg-BG"/>
        </w:rPr>
        <w:t>филмирани таблетки до веднъж дневно (виж точка 4.4). Лорноксикам е противопоказен при пациенти с тежко чернодробно увреждане (виж точка 4.3).</w:t>
      </w:r>
    </w:p>
    <w:p w14:paraId="49BEC9D7" w14:textId="77777777" w:rsidR="00255D07" w:rsidRPr="00255D07" w:rsidRDefault="00255D07" w:rsidP="00255D07">
      <w:pPr>
        <w:spacing w:line="240" w:lineRule="auto"/>
        <w:rPr>
          <w:rFonts w:eastAsia="Times New Roman" w:cs="Arial"/>
          <w:i/>
          <w:iCs/>
          <w:color w:val="000000"/>
          <w:u w:val="single"/>
          <w:lang w:eastAsia="bg-BG"/>
        </w:rPr>
      </w:pPr>
    </w:p>
    <w:p w14:paraId="23CB9EAA" w14:textId="2E77ECA9" w:rsidR="00255D07" w:rsidRPr="00255D07" w:rsidRDefault="00255D07" w:rsidP="00255D07">
      <w:pPr>
        <w:pStyle w:val="Heading3"/>
        <w:rPr>
          <w:rFonts w:eastAsia="Times New Roman"/>
          <w:sz w:val="28"/>
          <w:szCs w:val="28"/>
          <w:u w:val="single"/>
          <w:lang w:eastAsia="bg-BG"/>
        </w:rPr>
      </w:pPr>
      <w:r w:rsidRPr="00255D07">
        <w:rPr>
          <w:rFonts w:eastAsia="Times New Roman"/>
          <w:u w:val="single"/>
          <w:lang w:eastAsia="bg-BG"/>
        </w:rPr>
        <w:t>Начин на приложение</w:t>
      </w:r>
    </w:p>
    <w:p w14:paraId="616FA8CB" w14:textId="77777777" w:rsidR="00255D07" w:rsidRPr="00255D07" w:rsidRDefault="00255D07" w:rsidP="00255D07">
      <w:pPr>
        <w:spacing w:line="240" w:lineRule="auto"/>
        <w:rPr>
          <w:rFonts w:eastAsia="Times New Roman" w:cs="Arial"/>
          <w:color w:val="000000"/>
          <w:lang w:eastAsia="bg-BG"/>
        </w:rPr>
      </w:pPr>
    </w:p>
    <w:p w14:paraId="5592A00C" w14:textId="37520AA8"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Перорално.</w:t>
      </w:r>
    </w:p>
    <w:p w14:paraId="7512C05A"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Ксефо Рапид 8 </w:t>
      </w:r>
      <w:r w:rsidRPr="00255D07">
        <w:rPr>
          <w:rFonts w:eastAsia="Times New Roman" w:cs="Arial"/>
          <w:color w:val="000000"/>
          <w:lang w:val="en-US"/>
        </w:rPr>
        <w:t xml:space="preserve">mg </w:t>
      </w:r>
      <w:r w:rsidRPr="00255D07">
        <w:rPr>
          <w:rFonts w:eastAsia="Times New Roman" w:cs="Arial"/>
          <w:color w:val="000000"/>
          <w:lang w:eastAsia="bg-BG"/>
        </w:rPr>
        <w:t>филмирани таблетки трябва да се приемат с достатъчно количество течност.</w:t>
      </w:r>
    </w:p>
    <w:p w14:paraId="00B67CCB" w14:textId="77777777" w:rsidR="00255D07" w:rsidRPr="00255D07" w:rsidRDefault="00255D07" w:rsidP="00255D07"/>
    <w:p w14:paraId="5D9E65DA" w14:textId="37CC7594" w:rsidR="009F77A4" w:rsidRDefault="002C50EE" w:rsidP="00387A66">
      <w:pPr>
        <w:pStyle w:val="Heading2"/>
      </w:pPr>
      <w:r>
        <w:t>4.3. Противопоказания</w:t>
      </w:r>
    </w:p>
    <w:p w14:paraId="78665426" w14:textId="77777777" w:rsidR="00255D07" w:rsidRDefault="00255D07" w:rsidP="00255D07"/>
    <w:p w14:paraId="1963CBDF"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Свръхчувствителност към активното вещество или някое от помощните вещества, изброени в точка 6.1;</w:t>
      </w:r>
    </w:p>
    <w:p w14:paraId="2C6884E6"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Тромбоцитопения;</w:t>
      </w:r>
    </w:p>
    <w:p w14:paraId="3DD0388D"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Свръхчувствителност (симптоми като астма, ринит, ангиоедем или уртикария) към други нестероидни противовъзпалителни лекарствени средства (НСПВЛС), в това число ацетилсалицилова киселина;</w:t>
      </w:r>
    </w:p>
    <w:p w14:paraId="434DCE9C"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Тежка сърдечна недостатъчност;</w:t>
      </w:r>
    </w:p>
    <w:p w14:paraId="5EC8B8D9"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Стомашно-чревно кървене, мозъчносъдов кръвоизлив или нарушения на кръвосъсирването;</w:t>
      </w:r>
    </w:p>
    <w:p w14:paraId="1EA93664"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Анамнеза за стомашно-чревно кървене или перфорация, свързани с предшестващо лечение с НСПВЛС;</w:t>
      </w:r>
    </w:p>
    <w:p w14:paraId="1C4055E5"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Активна или анамнеза за рецидивираща пептична язва/кръвоизлив (два или повече отделни епизода на доказана язва или кървене);</w:t>
      </w:r>
    </w:p>
    <w:p w14:paraId="01A8A1EB"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Тежко чернодробно увреждане;</w:t>
      </w:r>
    </w:p>
    <w:p w14:paraId="05E89606"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Тежко бъбречно увреждане (серумен креатинин &gt; 700 (цто1/1);</w:t>
      </w:r>
    </w:p>
    <w:p w14:paraId="5C35B21B" w14:textId="43E6BCDF"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Третият триместър на бременността (виж точка 4.6).</w:t>
      </w:r>
    </w:p>
    <w:p w14:paraId="78E76DBA" w14:textId="77777777" w:rsidR="00255D07" w:rsidRPr="00255D07" w:rsidRDefault="00255D07" w:rsidP="00255D07"/>
    <w:p w14:paraId="1C27CE53" w14:textId="39C79156" w:rsidR="009F77A4" w:rsidRDefault="002C50EE" w:rsidP="00387A66">
      <w:pPr>
        <w:pStyle w:val="Heading2"/>
      </w:pPr>
      <w:r>
        <w:t>4.4. Специални предупреждения и предпазни мерки при употреба</w:t>
      </w:r>
    </w:p>
    <w:p w14:paraId="3167A095" w14:textId="77777777" w:rsidR="00255D07" w:rsidRDefault="00255D07" w:rsidP="00255D07"/>
    <w:p w14:paraId="1D9C83CD"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Лорноксикам намалява агрегацията на тромбоцитите и удължава времето на кървене, следователно трябва да се внимава, когато се прилага при пациенти с повишена склонност за кървене.</w:t>
      </w:r>
      <w:r w:rsidRPr="00255D07">
        <w:rPr>
          <w:rFonts w:eastAsia="Times New Roman" w:cs="Arial"/>
          <w:color w:val="000000"/>
          <w:lang w:eastAsia="bg-BG"/>
        </w:rPr>
        <w:tab/>
      </w:r>
    </w:p>
    <w:p w14:paraId="73F5B12B" w14:textId="77777777" w:rsidR="00255D07" w:rsidRPr="00255D07" w:rsidRDefault="00255D07" w:rsidP="00255D07">
      <w:pPr>
        <w:spacing w:line="240" w:lineRule="auto"/>
        <w:rPr>
          <w:rFonts w:eastAsia="Times New Roman" w:cs="Arial"/>
          <w:color w:val="000000"/>
          <w:lang w:eastAsia="bg-BG"/>
        </w:rPr>
      </w:pPr>
    </w:p>
    <w:p w14:paraId="18790FEA" w14:textId="05BB0D30"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lastRenderedPageBreak/>
        <w:t>Лорноксикам трябва да се прилага само след внимателна оценка на съотношението риск-полза при пациенти с:</w:t>
      </w:r>
    </w:p>
    <w:p w14:paraId="443C4FC4"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Бъбречно увреждане: Лорноксикам трябва да се прилага с повишено внимание при пациенти с леко (серумен креатинин 150-300 µ</w:t>
      </w:r>
      <w:r w:rsidRPr="00255D07">
        <w:rPr>
          <w:rFonts w:eastAsia="Times New Roman" w:cs="Arial"/>
          <w:color w:val="000000"/>
          <w:lang w:val="en-US"/>
        </w:rPr>
        <w:t>mol/l</w:t>
      </w:r>
      <w:r w:rsidRPr="00255D07">
        <w:rPr>
          <w:rFonts w:eastAsia="Times New Roman" w:cs="Arial"/>
          <w:color w:val="000000"/>
          <w:lang w:eastAsia="bg-BG"/>
        </w:rPr>
        <w:t>) до умерено (серумен креатинин 300-700 µ</w:t>
      </w:r>
      <w:r w:rsidRPr="00255D07">
        <w:rPr>
          <w:rFonts w:eastAsia="Times New Roman" w:cs="Arial"/>
          <w:color w:val="000000"/>
          <w:lang w:val="en-US"/>
        </w:rPr>
        <w:t xml:space="preserve">mol/l) </w:t>
      </w:r>
      <w:r w:rsidRPr="00255D07">
        <w:rPr>
          <w:rFonts w:eastAsia="Times New Roman" w:cs="Arial"/>
          <w:color w:val="000000"/>
          <w:lang w:eastAsia="bg-BG"/>
        </w:rPr>
        <w:t>бъбречно увреждане, поради зависимостта на бъбречния кръвоток от бъбречните простагландини (виж точка 4.2). Ако по време на лечението бъбречната функция се влоши, лечението с лорноксикам трябва да бъде преустановено;</w:t>
      </w:r>
    </w:p>
    <w:p w14:paraId="5BE7D3C0" w14:textId="56D854DC"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Бъбречните функции трябва да бъдат проследявани при пациенти:</w:t>
      </w:r>
    </w:p>
    <w:p w14:paraId="67B35593"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о  подлагани на големи хирургични интервенции;</w:t>
      </w:r>
      <w:r w:rsidRPr="00255D07">
        <w:rPr>
          <w:rFonts w:eastAsia="Times New Roman" w:cs="Arial"/>
          <w:color w:val="000000"/>
          <w:lang w:eastAsia="bg-BG"/>
        </w:rPr>
        <w:tab/>
      </w:r>
    </w:p>
    <w:p w14:paraId="65E6C6A9"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о  със сърдечна недостатъчност,</w:t>
      </w:r>
      <w:r w:rsidRPr="00255D07">
        <w:rPr>
          <w:rFonts w:eastAsia="Times New Roman" w:cs="Arial"/>
          <w:color w:val="000000"/>
          <w:lang w:eastAsia="bg-BG"/>
        </w:rPr>
        <w:tab/>
      </w:r>
    </w:p>
    <w:p w14:paraId="61602E90"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о  получаващи съпътстващо лечение с диуретици или лекарства, за които се предполага или се знае, че могат да причинят бъбречно увреждане (виж точка 4.5).</w:t>
      </w:r>
    </w:p>
    <w:p w14:paraId="741B24AF"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Пациенти с нарушения в кръвосъсирването: препоръчва се внимателно клинично проследяване и лабораторна оценка (напр. АРТТ);</w:t>
      </w:r>
    </w:p>
    <w:p w14:paraId="053BA2F5" w14:textId="77777777"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 xml:space="preserve">Чернодробно увреждане (напр. чернодробна цироза): при пациенти с чернодробно увреждане трябва се препоръчват клинично проследяване и лабораторна оценка, тъй като след лечение с дневни дози от 12-16 </w:t>
      </w:r>
      <w:r w:rsidRPr="00255D07">
        <w:rPr>
          <w:rFonts w:eastAsia="Times New Roman" w:cs="Arial"/>
          <w:color w:val="000000"/>
          <w:lang w:val="en-US"/>
        </w:rPr>
        <w:t xml:space="preserve">mg </w:t>
      </w:r>
      <w:r w:rsidRPr="00255D07">
        <w:rPr>
          <w:rFonts w:eastAsia="Times New Roman" w:cs="Arial"/>
          <w:color w:val="000000"/>
          <w:lang w:eastAsia="bg-BG"/>
        </w:rPr>
        <w:t xml:space="preserve">може да настъпи кумулиране (повишаване на </w:t>
      </w:r>
      <w:r w:rsidRPr="00255D07">
        <w:rPr>
          <w:rFonts w:eastAsia="Times New Roman" w:cs="Arial"/>
          <w:color w:val="000000"/>
          <w:lang w:val="en-US"/>
        </w:rPr>
        <w:t xml:space="preserve">AUC). </w:t>
      </w:r>
      <w:r w:rsidRPr="00255D07">
        <w:rPr>
          <w:rFonts w:eastAsia="Times New Roman" w:cs="Arial"/>
          <w:color w:val="000000"/>
          <w:lang w:eastAsia="bg-BG"/>
        </w:rPr>
        <w:t>на лорноксикам (виж точка 5.2) Като изключим това, в сравнение със здрави индивиди изглежда, че чернодробното увреждане не повлиява фармакокинетичните параметри на лорноксикам;</w:t>
      </w:r>
    </w:p>
    <w:p w14:paraId="67B17815" w14:textId="3C82E944" w:rsidR="00255D07" w:rsidRPr="00255D07" w:rsidRDefault="00255D07" w:rsidP="00255D07">
      <w:pPr>
        <w:pStyle w:val="ListParagraph"/>
        <w:numPr>
          <w:ilvl w:val="0"/>
          <w:numId w:val="2"/>
        </w:numPr>
        <w:spacing w:line="240" w:lineRule="auto"/>
        <w:rPr>
          <w:rFonts w:eastAsia="Times New Roman" w:cs="Arial"/>
          <w:color w:val="000000"/>
          <w:lang w:eastAsia="bg-BG"/>
        </w:rPr>
      </w:pPr>
      <w:r w:rsidRPr="00255D07">
        <w:rPr>
          <w:rFonts w:eastAsia="Times New Roman" w:cs="Arial"/>
          <w:color w:val="000000"/>
          <w:lang w:eastAsia="bg-BG"/>
        </w:rPr>
        <w:t>Пациенти в старческа възраст над 65 години: Препоръчва се проследяване на бъбречната и  чернодробната функция. При пациенти в старческа възраст след операция се препоръчва повишено внимание.</w:t>
      </w:r>
    </w:p>
    <w:p w14:paraId="46009952" w14:textId="77777777" w:rsidR="00255D07" w:rsidRPr="00255D07" w:rsidRDefault="00255D07" w:rsidP="00255D07">
      <w:pPr>
        <w:spacing w:line="240" w:lineRule="auto"/>
        <w:rPr>
          <w:rFonts w:eastAsia="Times New Roman" w:cs="Arial"/>
          <w:color w:val="000000"/>
          <w:u w:val="single"/>
          <w:lang w:eastAsia="bg-BG"/>
        </w:rPr>
      </w:pPr>
    </w:p>
    <w:p w14:paraId="1E58BBE3" w14:textId="40277D59"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Едновременно приложение НСПВЛС</w:t>
      </w:r>
    </w:p>
    <w:p w14:paraId="5E8EB557"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Употребата на лорноксикам едновременно с НСПВЛС, в това число със селективни инхибитори на циклооксигеназа-2, трябва да се избягва (виж точка 4.5).</w:t>
      </w:r>
    </w:p>
    <w:p w14:paraId="44929C08" w14:textId="77777777" w:rsidR="00255D07" w:rsidRPr="00255D07" w:rsidRDefault="00255D07" w:rsidP="00255D07">
      <w:pPr>
        <w:spacing w:line="240" w:lineRule="auto"/>
        <w:rPr>
          <w:rFonts w:eastAsia="Times New Roman" w:cs="Arial"/>
          <w:color w:val="000000"/>
          <w:u w:val="single"/>
          <w:lang w:eastAsia="bg-BG"/>
        </w:rPr>
      </w:pPr>
    </w:p>
    <w:p w14:paraId="23CFA785" w14:textId="5C51AE25"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Минимализиране на нежеланите реакции</w:t>
      </w:r>
      <w:r w:rsidRPr="00255D07">
        <w:rPr>
          <w:rFonts w:eastAsia="Times New Roman" w:cs="Arial"/>
          <w:color w:val="000000"/>
          <w:lang w:eastAsia="bg-BG"/>
        </w:rPr>
        <w:tab/>
      </w:r>
    </w:p>
    <w:p w14:paraId="705A55C8"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Нежеланите реакции могат да бъдат сведени до минимум, като се използва най-ниската ефективна доза за най-краткия период от време, необходим да се постигне контрол на симптомите (виж точка 4.2, както и стомашно-чревни и сърдечно-съдови рискове по-долу).</w:t>
      </w:r>
    </w:p>
    <w:p w14:paraId="7B0CC34F" w14:textId="77777777" w:rsidR="00255D07" w:rsidRPr="00255D07" w:rsidRDefault="00255D07" w:rsidP="00255D07">
      <w:pPr>
        <w:spacing w:line="240" w:lineRule="auto"/>
        <w:rPr>
          <w:rFonts w:eastAsia="Times New Roman" w:cs="Arial"/>
          <w:color w:val="000000"/>
          <w:u w:val="single"/>
          <w:lang w:eastAsia="bg-BG"/>
        </w:rPr>
      </w:pPr>
    </w:p>
    <w:p w14:paraId="5499C9E6" w14:textId="4778A989"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Стомашно-чревно кървене, язва и перфорация</w:t>
      </w:r>
    </w:p>
    <w:p w14:paraId="2AE35A4B"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Стомашно-чревно кървене, язва или перфорация, които могат да бъдат фатални, са съобщавани при всички НСПВЛС по всяко време на лечението, с или без предупредителни симптоми или предишна анамнеза за сериозни стомашно-чревни инциденти.</w:t>
      </w:r>
      <w:r w:rsidRPr="00255D07">
        <w:rPr>
          <w:rFonts w:eastAsia="Times New Roman" w:cs="Arial"/>
          <w:color w:val="000000"/>
          <w:lang w:eastAsia="bg-BG"/>
        </w:rPr>
        <w:tab/>
      </w:r>
    </w:p>
    <w:p w14:paraId="6F0BABA3" w14:textId="77777777" w:rsidR="00255D07" w:rsidRPr="00255D07" w:rsidRDefault="00255D07" w:rsidP="00255D07">
      <w:pPr>
        <w:spacing w:line="240" w:lineRule="auto"/>
        <w:rPr>
          <w:rFonts w:eastAsia="Times New Roman" w:cs="Arial"/>
          <w:lang w:eastAsia="bg-BG"/>
        </w:rPr>
      </w:pPr>
    </w:p>
    <w:p w14:paraId="3413079B" w14:textId="77777777" w:rsidR="00255D07" w:rsidRPr="00255D07" w:rsidRDefault="00255D07" w:rsidP="00255D07">
      <w:pPr>
        <w:spacing w:line="240" w:lineRule="auto"/>
        <w:rPr>
          <w:rFonts w:eastAsia="Times New Roman" w:cs="Arial"/>
          <w:color w:val="000000"/>
          <w:lang w:eastAsia="bg-BG"/>
        </w:rPr>
      </w:pPr>
      <w:r w:rsidRPr="00255D07">
        <w:rPr>
          <w:rFonts w:eastAsia="Times New Roman" w:cs="Arial"/>
          <w:color w:val="000000"/>
          <w:lang w:eastAsia="bg-BG"/>
        </w:rPr>
        <w:t xml:space="preserve">Рискът от стомашно-чревно кървене, язва или перфорация при повишаване на дозите на НСПВЛС е по-висок при пациентите с анамнеза за язва, особено, ако е била усложнена с кръвоизлив или перфорация (виж точка 4.3), както и при пациенти в старческа възраст. Тези пациенти трябва да започвал лечението с възможно най-ниската доза (виж точка 4.2). При тези пациенти, както и при пациентите, при които се налага съпътстващо лечение с ниски дози ацетилсалицилова киселина или други лекарствени продукти които има вероятност да повишат стомашно-чревния риск (виж по- надолу и точка 4.5), трябва да се обмисли комбинирана терапия с протективни средства (напр. мизопростол или инхибитори на протонната помпа). </w:t>
      </w:r>
    </w:p>
    <w:p w14:paraId="762DD56B" w14:textId="77777777" w:rsidR="00255D07" w:rsidRPr="00255D07" w:rsidRDefault="00255D07" w:rsidP="00255D07">
      <w:pPr>
        <w:spacing w:line="240" w:lineRule="auto"/>
        <w:rPr>
          <w:rFonts w:eastAsia="Times New Roman" w:cs="Arial"/>
          <w:color w:val="000000"/>
          <w:lang w:eastAsia="bg-BG"/>
        </w:rPr>
      </w:pPr>
    </w:p>
    <w:p w14:paraId="2DC4757E" w14:textId="591783F3"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Препоръчва се клинично проследяване през определен интервал от време.</w:t>
      </w:r>
    </w:p>
    <w:p w14:paraId="27C77652" w14:textId="77777777" w:rsidR="00255D07" w:rsidRPr="00255D07" w:rsidRDefault="00255D07" w:rsidP="00255D07">
      <w:pPr>
        <w:spacing w:line="240" w:lineRule="auto"/>
        <w:rPr>
          <w:rFonts w:eastAsia="Times New Roman" w:cs="Arial"/>
          <w:color w:val="000000"/>
          <w:lang w:eastAsia="bg-BG"/>
        </w:rPr>
      </w:pPr>
    </w:p>
    <w:p w14:paraId="64DC1E31" w14:textId="33ADA609"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Пациентите с анамнеза за стомашно-чревна токсичност, особено когато са в старческа възраст, трябва да бъдат инструктирани да съобщават всички необичайни коремни симптоми (по-специално стомашно-чревното кървене), особено в началните етапи на лечението.</w:t>
      </w:r>
    </w:p>
    <w:p w14:paraId="6B7F1936"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Препоръчва се повишено внимание при пациентите, получаващи едновременно лекарствени продукти, които могат да повишат риска от язва или кървене, като перорални кортикостероиди, ангикоагуланти като варфарин, селективни инхибитори на обратния захват на серотонина или тромбоцитни антиагреганти като ацетилсалициловата киселина (виж точка 4.5)</w:t>
      </w:r>
    </w:p>
    <w:p w14:paraId="4F154DE3" w14:textId="77777777" w:rsidR="00255D07" w:rsidRPr="00255D07" w:rsidRDefault="00255D07" w:rsidP="00255D07">
      <w:pPr>
        <w:spacing w:line="240" w:lineRule="auto"/>
        <w:rPr>
          <w:rFonts w:eastAsia="Times New Roman" w:cs="Arial"/>
          <w:color w:val="000000"/>
          <w:lang w:eastAsia="bg-BG"/>
        </w:rPr>
      </w:pPr>
    </w:p>
    <w:p w14:paraId="05F71D8A" w14:textId="57616966"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Когато при пациентите, получаващи лорноксикам, се появи стомашно-чревно кървене или язва, лечението трябва да бъде спряно.</w:t>
      </w:r>
    </w:p>
    <w:p w14:paraId="367A27EE" w14:textId="77777777" w:rsidR="00255D07" w:rsidRPr="00255D07" w:rsidRDefault="00255D07" w:rsidP="00255D07">
      <w:pPr>
        <w:spacing w:line="240" w:lineRule="auto"/>
        <w:rPr>
          <w:rFonts w:eastAsia="Times New Roman" w:cs="Arial"/>
          <w:color w:val="000000"/>
          <w:lang w:eastAsia="bg-BG"/>
        </w:rPr>
      </w:pPr>
    </w:p>
    <w:p w14:paraId="7434E06A" w14:textId="7F59E383"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 xml:space="preserve">НСПВЛС трябва да бъдат прилагани с повишено внимание при пациенти с анамнеза за стомашно- чревно заболяване (улцерозен колит, болест на </w:t>
      </w:r>
      <w:r w:rsidRPr="00255D07">
        <w:rPr>
          <w:rFonts w:eastAsia="Times New Roman" w:cs="Arial"/>
          <w:color w:val="000000"/>
          <w:lang w:val="en-US"/>
        </w:rPr>
        <w:t xml:space="preserve">Crohn), </w:t>
      </w:r>
      <w:r w:rsidRPr="00255D07">
        <w:rPr>
          <w:rFonts w:eastAsia="Times New Roman" w:cs="Arial"/>
          <w:color w:val="000000"/>
          <w:lang w:eastAsia="bg-BG"/>
        </w:rPr>
        <w:t xml:space="preserve">тъй като тяхното състояние може да се обостри (виж точка 4.8). </w:t>
      </w:r>
    </w:p>
    <w:p w14:paraId="3A07510C" w14:textId="77777777" w:rsidR="00255D07" w:rsidRPr="00255D07" w:rsidRDefault="00255D07" w:rsidP="00255D07">
      <w:pPr>
        <w:spacing w:line="240" w:lineRule="auto"/>
        <w:rPr>
          <w:rFonts w:eastAsia="Times New Roman" w:cs="Arial"/>
          <w:color w:val="000000"/>
          <w:u w:val="single"/>
          <w:lang w:eastAsia="bg-BG"/>
        </w:rPr>
      </w:pPr>
    </w:p>
    <w:p w14:paraId="2B9245EF" w14:textId="075A9B5F"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Пациенти в старческа възраст</w:t>
      </w:r>
      <w:r w:rsidRPr="00255D07">
        <w:rPr>
          <w:rFonts w:eastAsia="Times New Roman" w:cs="Arial"/>
          <w:color w:val="000000"/>
          <w:lang w:eastAsia="bg-BG"/>
        </w:rPr>
        <w:tab/>
      </w:r>
    </w:p>
    <w:p w14:paraId="2591AC61"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При пациентите в старческа възраст има повишена честота на нежеланите реакции към НСПВЛС, по- специално стомашно-чревно кървене и перфорация, които могат да бъдат фатални (виж точка 4.2).</w:t>
      </w:r>
    </w:p>
    <w:p w14:paraId="7F127A2A" w14:textId="77777777" w:rsidR="00255D07" w:rsidRPr="00255D07" w:rsidRDefault="00255D07" w:rsidP="00255D07">
      <w:pPr>
        <w:spacing w:line="240" w:lineRule="auto"/>
        <w:rPr>
          <w:rFonts w:eastAsia="Times New Roman" w:cs="Arial"/>
          <w:color w:val="000000"/>
          <w:u w:val="single"/>
          <w:lang w:eastAsia="bg-BG"/>
        </w:rPr>
      </w:pPr>
    </w:p>
    <w:p w14:paraId="608ED4CF" w14:textId="45BD026A"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Кардиоваскуларни и цереброваскуларни ефекти</w:t>
      </w:r>
      <w:r w:rsidRPr="00255D07">
        <w:rPr>
          <w:rFonts w:eastAsia="Times New Roman" w:cs="Arial"/>
          <w:color w:val="000000"/>
          <w:lang w:eastAsia="bg-BG"/>
        </w:rPr>
        <w:tab/>
      </w:r>
    </w:p>
    <w:p w14:paraId="628705A7"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Адекватно проследяване и консултация са необходими при пациенти с анамнеза за хипертония и/или лека до умерена застойна сърдечна недостатъчност, тъй като има съобщения за задръжка на течности и оток при терапия с НСПВЛС.</w:t>
      </w:r>
      <w:r w:rsidRPr="00255D07">
        <w:rPr>
          <w:rFonts w:eastAsia="Times New Roman" w:cs="Arial"/>
          <w:color w:val="000000"/>
          <w:lang w:eastAsia="bg-BG"/>
        </w:rPr>
        <w:tab/>
      </w:r>
    </w:p>
    <w:p w14:paraId="3E214640" w14:textId="77777777" w:rsidR="00255D07" w:rsidRPr="00255D07" w:rsidRDefault="00255D07" w:rsidP="00255D07">
      <w:pPr>
        <w:spacing w:line="240" w:lineRule="auto"/>
        <w:rPr>
          <w:rFonts w:eastAsia="Times New Roman" w:cs="Arial"/>
          <w:color w:val="000000"/>
          <w:lang w:eastAsia="bg-BG"/>
        </w:rPr>
      </w:pPr>
    </w:p>
    <w:p w14:paraId="70F0CC8E" w14:textId="02E59F6A"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Данни от клинични изпитвания и епидемиологични проучвания предполагат, че използването на някои НСПВЛС, особено във високи дози и при продължително лечение, може да е свързано с повишен риск от артериални тромботични инциден ги (напр. инфаркт на миокарда или инсулт). Няма достатъчно данни за изключване на такъв риск за лорноксикам.</w:t>
      </w:r>
    </w:p>
    <w:p w14:paraId="5BF62512" w14:textId="77777777" w:rsidR="00255D07" w:rsidRPr="00255D07" w:rsidRDefault="00255D07" w:rsidP="00255D07">
      <w:pPr>
        <w:rPr>
          <w:rFonts w:eastAsia="Times New Roman" w:cs="Arial"/>
          <w:color w:val="000000"/>
          <w:lang w:eastAsia="bg-BG"/>
        </w:rPr>
      </w:pPr>
    </w:p>
    <w:p w14:paraId="50B17A1E" w14:textId="77777777" w:rsidR="00255D07" w:rsidRPr="00255D07" w:rsidRDefault="00255D07" w:rsidP="00255D07">
      <w:pPr>
        <w:rPr>
          <w:rFonts w:eastAsia="Times New Roman" w:cs="Arial"/>
          <w:lang w:eastAsia="bg-BG"/>
        </w:rPr>
      </w:pPr>
      <w:r w:rsidRPr="00255D07">
        <w:rPr>
          <w:rFonts w:eastAsia="Times New Roman" w:cs="Arial"/>
          <w:color w:val="000000"/>
          <w:lang w:eastAsia="bg-BG"/>
        </w:rPr>
        <w:t>Пациенти с неконтролирана хипертония, застойна сърдечна недостатъчност, установена исхемична болест на сърцето, периферна артериална болест и/или мозъчно-съдова болест трябва да бъдат</w:t>
      </w:r>
      <w:r w:rsidRPr="00255D07">
        <w:rPr>
          <w:rFonts w:eastAsia="Times New Roman" w:cs="Arial"/>
          <w:color w:val="000000"/>
          <w:lang w:val="en-US" w:eastAsia="bg-BG"/>
        </w:rPr>
        <w:t xml:space="preserve"> </w:t>
      </w:r>
      <w:r w:rsidRPr="00255D07">
        <w:rPr>
          <w:rFonts w:eastAsia="Times New Roman" w:cs="Arial"/>
          <w:color w:val="000000"/>
          <w:lang w:eastAsia="bg-BG"/>
        </w:rPr>
        <w:t>лекувани с лорноксикам само след внимателно обмисляне. По подобен начин трябва да бъдат разглеждани и пациенти с рискови фактори за сърдечносъдова болест (напр. хипертония, хиперлипидемия, захарен диабет, тютюнопушене) преди назначаване на дългосрочно лечение.</w:t>
      </w:r>
    </w:p>
    <w:p w14:paraId="6E4674C3" w14:textId="77777777" w:rsidR="00255D07" w:rsidRPr="00255D07" w:rsidRDefault="00255D07" w:rsidP="00255D07">
      <w:pPr>
        <w:spacing w:line="240" w:lineRule="auto"/>
        <w:rPr>
          <w:rFonts w:eastAsia="Times New Roman" w:cs="Arial"/>
          <w:color w:val="000000"/>
          <w:lang w:eastAsia="bg-BG"/>
        </w:rPr>
      </w:pPr>
    </w:p>
    <w:p w14:paraId="43A6B36E" w14:textId="7897AFF6"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 xml:space="preserve">Едновременното лечение с НСПВЛС и хепарин във връзка с гръбначно-мозъчна или епидурална анестезия повишава риска от грьбначно-мозъчен/епидурален хематом (вж. точка 4.5). </w:t>
      </w:r>
    </w:p>
    <w:p w14:paraId="6D3E5754" w14:textId="77777777" w:rsidR="00255D07" w:rsidRPr="00255D07" w:rsidRDefault="00255D07" w:rsidP="00255D07">
      <w:pPr>
        <w:spacing w:line="240" w:lineRule="auto"/>
        <w:rPr>
          <w:rFonts w:eastAsia="Times New Roman" w:cs="Arial"/>
          <w:lang w:eastAsia="bg-BG"/>
        </w:rPr>
      </w:pPr>
    </w:p>
    <w:p w14:paraId="0BA91F97"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Кожни нарушения</w:t>
      </w:r>
    </w:p>
    <w:p w14:paraId="722D90E2"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 xml:space="preserve">Сериозни кожни реакции, някои от които фатални, включително ексфолиативен дерматит, синдром на </w:t>
      </w:r>
      <w:r w:rsidRPr="00255D07">
        <w:rPr>
          <w:rFonts w:eastAsia="Times New Roman" w:cs="Arial"/>
          <w:color w:val="000000"/>
          <w:lang w:val="en-US"/>
        </w:rPr>
        <w:t xml:space="preserve">Stevens-Johnson </w:t>
      </w:r>
      <w:r w:rsidRPr="00255D07">
        <w:rPr>
          <w:rFonts w:eastAsia="Times New Roman" w:cs="Arial"/>
          <w:color w:val="000000"/>
          <w:lang w:eastAsia="bg-BG"/>
        </w:rPr>
        <w:t xml:space="preserve">и токсична епидермална некролиза, са съобщавани много </w:t>
      </w:r>
      <w:r w:rsidRPr="00255D07">
        <w:rPr>
          <w:rFonts w:eastAsia="Times New Roman" w:cs="Arial"/>
          <w:color w:val="000000"/>
          <w:lang w:eastAsia="bg-BG"/>
        </w:rPr>
        <w:lastRenderedPageBreak/>
        <w:t>рядко във връзка с употребата на НСПВЛС (виж точка 4.8). Изглежда, че при пациентите рискът от развитие на тези реакции е най-висок в началото на лечението, като в повечето случаи настъпват през първия месец от лечението. Приемът на лорноксикам трябва да бъде преустановен при първите прояви на кожен обрив, мукозни лезии или други признаци на свръхчувствителност.</w:t>
      </w:r>
      <w:r w:rsidRPr="00255D07">
        <w:rPr>
          <w:rFonts w:eastAsia="Times New Roman" w:cs="Arial"/>
          <w:color w:val="000000"/>
          <w:lang w:eastAsia="bg-BG"/>
        </w:rPr>
        <w:tab/>
      </w:r>
    </w:p>
    <w:p w14:paraId="1CE0D6A8" w14:textId="77777777" w:rsidR="00255D07" w:rsidRPr="00255D07" w:rsidRDefault="00255D07" w:rsidP="00255D07">
      <w:pPr>
        <w:spacing w:line="240" w:lineRule="auto"/>
        <w:rPr>
          <w:rFonts w:eastAsia="Times New Roman" w:cs="Arial"/>
          <w:color w:val="000000"/>
          <w:u w:val="single"/>
          <w:lang w:eastAsia="bg-BG"/>
        </w:rPr>
      </w:pPr>
    </w:p>
    <w:p w14:paraId="591C34AC" w14:textId="5DF86252"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Дихателни нарушения</w:t>
      </w:r>
      <w:r w:rsidRPr="00255D07">
        <w:rPr>
          <w:rFonts w:eastAsia="Times New Roman" w:cs="Arial"/>
          <w:color w:val="000000"/>
          <w:lang w:eastAsia="bg-BG"/>
        </w:rPr>
        <w:tab/>
      </w:r>
    </w:p>
    <w:p w14:paraId="2A1D8D04"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Изисква се внимание при приложение на пациенти страдащи, или с история за бронхиална астма, тъй като е докладвано, че НСПВЛС предизвикват бронхоспазъм при някои пациенти.</w:t>
      </w:r>
    </w:p>
    <w:p w14:paraId="6296C354" w14:textId="77777777" w:rsidR="00255D07" w:rsidRPr="00255D07" w:rsidRDefault="00255D07" w:rsidP="00255D07">
      <w:pPr>
        <w:spacing w:line="240" w:lineRule="auto"/>
        <w:rPr>
          <w:rFonts w:eastAsia="Times New Roman" w:cs="Arial"/>
          <w:color w:val="000000"/>
          <w:u w:val="single"/>
          <w:lang w:eastAsia="bg-BG"/>
        </w:rPr>
      </w:pPr>
    </w:p>
    <w:p w14:paraId="4AB7A6D2" w14:textId="1FFA5B8C"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 xml:space="preserve">Системен лупус еритематодес </w:t>
      </w:r>
      <w:r w:rsidRPr="00255D07">
        <w:rPr>
          <w:rFonts w:eastAsia="Times New Roman" w:cs="Arial"/>
          <w:color w:val="000000"/>
          <w:u w:val="single"/>
          <w:lang w:val="en-US"/>
        </w:rPr>
        <w:t xml:space="preserve">(SLE) </w:t>
      </w:r>
      <w:r w:rsidRPr="00255D07">
        <w:rPr>
          <w:rFonts w:eastAsia="Times New Roman" w:cs="Arial"/>
          <w:color w:val="000000"/>
          <w:u w:val="single"/>
          <w:lang w:eastAsia="bg-BG"/>
        </w:rPr>
        <w:t xml:space="preserve">и смесени заболявалия на съединителната тъкан </w:t>
      </w:r>
      <w:r w:rsidRPr="00255D07">
        <w:rPr>
          <w:rFonts w:eastAsia="Times New Roman" w:cs="Arial"/>
          <w:color w:val="000000"/>
          <w:lang w:eastAsia="bg-BG"/>
        </w:rPr>
        <w:t xml:space="preserve">Изисква се внимание при пациенти със системен лупус еритематодес </w:t>
      </w:r>
      <w:r w:rsidRPr="00255D07">
        <w:rPr>
          <w:rFonts w:eastAsia="Times New Roman" w:cs="Arial"/>
          <w:color w:val="000000"/>
          <w:lang w:val="en-US"/>
        </w:rPr>
        <w:t xml:space="preserve">(SLE) </w:t>
      </w:r>
      <w:r w:rsidRPr="00255D07">
        <w:rPr>
          <w:rFonts w:eastAsia="Times New Roman" w:cs="Arial"/>
          <w:color w:val="000000"/>
          <w:lang w:eastAsia="bg-BG"/>
        </w:rPr>
        <w:t>или смесени заболявалия на съединителната тъкан, тъй като може би има повишен риск от асептичен менингит.</w:t>
      </w:r>
      <w:r w:rsidRPr="00255D07">
        <w:rPr>
          <w:rFonts w:eastAsia="Times New Roman" w:cs="Arial"/>
          <w:color w:val="000000"/>
          <w:lang w:eastAsia="bg-BG"/>
        </w:rPr>
        <w:tab/>
      </w:r>
    </w:p>
    <w:p w14:paraId="6F22CAA6" w14:textId="77777777" w:rsidR="00255D07" w:rsidRPr="00255D07" w:rsidRDefault="00255D07" w:rsidP="00255D07">
      <w:pPr>
        <w:spacing w:line="240" w:lineRule="auto"/>
        <w:rPr>
          <w:rFonts w:eastAsia="Times New Roman" w:cs="Arial"/>
          <w:color w:val="000000"/>
          <w:lang w:eastAsia="bg-BG"/>
        </w:rPr>
      </w:pPr>
    </w:p>
    <w:p w14:paraId="0287B45D" w14:textId="4CD05391"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Не</w:t>
      </w:r>
      <w:r w:rsidRPr="00255D07">
        <w:rPr>
          <w:rFonts w:eastAsia="Times New Roman" w:cs="Arial"/>
          <w:color w:val="000000"/>
          <w:u w:val="single"/>
          <w:lang w:eastAsia="bg-BG"/>
        </w:rPr>
        <w:t>фротоксичност</w:t>
      </w:r>
      <w:r w:rsidRPr="00255D07">
        <w:rPr>
          <w:rFonts w:eastAsia="Times New Roman" w:cs="Arial"/>
          <w:color w:val="000000"/>
          <w:lang w:eastAsia="bg-BG"/>
        </w:rPr>
        <w:tab/>
      </w:r>
    </w:p>
    <w:p w14:paraId="2B1F00BE"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Едновременното лечение с НСПВЛС и такролимус може да повиши риска от нефротоксичност поради намален синтез на простациклин в бъбреците. Поради това бъбречната функция трябва да бъде проследявана внимателно при пациенти, получаващи комбинирана терапия (виж точка 4.5).</w:t>
      </w:r>
      <w:r w:rsidRPr="00255D07">
        <w:rPr>
          <w:rFonts w:eastAsia="Times New Roman" w:cs="Arial"/>
          <w:color w:val="000000"/>
          <w:lang w:eastAsia="bg-BG"/>
        </w:rPr>
        <w:tab/>
      </w:r>
    </w:p>
    <w:p w14:paraId="3B95C96E" w14:textId="77777777" w:rsidR="00255D07" w:rsidRPr="00255D07" w:rsidRDefault="00255D07" w:rsidP="00255D07">
      <w:pPr>
        <w:spacing w:line="240" w:lineRule="auto"/>
        <w:rPr>
          <w:rFonts w:eastAsia="Times New Roman" w:cs="Arial"/>
          <w:color w:val="000000"/>
          <w:u w:val="single"/>
          <w:lang w:eastAsia="bg-BG"/>
        </w:rPr>
      </w:pPr>
    </w:p>
    <w:p w14:paraId="5F6C5244" w14:textId="24C52E81"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Лабораторни промени</w:t>
      </w:r>
    </w:p>
    <w:p w14:paraId="599CD1FE"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 xml:space="preserve">Както при повечето НСПВЛС, има съобщения за инцидентно повишаване на нивото на серумните трансаминази, повишаване на серумния билирубин или други параметри на чернодробната функция, както и повишаване на серумния креатинин и кръвния уреен азот </w:t>
      </w:r>
      <w:r w:rsidRPr="00255D07">
        <w:rPr>
          <w:rFonts w:eastAsia="Times New Roman" w:cs="Arial"/>
          <w:color w:val="000000"/>
          <w:lang w:val="en-US"/>
        </w:rPr>
        <w:t xml:space="preserve">(BUN), </w:t>
      </w:r>
      <w:r w:rsidRPr="00255D07">
        <w:rPr>
          <w:rFonts w:eastAsia="Times New Roman" w:cs="Arial"/>
          <w:color w:val="000000"/>
          <w:lang w:eastAsia="bg-BG"/>
        </w:rPr>
        <w:t>както и за други отклонения при лабораторните изследвания са докладвани. Ако някое от тези отклонения се окаже значимо или персистира, приложението на лорноксикам трябва да се спре и да се назначат необходимите изследвания.</w:t>
      </w:r>
      <w:r w:rsidRPr="00255D07">
        <w:rPr>
          <w:rFonts w:eastAsia="Times New Roman" w:cs="Arial"/>
          <w:color w:val="000000"/>
          <w:lang w:eastAsia="bg-BG"/>
        </w:rPr>
        <w:tab/>
      </w:r>
    </w:p>
    <w:p w14:paraId="7030EE90"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ab/>
      </w:r>
    </w:p>
    <w:p w14:paraId="203CFCBB"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Фертилитет</w:t>
      </w:r>
    </w:p>
    <w:p w14:paraId="5EB8537F"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Както всяко лекарство, за което е известно, че инхибира синтеза на циклооксигеназата/простагландините, така и при използване на лорноксикам може да се наблюдава нарушение на фертилитета и неговото приложение при жени, правещи опити да забременеят, не се препоръчва. Трябва да се обмисли прекратяване на лечението с лорноксикам при жени, които срещат трудности да забременеят или които са подложени на изследвания за безплодие (виж точка 4.6).</w:t>
      </w:r>
      <w:r w:rsidRPr="00255D07">
        <w:rPr>
          <w:rFonts w:eastAsia="Times New Roman" w:cs="Arial"/>
          <w:color w:val="000000"/>
          <w:lang w:eastAsia="bg-BG"/>
        </w:rPr>
        <w:tab/>
      </w:r>
    </w:p>
    <w:p w14:paraId="228B7201" w14:textId="77777777" w:rsidR="00255D07" w:rsidRPr="00255D07" w:rsidRDefault="00255D07" w:rsidP="00255D07">
      <w:pPr>
        <w:spacing w:line="240" w:lineRule="auto"/>
        <w:rPr>
          <w:rFonts w:eastAsia="Times New Roman" w:cs="Arial"/>
          <w:color w:val="000000"/>
          <w:u w:val="single"/>
          <w:lang w:eastAsia="bg-BG"/>
        </w:rPr>
      </w:pPr>
    </w:p>
    <w:p w14:paraId="60680680" w14:textId="7C5D4E22"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Варицела</w:t>
      </w:r>
      <w:r w:rsidRPr="00255D07">
        <w:rPr>
          <w:rFonts w:eastAsia="Times New Roman" w:cs="Arial"/>
          <w:color w:val="000000"/>
          <w:lang w:eastAsia="bg-BG"/>
        </w:rPr>
        <w:tab/>
      </w:r>
    </w:p>
    <w:p w14:paraId="11CE54C3" w14:textId="77777777" w:rsidR="00255D07" w:rsidRPr="00255D07" w:rsidRDefault="00255D07" w:rsidP="00255D07">
      <w:pPr>
        <w:spacing w:line="240" w:lineRule="auto"/>
        <w:rPr>
          <w:rFonts w:eastAsia="Times New Roman" w:cs="Arial"/>
          <w:lang w:eastAsia="bg-BG"/>
        </w:rPr>
      </w:pPr>
      <w:r w:rsidRPr="00255D07">
        <w:rPr>
          <w:rFonts w:eastAsia="Times New Roman" w:cs="Arial"/>
          <w:color w:val="000000"/>
          <w:lang w:eastAsia="bg-BG"/>
        </w:rPr>
        <w:t>По изключение, варицелата може да е източник на сериозни инфекциозни усложенения от страна на кожата и меките тъкани.</w:t>
      </w:r>
    </w:p>
    <w:p w14:paraId="581EB78E" w14:textId="339684C6" w:rsidR="00255D07" w:rsidRPr="00255D07" w:rsidRDefault="00255D07" w:rsidP="00255D07">
      <w:pPr>
        <w:rPr>
          <w:rFonts w:eastAsia="Times New Roman" w:cs="Arial"/>
          <w:color w:val="000000"/>
          <w:lang w:eastAsia="bg-BG"/>
        </w:rPr>
      </w:pPr>
      <w:r w:rsidRPr="00255D07">
        <w:rPr>
          <w:rFonts w:eastAsia="Times New Roman" w:cs="Arial"/>
          <w:color w:val="000000"/>
          <w:lang w:eastAsia="bg-BG"/>
        </w:rPr>
        <w:t>До момента, ролята на НСПВЛС във влошаването на тези инфекции не може да бъде изключена. Поради това е препоръчително избягването на лорноксикам в случай на варицела.</w:t>
      </w:r>
    </w:p>
    <w:p w14:paraId="78891734" w14:textId="77777777" w:rsidR="00255D07" w:rsidRPr="00255D07" w:rsidRDefault="00255D07" w:rsidP="00255D07">
      <w:pPr>
        <w:rPr>
          <w:lang w:val="en-US"/>
        </w:rPr>
      </w:pPr>
    </w:p>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3F443AE3" w14:textId="77777777" w:rsidR="00255D07" w:rsidRDefault="00255D07" w:rsidP="00255D07"/>
    <w:p w14:paraId="248E03BE" w14:textId="3D4EDD86" w:rsidR="00255D07" w:rsidRPr="00255D07" w:rsidRDefault="00255D07" w:rsidP="00255D07">
      <w:pPr>
        <w:spacing w:line="240" w:lineRule="auto"/>
        <w:rPr>
          <w:rFonts w:eastAsia="Times New Roman" w:cs="Arial"/>
          <w:color w:val="000000"/>
          <w:lang w:eastAsia="bg-BG"/>
        </w:rPr>
      </w:pPr>
      <w:r w:rsidRPr="00255D07">
        <w:rPr>
          <w:rFonts w:eastAsia="Times New Roman" w:cs="Arial"/>
          <w:color w:val="000000"/>
          <w:lang w:eastAsia="bg-BG"/>
        </w:rPr>
        <w:t>Едновременно приложение на лорноксикам и:</w:t>
      </w:r>
    </w:p>
    <w:p w14:paraId="769C1535"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lastRenderedPageBreak/>
        <w:t>циметидин: повишени плазмени концентрации на лорноксикам, което може да повиши</w:t>
      </w:r>
      <w:r w:rsidRPr="00255D07">
        <w:rPr>
          <w:rFonts w:eastAsia="Times New Roman" w:cs="Arial"/>
          <w:color w:val="000000"/>
          <w:lang w:val="en-US" w:eastAsia="bg-BG"/>
        </w:rPr>
        <w:t xml:space="preserve"> </w:t>
      </w:r>
      <w:r w:rsidRPr="00255D07">
        <w:rPr>
          <w:rFonts w:eastAsia="Times New Roman" w:cs="Arial"/>
          <w:color w:val="000000"/>
          <w:lang w:eastAsia="bg-BG"/>
        </w:rPr>
        <w:t>риска от нежелани реакции на лорноксикам (Не са установени взаимодействия между лорноксикам и ранитидин, или лорноксикам и антиацидни средства);</w:t>
      </w:r>
    </w:p>
    <w:p w14:paraId="71FF2E29"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 xml:space="preserve">антикоагуланти: НСПВС могат да усилят ефектите на антикоагулантите, като варфарин, (виж точка 4.4). Трябва да се започне внимателно проследяване на </w:t>
      </w:r>
      <w:r w:rsidRPr="00255D07">
        <w:rPr>
          <w:rFonts w:eastAsia="Times New Roman" w:cs="Arial"/>
          <w:color w:val="000000"/>
          <w:lang w:val="en-US"/>
        </w:rPr>
        <w:t xml:space="preserve">INR; </w:t>
      </w:r>
    </w:p>
    <w:p w14:paraId="6743C94F"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фенпрокумон: Намален ефект на лечението с фенпрокумон;</w:t>
      </w:r>
    </w:p>
    <w:p w14:paraId="14169904"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хепарин: когато се дават едновременно с хепарин във връзка със спинална или епидурална анестезия, НСПВЛС повишават риска от кървене и гръбначно-мозъчен или епидурален хематом (виж точка 4.4);</w:t>
      </w:r>
    </w:p>
    <w:p w14:paraId="3B42C617"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АСЕ инхибитори: антихипертензивният ефект на АСЕ инхибитора може да намалее;</w:t>
      </w:r>
    </w:p>
    <w:p w14:paraId="2E05A390"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диуретици: намален диуретичен и антихипертензивен ефект на бримкови диуретици, тиазидни диуретици и калий-съхраняващи диуретици (повишен риск от хиперкалиемия и нефротоксичност);</w:t>
      </w:r>
    </w:p>
    <w:p w14:paraId="05FA33D1"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 xml:space="preserve">бета-адренергични блокери: намалена антихипертензивна ефикасност; </w:t>
      </w:r>
    </w:p>
    <w:p w14:paraId="76B3C429"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 xml:space="preserve">ангиотензин </w:t>
      </w:r>
      <w:r w:rsidRPr="00255D07">
        <w:rPr>
          <w:rFonts w:eastAsia="Times New Roman" w:cs="Arial"/>
          <w:color w:val="000000"/>
          <w:lang w:val="en-US" w:eastAsia="bg-BG"/>
        </w:rPr>
        <w:t>II</w:t>
      </w:r>
      <w:r w:rsidRPr="00255D07">
        <w:rPr>
          <w:rFonts w:eastAsia="Times New Roman" w:cs="Arial"/>
          <w:color w:val="000000"/>
          <w:lang w:eastAsia="bg-BG"/>
        </w:rPr>
        <w:t>-рецепторни блокери: намалена антихипертензивна ефикасност;</w:t>
      </w:r>
    </w:p>
    <w:p w14:paraId="2D461D52"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дигоксин: намален бъбречен клирънс на дигоксина, което повишава риска от токсичност на дигоксина;</w:t>
      </w:r>
      <w:r w:rsidRPr="00255D07">
        <w:rPr>
          <w:rFonts w:eastAsia="Times New Roman" w:cs="Arial"/>
          <w:color w:val="000000"/>
          <w:lang w:eastAsia="bg-BG"/>
        </w:rPr>
        <w:tab/>
      </w:r>
    </w:p>
    <w:p w14:paraId="51AF2F3C"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кортикостероиди: повишен риск от стомашно-чревна язва или кървене (вж, точка 4.4);</w:t>
      </w:r>
    </w:p>
    <w:p w14:paraId="31E98AD2"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хинолонови антибиотици (напр. левофлоксацин, офлоксацин): повишен риск от гърчове;</w:t>
      </w:r>
    </w:p>
    <w:p w14:paraId="57EF01E1"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тромбоцитни антиагреганти (напр. клопидогрел): повишен риск от стомашно-чревно кървене (виж точка 4.4);</w:t>
      </w:r>
    </w:p>
    <w:p w14:paraId="7B34DE03"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други НСПВЛС: повишен риск от стомашно-чревно кървене или улцерации;</w:t>
      </w:r>
    </w:p>
    <w:p w14:paraId="154526F0"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метотрексат: повишена серумна концентрация на метотрексат. Може да доведе до повишена токсичност. Когато се налага да се използва едновременно лечение, трябва да се извършва внимателно проследяване;</w:t>
      </w:r>
    </w:p>
    <w:p w14:paraId="2E1A09EB"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 xml:space="preserve">селективни инхибитори на обратния захват на серотонина </w:t>
      </w:r>
      <w:r w:rsidRPr="00255D07">
        <w:rPr>
          <w:rFonts w:eastAsia="Times New Roman" w:cs="Arial"/>
          <w:color w:val="000000"/>
          <w:lang w:val="en-US"/>
        </w:rPr>
        <w:t xml:space="preserve">(SSRIs): </w:t>
      </w:r>
      <w:r w:rsidRPr="00255D07">
        <w:rPr>
          <w:rFonts w:eastAsia="Times New Roman" w:cs="Arial"/>
          <w:color w:val="000000"/>
          <w:lang w:eastAsia="bg-BG"/>
        </w:rPr>
        <w:t>повишен риск от стомашно-чревно кървене (виж точка 4.4);</w:t>
      </w:r>
      <w:r w:rsidRPr="00255D07">
        <w:rPr>
          <w:rFonts w:eastAsia="Times New Roman" w:cs="Arial"/>
          <w:color w:val="000000"/>
          <w:lang w:eastAsia="bg-BG"/>
        </w:rPr>
        <w:tab/>
      </w:r>
    </w:p>
    <w:p w14:paraId="0E197FBB"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литий: НСПВС потискат бъбречния клирънс на литий, така че серумните концентрации на лития могат да се повишат над границите за токсичност. Поради това е необходимо проследяване на серумните нива на лития, особено по време на започване, адаптиране и спиране на лечението;</w:t>
      </w:r>
      <w:r w:rsidRPr="00255D07">
        <w:rPr>
          <w:rFonts w:eastAsia="Times New Roman" w:cs="Arial"/>
          <w:color w:val="000000"/>
          <w:lang w:eastAsia="bg-BG"/>
        </w:rPr>
        <w:tab/>
      </w:r>
    </w:p>
    <w:p w14:paraId="5D5606B0"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циклоспорин: повишена серумна концентрация на циклоспорин. НефротоКсичността на циклоспорин може да се увеличи чрез ефектите, медиирани от бъбречните простагландини. По време на комбинираното лечение, бъбречната функция трябва да бъде проследявана;</w:t>
      </w:r>
      <w:r w:rsidRPr="00255D07">
        <w:rPr>
          <w:rFonts w:eastAsia="Times New Roman" w:cs="Arial"/>
          <w:color w:val="000000"/>
          <w:lang w:eastAsia="bg-BG"/>
        </w:rPr>
        <w:tab/>
      </w:r>
    </w:p>
    <w:p w14:paraId="77EF491D"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сулфанилурейни препарати (напр. глибенкламид): повишен риск от хипогликемия.</w:t>
      </w:r>
    </w:p>
    <w:p w14:paraId="5377BDD3"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lastRenderedPageBreak/>
        <w:t xml:space="preserve">известни индуктори и инхибитори на </w:t>
      </w:r>
      <w:r w:rsidRPr="00255D07">
        <w:rPr>
          <w:rFonts w:eastAsia="Times New Roman" w:cs="Arial"/>
          <w:color w:val="000000"/>
          <w:lang w:val="en-US"/>
        </w:rPr>
        <w:t xml:space="preserve">CYP2C9 </w:t>
      </w:r>
      <w:r w:rsidRPr="00255D07">
        <w:rPr>
          <w:rFonts w:eastAsia="Times New Roman" w:cs="Arial"/>
          <w:color w:val="000000"/>
          <w:lang w:eastAsia="bg-BG"/>
        </w:rPr>
        <w:t xml:space="preserve">изоензимите: лорноксикам (както и другите НСПВС, зависещи от цитохром Р450 2С9 </w:t>
      </w:r>
      <w:r w:rsidRPr="00255D07">
        <w:rPr>
          <w:rFonts w:eastAsia="Times New Roman" w:cs="Arial"/>
          <w:color w:val="000000"/>
          <w:lang w:val="en-US"/>
        </w:rPr>
        <w:t xml:space="preserve">(CYP2C9 </w:t>
      </w:r>
      <w:r w:rsidRPr="00255D07">
        <w:rPr>
          <w:rFonts w:eastAsia="Times New Roman" w:cs="Arial"/>
          <w:color w:val="000000"/>
          <w:lang w:eastAsia="bg-BG"/>
        </w:rPr>
        <w:t xml:space="preserve">изоензима)) взаимодейства с известните индуктори и инхибитори на </w:t>
      </w:r>
      <w:r w:rsidRPr="00255D07">
        <w:rPr>
          <w:rFonts w:eastAsia="Times New Roman" w:cs="Arial"/>
          <w:color w:val="000000"/>
          <w:lang w:val="en-US"/>
        </w:rPr>
        <w:t xml:space="preserve">CYP2C9 </w:t>
      </w:r>
      <w:r w:rsidRPr="00255D07">
        <w:rPr>
          <w:rFonts w:eastAsia="Times New Roman" w:cs="Arial"/>
          <w:color w:val="000000"/>
          <w:lang w:eastAsia="bg-BG"/>
        </w:rPr>
        <w:t>изоензимите (вж. точка 5.2 Биотрансформация);</w:t>
      </w:r>
    </w:p>
    <w:p w14:paraId="7F75F071" w14:textId="77777777"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такролимус: повишава риска от нефротоксичност, поради намален синтез на простациклин в бъбреците. По време на комбинираното лечение, бъбречната функция трябва да бъде проследявана (виж точка 4.4);</w:t>
      </w:r>
    </w:p>
    <w:p w14:paraId="11688B80" w14:textId="097242B6" w:rsidR="00255D07" w:rsidRPr="00255D07" w:rsidRDefault="00255D07" w:rsidP="00255D07">
      <w:pPr>
        <w:pStyle w:val="ListParagraph"/>
        <w:numPr>
          <w:ilvl w:val="0"/>
          <w:numId w:val="2"/>
        </w:numPr>
        <w:rPr>
          <w:rFonts w:eastAsia="Times New Roman" w:cs="Arial"/>
          <w:color w:val="000000"/>
          <w:lang w:eastAsia="bg-BG"/>
        </w:rPr>
      </w:pPr>
      <w:r w:rsidRPr="00255D07">
        <w:rPr>
          <w:rFonts w:eastAsia="Times New Roman" w:cs="Arial"/>
          <w:color w:val="000000"/>
          <w:lang w:eastAsia="bg-BG"/>
        </w:rPr>
        <w:t>пеметрексед: НСПВС може да намалят бъбречния клирънс на пеметрексед и да предизвикат повишена бъбречна и стомашно-чревна токсичност и миелосупресия.</w:t>
      </w:r>
      <w:r w:rsidRPr="00255D07">
        <w:rPr>
          <w:rFonts w:eastAsia="Times New Roman" w:cs="Arial"/>
          <w:color w:val="000000"/>
          <w:lang w:eastAsia="bg-BG"/>
        </w:rPr>
        <w:tab/>
      </w:r>
    </w:p>
    <w:p w14:paraId="1D22A7D0" w14:textId="77777777" w:rsidR="00255D07" w:rsidRPr="00255D07" w:rsidRDefault="00255D07" w:rsidP="00255D07">
      <w:pPr>
        <w:rPr>
          <w:rFonts w:eastAsia="Times New Roman" w:cs="Arial"/>
          <w:color w:val="000000"/>
          <w:lang w:eastAsia="bg-BG"/>
        </w:rPr>
      </w:pPr>
    </w:p>
    <w:p w14:paraId="1E050A94"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Ксефо филмирани таблетки показват закъсняла абсорбция на лорноксикам когато са приети с храна. Поради това, Ксефо филмирани таблетки не трябва да се приемат с храна когато се изисква бързо начало на действието (облекчаване на болка).</w:t>
      </w:r>
    </w:p>
    <w:p w14:paraId="76A86486" w14:textId="77777777" w:rsidR="00255D07" w:rsidRPr="00255D07" w:rsidRDefault="00255D07" w:rsidP="00255D07">
      <w:pPr>
        <w:rPr>
          <w:rFonts w:eastAsia="Times New Roman" w:cs="Arial"/>
          <w:color w:val="000000"/>
          <w:lang w:eastAsia="bg-BG"/>
        </w:rPr>
      </w:pPr>
    </w:p>
    <w:p w14:paraId="12D6B9AC" w14:textId="619DE5AD" w:rsidR="00255D07" w:rsidRPr="00255D07" w:rsidRDefault="00255D07" w:rsidP="00255D07">
      <w:pPr>
        <w:rPr>
          <w:rFonts w:eastAsia="Times New Roman" w:cs="Arial"/>
          <w:color w:val="000000"/>
          <w:lang w:eastAsia="bg-BG"/>
        </w:rPr>
      </w:pPr>
      <w:r w:rsidRPr="00255D07">
        <w:rPr>
          <w:rFonts w:eastAsia="Times New Roman" w:cs="Arial"/>
          <w:color w:val="000000"/>
          <w:lang w:eastAsia="bg-BG"/>
        </w:rPr>
        <w:t>Храната може да намали резорбцията с около 20% и да повиши Т</w:t>
      </w:r>
      <w:r w:rsidRPr="00255D07">
        <w:rPr>
          <w:rFonts w:eastAsia="Times New Roman" w:cs="Arial"/>
          <w:color w:val="000000"/>
          <w:vertAlign w:val="subscript"/>
          <w:lang w:val="en-US"/>
        </w:rPr>
        <w:t>max</w:t>
      </w:r>
      <w:r w:rsidRPr="00255D07">
        <w:rPr>
          <w:rFonts w:eastAsia="Times New Roman" w:cs="Arial"/>
          <w:color w:val="000000"/>
          <w:lang w:eastAsia="bg-BG"/>
        </w:rPr>
        <w:t>(виж точка 5.2).</w:t>
      </w:r>
    </w:p>
    <w:p w14:paraId="782F8CAB" w14:textId="77777777" w:rsidR="00255D07" w:rsidRPr="00255D07" w:rsidRDefault="00255D07" w:rsidP="00255D07">
      <w:pPr>
        <w:rPr>
          <w:rFonts w:ascii="Times New Roman" w:eastAsia="Times New Roman" w:hAnsi="Times New Roman" w:cs="Times New Roman"/>
          <w:color w:val="000000"/>
          <w:sz w:val="20"/>
          <w:szCs w:val="20"/>
          <w:lang w:eastAsia="bg-BG"/>
        </w:rPr>
      </w:pPr>
    </w:p>
    <w:p w14:paraId="48846BBA" w14:textId="2507FDE7" w:rsidR="009F77A4" w:rsidRDefault="002C50EE" w:rsidP="00387A66">
      <w:pPr>
        <w:pStyle w:val="Heading2"/>
      </w:pPr>
      <w:r>
        <w:t>4.6. Фертилитет, бременност и кърмене</w:t>
      </w:r>
    </w:p>
    <w:p w14:paraId="2C999A74" w14:textId="77777777" w:rsidR="00255D07" w:rsidRDefault="00255D07" w:rsidP="00255D07"/>
    <w:p w14:paraId="1FF47C70" w14:textId="77777777" w:rsidR="00255D07" w:rsidRPr="00255D07" w:rsidRDefault="00255D07" w:rsidP="00255D07">
      <w:pPr>
        <w:pStyle w:val="Heading3"/>
        <w:rPr>
          <w:rFonts w:eastAsia="Times New Roman"/>
          <w:b/>
          <w:bCs/>
          <w:sz w:val="28"/>
          <w:szCs w:val="28"/>
          <w:lang w:eastAsia="bg-BG"/>
        </w:rPr>
      </w:pPr>
      <w:r w:rsidRPr="00255D07">
        <w:rPr>
          <w:rFonts w:eastAsia="Times New Roman"/>
          <w:b/>
          <w:bCs/>
          <w:lang w:eastAsia="bg-BG"/>
        </w:rPr>
        <w:t>Бременност</w:t>
      </w:r>
    </w:p>
    <w:p w14:paraId="51872E80" w14:textId="77777777" w:rsidR="00255D07" w:rsidRPr="00255D07" w:rsidRDefault="00255D07" w:rsidP="00255D07">
      <w:pPr>
        <w:rPr>
          <w:rFonts w:eastAsia="Times New Roman" w:cs="Arial"/>
          <w:sz w:val="28"/>
          <w:szCs w:val="28"/>
          <w:lang w:eastAsia="bg-BG"/>
        </w:rPr>
      </w:pPr>
      <w:r w:rsidRPr="00255D07">
        <w:rPr>
          <w:rFonts w:eastAsia="Times New Roman" w:cs="Arial"/>
          <w:color w:val="000000"/>
          <w:lang w:eastAsia="bg-BG"/>
        </w:rPr>
        <w:t>Лорноксикам е противопоказан през третия триместьр на бременността (виж точка 4.3) и не трябва да се използва по време на първия и втория триместър на бременността и по време на раждането, тъй</w:t>
      </w:r>
      <w:r w:rsidRPr="00255D07">
        <w:rPr>
          <w:rFonts w:eastAsia="Times New Roman" w:cs="Arial"/>
          <w:color w:val="000000"/>
          <w:lang w:val="en-US" w:eastAsia="bg-BG"/>
        </w:rPr>
        <w:t xml:space="preserve"> </w:t>
      </w:r>
      <w:r w:rsidRPr="00255D07">
        <w:rPr>
          <w:rFonts w:eastAsia="Times New Roman" w:cs="Arial"/>
          <w:color w:val="000000"/>
          <w:lang w:eastAsia="bg-BG"/>
        </w:rPr>
        <w:t>като няма клинични данни за експозиция по време на бременност.</w:t>
      </w:r>
    </w:p>
    <w:p w14:paraId="5C8280A2" w14:textId="77777777" w:rsidR="00255D07" w:rsidRPr="00255D07" w:rsidRDefault="00255D07" w:rsidP="00255D07">
      <w:pPr>
        <w:spacing w:line="240" w:lineRule="auto"/>
        <w:rPr>
          <w:rFonts w:eastAsia="Times New Roman" w:cs="Arial"/>
          <w:color w:val="000000"/>
          <w:lang w:eastAsia="bg-BG"/>
        </w:rPr>
      </w:pPr>
    </w:p>
    <w:p w14:paraId="4A0FD830" w14:textId="19F1637D"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Няма достатъчно данни за употребата на лорноксикам при бременни жени. Експерименталните проучвания при животни показват репродуктивна токсичност (виж точка 5.3).</w:t>
      </w:r>
    </w:p>
    <w:p w14:paraId="78FDCE11" w14:textId="77777777" w:rsidR="00255D07" w:rsidRPr="00255D07" w:rsidRDefault="00255D07" w:rsidP="00255D07">
      <w:pPr>
        <w:spacing w:line="240" w:lineRule="auto"/>
        <w:rPr>
          <w:rFonts w:eastAsia="Times New Roman" w:cs="Arial"/>
          <w:color w:val="000000"/>
          <w:lang w:eastAsia="bg-BG"/>
        </w:rPr>
      </w:pPr>
    </w:p>
    <w:p w14:paraId="5CE594A9" w14:textId="158DB8F8"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Инхибирането на простагландиновия синтез може да окаже неблагоприятно влияние върху бременността и/или ембрионалното/феталното развитие. Данните от епидемиологичните проучвания показват повишен риск от спонтанен аборт и сърдечни малформации след употребата на инхибитор на простагландиновия синтез в началото на бременността. Смята се, че рискът нараства с повишаването на дозата и продължителността на лечението. При животни е доказано, че прилагането на инхибитори на простагландиновия синтез води до увеличени пре-и постимплантационна загуба и ембрио-фетален леталитет. По време на първия и втория триместър на бременността Не трябва да бъдат давани инхибитори на простагландиновия синтез, освен ако не са абсолютно необходими.</w:t>
      </w:r>
    </w:p>
    <w:p w14:paraId="6E84EE75"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Инхибиторите на простагландиновия синтез, прилагани по време на третия триместър на бременността, могат да изложат фетуса на от кардиопулмонарна токсичност (преждевременно затваряне на </w:t>
      </w:r>
      <w:r w:rsidRPr="00255D07">
        <w:rPr>
          <w:rFonts w:eastAsia="Times New Roman" w:cs="Arial"/>
          <w:i/>
          <w:iCs/>
          <w:color w:val="000000"/>
          <w:lang w:val="en-US"/>
        </w:rPr>
        <w:t>ductus arteriosus</w:t>
      </w:r>
      <w:r w:rsidRPr="00255D07">
        <w:rPr>
          <w:rFonts w:eastAsia="Times New Roman" w:cs="Arial"/>
          <w:color w:val="000000"/>
          <w:lang w:val="en-US"/>
        </w:rPr>
        <w:t xml:space="preserve"> </w:t>
      </w:r>
      <w:r w:rsidRPr="00255D07">
        <w:rPr>
          <w:rFonts w:eastAsia="Times New Roman" w:cs="Arial"/>
          <w:color w:val="000000"/>
          <w:lang w:eastAsia="bg-BG"/>
        </w:rPr>
        <w:t>и белодробна хипертония) и бъбречна дисфункция, която може да доведе до бъбречна недостатъчност и оттук до намалено количество на амниотичната течност. В края на бременността инхибиторите на простагландиновия синтез могат да доведат до удължаване на времето на кървене при майката и фетуса, и до потискане на маточните контракции, което може да отложи или да удължи раждането. Поради това употребата на лорноксикам е противопоказана по време на третия триместър на бременността (виж точка 4.3).</w:t>
      </w:r>
    </w:p>
    <w:p w14:paraId="51F428D4" w14:textId="77777777" w:rsidR="00255D07" w:rsidRPr="00255D07" w:rsidRDefault="00255D07" w:rsidP="00255D07">
      <w:pPr>
        <w:spacing w:line="240" w:lineRule="auto"/>
        <w:rPr>
          <w:rFonts w:eastAsia="Times New Roman" w:cs="Arial"/>
          <w:b/>
          <w:bCs/>
          <w:color w:val="000000"/>
          <w:lang w:eastAsia="bg-BG"/>
        </w:rPr>
      </w:pPr>
    </w:p>
    <w:p w14:paraId="7CBD0140" w14:textId="3BD7696C" w:rsidR="00255D07" w:rsidRPr="00255D07" w:rsidRDefault="00255D07" w:rsidP="00255D07">
      <w:pPr>
        <w:pStyle w:val="Heading3"/>
        <w:rPr>
          <w:rFonts w:eastAsia="Times New Roman"/>
          <w:b/>
          <w:bCs/>
          <w:sz w:val="28"/>
          <w:szCs w:val="28"/>
          <w:lang w:eastAsia="bg-BG"/>
        </w:rPr>
      </w:pPr>
      <w:r w:rsidRPr="00255D07">
        <w:rPr>
          <w:rFonts w:eastAsia="Times New Roman"/>
          <w:b/>
          <w:bCs/>
          <w:lang w:eastAsia="bg-BG"/>
        </w:rPr>
        <w:t>Кърмене</w:t>
      </w:r>
    </w:p>
    <w:p w14:paraId="79E5F31A"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Няма данни за отделянето на лорноксикам в кърмата. Лорноксикам се отделя в млякото на кърмещите плъхове в относително високи концентрации. Лорноксикам не трябва да се използва при кърмещи жени.</w:t>
      </w:r>
      <w:r w:rsidRPr="00255D07">
        <w:rPr>
          <w:rFonts w:eastAsia="Times New Roman" w:cs="Arial"/>
          <w:color w:val="000000"/>
          <w:lang w:eastAsia="bg-BG"/>
        </w:rPr>
        <w:tab/>
      </w:r>
    </w:p>
    <w:p w14:paraId="0C7CCC73" w14:textId="77777777" w:rsidR="00255D07" w:rsidRPr="00255D07" w:rsidRDefault="00255D07" w:rsidP="00255D07">
      <w:pPr>
        <w:spacing w:line="240" w:lineRule="auto"/>
        <w:rPr>
          <w:rFonts w:eastAsia="Times New Roman" w:cs="Arial"/>
          <w:b/>
          <w:bCs/>
          <w:color w:val="000000"/>
          <w:lang w:eastAsia="bg-BG"/>
        </w:rPr>
      </w:pPr>
      <w:bookmarkStart w:id="2" w:name="bookmark2"/>
    </w:p>
    <w:p w14:paraId="05AC1A38" w14:textId="1ECF29A1" w:rsidR="00255D07" w:rsidRPr="00255D07" w:rsidRDefault="00255D07" w:rsidP="00255D07">
      <w:pPr>
        <w:pStyle w:val="Heading3"/>
        <w:rPr>
          <w:rFonts w:eastAsia="Times New Roman"/>
          <w:b/>
          <w:bCs/>
          <w:sz w:val="28"/>
          <w:szCs w:val="28"/>
          <w:lang w:eastAsia="bg-BG"/>
        </w:rPr>
      </w:pPr>
      <w:r w:rsidRPr="00255D07">
        <w:rPr>
          <w:rFonts w:eastAsia="Times New Roman"/>
          <w:b/>
          <w:bCs/>
          <w:lang w:eastAsia="bg-BG"/>
        </w:rPr>
        <w:t>Фертнлитет</w:t>
      </w:r>
      <w:bookmarkEnd w:id="2"/>
    </w:p>
    <w:p w14:paraId="36768DDE"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Употребата на лорноксикам, както и всяко друго лекарство, инхибиращо циклооксигеназата/простагландиновата секреция, може да повлияе фертилитета и не се препоръчва при жени, опитващи се да забременеят. При жени, имащи затруднени със зачеването, или провеждащи изследвания за инфертилитет, трябва да се обсъди прекратяване на лечението с лорноксикам.</w:t>
      </w:r>
    </w:p>
    <w:p w14:paraId="63F6B0D5" w14:textId="77777777" w:rsidR="00255D07" w:rsidRPr="00255D07" w:rsidRDefault="00255D07" w:rsidP="00255D07"/>
    <w:p w14:paraId="321AAB00" w14:textId="3EA4494E" w:rsidR="009F77A4" w:rsidRDefault="002C50EE" w:rsidP="00387A66">
      <w:pPr>
        <w:pStyle w:val="Heading2"/>
      </w:pPr>
      <w:r>
        <w:t>4.7. Ефекти върху способността за шофиране и работа с машини</w:t>
      </w:r>
    </w:p>
    <w:p w14:paraId="0B1CAD62" w14:textId="77777777" w:rsidR="00255D07" w:rsidRDefault="00255D07" w:rsidP="00255D07"/>
    <w:p w14:paraId="6DCBC29A" w14:textId="77777777" w:rsidR="00255D07" w:rsidRPr="00255D07" w:rsidRDefault="00255D07" w:rsidP="00255D07">
      <w:pPr>
        <w:rPr>
          <w:sz w:val="24"/>
          <w:szCs w:val="24"/>
          <w:lang w:eastAsia="bg-BG"/>
        </w:rPr>
      </w:pPr>
      <w:r w:rsidRPr="00255D07">
        <w:rPr>
          <w:lang w:eastAsia="bg-BG"/>
        </w:rPr>
        <w:t>Не се очаква лорноксикам да повлиява способността за шофиране и работа с машини. Пациентите, които получават замайване и/или сънливост при лечение с лорноксикам, трябва да се въздържат от шофиране или работа с машини.</w:t>
      </w:r>
    </w:p>
    <w:p w14:paraId="7E4D6D49" w14:textId="77777777" w:rsidR="00255D07" w:rsidRPr="00255D07" w:rsidRDefault="00255D07" w:rsidP="00255D07"/>
    <w:p w14:paraId="136C86B8" w14:textId="3F9D0CA1" w:rsidR="009F77A4" w:rsidRDefault="002C50EE" w:rsidP="00387A66">
      <w:pPr>
        <w:pStyle w:val="Heading2"/>
      </w:pPr>
      <w:r>
        <w:t>4.8. Нежелани лекарствени реакции</w:t>
      </w:r>
    </w:p>
    <w:p w14:paraId="2356CE97" w14:textId="77777777" w:rsidR="00255D07" w:rsidRDefault="00255D07" w:rsidP="00255D07"/>
    <w:p w14:paraId="1323EEEC" w14:textId="21869BE0"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Най-често наблюдаваните нежелани реакции на НСПВС са стомашно-чревни по характер. Могат да се появят пептични язви, перфорация или стомашно-чревно кървене, понякога фатално, особено при пациенти в старческа възраст (виж точка 4.4). След приложението на НСПВС има съобщения за гадене, повръщане, диария, метеоризъм, запек, диспепсия, абдоминална болка, медена, хематемеза, улцерозен стоматит, обостряне на колит и болест на </w:t>
      </w:r>
      <w:r w:rsidRPr="00255D07">
        <w:rPr>
          <w:rFonts w:eastAsia="Times New Roman" w:cs="Arial"/>
          <w:color w:val="000000"/>
          <w:lang w:val="en-US"/>
        </w:rPr>
        <w:t xml:space="preserve">Crohn </w:t>
      </w:r>
      <w:r w:rsidRPr="00255D07">
        <w:rPr>
          <w:rFonts w:eastAsia="Times New Roman" w:cs="Arial"/>
          <w:color w:val="000000"/>
          <w:lang w:eastAsia="bg-BG"/>
        </w:rPr>
        <w:t>(виж точка 4.4). По-рядко е наблюдаван гастрит.</w:t>
      </w:r>
    </w:p>
    <w:p w14:paraId="73EA7631" w14:textId="77777777" w:rsidR="00255D07" w:rsidRPr="00255D07" w:rsidRDefault="00255D07" w:rsidP="00255D07">
      <w:pPr>
        <w:rPr>
          <w:rFonts w:eastAsia="Times New Roman" w:cs="Arial"/>
          <w:color w:val="000000"/>
          <w:lang w:eastAsia="bg-BG"/>
        </w:rPr>
      </w:pPr>
    </w:p>
    <w:p w14:paraId="76F8E58A" w14:textId="169BD942" w:rsidR="00255D07" w:rsidRPr="00255D07" w:rsidRDefault="00255D07" w:rsidP="00255D07">
      <w:pPr>
        <w:rPr>
          <w:rFonts w:cs="Arial"/>
        </w:rPr>
      </w:pPr>
      <w:r w:rsidRPr="00255D07">
        <w:rPr>
          <w:rFonts w:eastAsia="Times New Roman" w:cs="Arial"/>
          <w:color w:val="000000"/>
          <w:lang w:eastAsia="bg-BG"/>
        </w:rPr>
        <w:t>Може да се очаква, че приблизително 20% от пациентите, лекувани с лорноксикам, ще получат</w:t>
      </w:r>
      <w:r w:rsidRPr="00255D07">
        <w:rPr>
          <w:rFonts w:eastAsia="Times New Roman" w:cs="Arial"/>
          <w:color w:val="000000"/>
          <w:lang w:val="en-US" w:eastAsia="bg-BG"/>
        </w:rPr>
        <w:t xml:space="preserve"> </w:t>
      </w:r>
      <w:r w:rsidRPr="00255D07">
        <w:rPr>
          <w:rFonts w:cs="Arial"/>
        </w:rPr>
        <w:t>нежелани реакции. Най-честите нежелани ефекти на лорноксикам включват гадене, диспепсия, нарушено храносмилане, коремна болка, повръщане и диария. Според наличните проучвания тези симптоми са се появили общо при по-малко от 10% от пациентите.</w:t>
      </w:r>
    </w:p>
    <w:p w14:paraId="60AAE18D" w14:textId="77777777" w:rsidR="00255D07" w:rsidRPr="00255D07" w:rsidRDefault="00255D07" w:rsidP="00255D07">
      <w:pPr>
        <w:rPr>
          <w:rFonts w:cs="Arial"/>
        </w:rPr>
      </w:pPr>
    </w:p>
    <w:p w14:paraId="31F1F8C3"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Има съобщения за възникване на отоци, хипертония и сърдечна недостатъчност във връзка с лечение с НСПВС.</w:t>
      </w:r>
    </w:p>
    <w:p w14:paraId="2AE12642" w14:textId="77777777" w:rsidR="00255D07" w:rsidRPr="00255D07" w:rsidRDefault="00255D07" w:rsidP="00255D07">
      <w:pPr>
        <w:spacing w:line="240" w:lineRule="auto"/>
        <w:rPr>
          <w:rFonts w:eastAsia="Times New Roman" w:cs="Arial"/>
          <w:sz w:val="28"/>
          <w:szCs w:val="28"/>
          <w:lang w:eastAsia="bg-BG"/>
        </w:rPr>
      </w:pPr>
    </w:p>
    <w:p w14:paraId="1A858E84"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Данни от клинични изпитвания и епидемиологични проучвания предполагат, че използването на някои НСПВС (особено във високи дози и при продължително лечение) може да е свързано с повишен риск от артериални тромботични инциденти (напр. инфаркт на миокарда или инсулт)(виж точка 4.4). По изключение, настъпване на сериозни инфекциозни усложенения на кожата и меките тъкани по време на варицела.</w:t>
      </w:r>
    </w:p>
    <w:p w14:paraId="10B91DF2"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По-надолу в таблица 1 са изброени нежеланите реакции, които са се появили общо при повече от 0,05% от 6 417 пациенти, лекувани в клинична фаза </w:t>
      </w:r>
      <w:r w:rsidRPr="00255D07">
        <w:rPr>
          <w:rFonts w:eastAsia="Times New Roman" w:cs="Arial"/>
          <w:color w:val="000000"/>
          <w:lang w:val="en-US"/>
        </w:rPr>
        <w:t>II</w:t>
      </w:r>
      <w:r w:rsidRPr="00255D07">
        <w:rPr>
          <w:rFonts w:eastAsia="Times New Roman" w:cs="Arial"/>
          <w:color w:val="000000"/>
          <w:lang w:eastAsia="bg-BG"/>
        </w:rPr>
        <w:t>, III и IV на клиничните изпитвания.</w:t>
      </w:r>
    </w:p>
    <w:p w14:paraId="28BE8509"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При оценка на честотата на нежеланите реакции е използвана класификация: Много чести (&gt;1/10); чести (&gt;1/100 до &lt;1/10); нечести(&gt;1/1 000 до &lt; 1/100); редки (&gt;1/10 000 до </w:t>
      </w:r>
      <w:r w:rsidRPr="00255D07">
        <w:rPr>
          <w:rFonts w:eastAsia="Times New Roman" w:cs="Arial"/>
          <w:color w:val="000000"/>
          <w:lang w:eastAsia="bg-BG"/>
        </w:rPr>
        <w:lastRenderedPageBreak/>
        <w:t>&lt;1/1 000); много редки (&lt;1/10 000); с неизвестна честота (не може да се определи от наличните данни).</w:t>
      </w:r>
    </w:p>
    <w:p w14:paraId="51889B35" w14:textId="77777777" w:rsidR="00255D07" w:rsidRPr="00255D07" w:rsidRDefault="00255D07" w:rsidP="00255D07">
      <w:pPr>
        <w:rPr>
          <w:rFonts w:eastAsia="Times New Roman" w:cs="Arial"/>
          <w:color w:val="000000"/>
          <w:u w:val="single"/>
          <w:lang w:eastAsia="bg-BG"/>
        </w:rPr>
      </w:pPr>
    </w:p>
    <w:p w14:paraId="19431DBE" w14:textId="0105AB48" w:rsidR="00255D07" w:rsidRDefault="00255D07" w:rsidP="00255D07">
      <w:pPr>
        <w:rPr>
          <w:rFonts w:eastAsia="Times New Roman" w:cs="Arial"/>
          <w:color w:val="000000"/>
          <w:u w:val="single"/>
          <w:lang w:eastAsia="bg-BG"/>
        </w:rPr>
      </w:pPr>
      <w:r w:rsidRPr="00255D07">
        <w:rPr>
          <w:rFonts w:eastAsia="Times New Roman" w:cs="Arial"/>
          <w:color w:val="000000"/>
          <w:u w:val="single"/>
          <w:lang w:eastAsia="bg-BG"/>
        </w:rPr>
        <w:t>Таблица 1. Нежелани реакции</w:t>
      </w:r>
    </w:p>
    <w:tbl>
      <w:tblPr>
        <w:tblStyle w:val="TableGrid"/>
        <w:tblW w:w="0" w:type="auto"/>
        <w:tblLook w:val="04A0" w:firstRow="1" w:lastRow="0" w:firstColumn="1" w:lastColumn="0" w:noHBand="0" w:noVBand="1"/>
      </w:tblPr>
      <w:tblGrid>
        <w:gridCol w:w="3118"/>
        <w:gridCol w:w="3089"/>
        <w:gridCol w:w="3143"/>
      </w:tblGrid>
      <w:tr w:rsidR="00255D07" w14:paraId="776FC942" w14:textId="77777777" w:rsidTr="00951FE1">
        <w:tc>
          <w:tcPr>
            <w:tcW w:w="3166" w:type="dxa"/>
            <w:vAlign w:val="bottom"/>
          </w:tcPr>
          <w:p w14:paraId="587EDBCD" w14:textId="293F8002" w:rsidR="00255D07" w:rsidRPr="00255D07" w:rsidRDefault="00255D07" w:rsidP="00255D07">
            <w:pPr>
              <w:rPr>
                <w:rFonts w:cs="Arial"/>
              </w:rPr>
            </w:pPr>
            <w:r w:rsidRPr="00255D07">
              <w:rPr>
                <w:b/>
                <w:bCs/>
              </w:rPr>
              <w:t>Системно- органен</w:t>
            </w:r>
            <w:r w:rsidRPr="00255D07">
              <w:rPr>
                <w:b/>
                <w:bCs/>
                <w:lang w:val="en-US"/>
              </w:rPr>
              <w:t xml:space="preserve"> </w:t>
            </w:r>
            <w:r w:rsidRPr="00255D07">
              <w:rPr>
                <w:b/>
                <w:bCs/>
              </w:rPr>
              <w:t>клас</w:t>
            </w:r>
          </w:p>
        </w:tc>
        <w:tc>
          <w:tcPr>
            <w:tcW w:w="3167" w:type="dxa"/>
          </w:tcPr>
          <w:p w14:paraId="15C33997" w14:textId="041E9137" w:rsidR="00255D07" w:rsidRPr="00255D07" w:rsidRDefault="00255D07" w:rsidP="00255D07">
            <w:pPr>
              <w:rPr>
                <w:rFonts w:cs="Arial"/>
              </w:rPr>
            </w:pPr>
            <w:r w:rsidRPr="00255D07">
              <w:rPr>
                <w:b/>
                <w:bCs/>
              </w:rPr>
              <w:t>Честота</w:t>
            </w:r>
          </w:p>
        </w:tc>
        <w:tc>
          <w:tcPr>
            <w:tcW w:w="3167" w:type="dxa"/>
          </w:tcPr>
          <w:p w14:paraId="7D8521D4" w14:textId="23B59F35" w:rsidR="00255D07" w:rsidRPr="00255D07" w:rsidRDefault="00255D07" w:rsidP="00255D07">
            <w:pPr>
              <w:rPr>
                <w:rFonts w:cs="Arial"/>
              </w:rPr>
            </w:pPr>
            <w:r w:rsidRPr="00255D07">
              <w:rPr>
                <w:b/>
                <w:bCs/>
              </w:rPr>
              <w:t>Нежелана(и) реакция(н)</w:t>
            </w:r>
          </w:p>
        </w:tc>
      </w:tr>
      <w:tr w:rsidR="00255D07" w14:paraId="1D583533" w14:textId="77777777" w:rsidTr="00951FE1">
        <w:tc>
          <w:tcPr>
            <w:tcW w:w="3166" w:type="dxa"/>
            <w:vAlign w:val="bottom"/>
          </w:tcPr>
          <w:p w14:paraId="1688E3F0" w14:textId="09A97EE3" w:rsidR="00255D07" w:rsidRPr="00255D07" w:rsidRDefault="00255D07" w:rsidP="00255D07">
            <w:pPr>
              <w:rPr>
                <w:rFonts w:cs="Arial"/>
              </w:rPr>
            </w:pPr>
            <w:r w:rsidRPr="00255D07">
              <w:t>Инфекции и инфестации</w:t>
            </w:r>
          </w:p>
        </w:tc>
        <w:tc>
          <w:tcPr>
            <w:tcW w:w="3167" w:type="dxa"/>
          </w:tcPr>
          <w:p w14:paraId="1C9D2483" w14:textId="46757AA5" w:rsidR="00255D07" w:rsidRPr="00255D07" w:rsidRDefault="00255D07" w:rsidP="00255D07">
            <w:pPr>
              <w:rPr>
                <w:rFonts w:cs="Arial"/>
              </w:rPr>
            </w:pPr>
            <w:r w:rsidRPr="00255D07">
              <w:t>Редки</w:t>
            </w:r>
          </w:p>
        </w:tc>
        <w:tc>
          <w:tcPr>
            <w:tcW w:w="3167" w:type="dxa"/>
          </w:tcPr>
          <w:p w14:paraId="538E8384" w14:textId="23EEDDEA" w:rsidR="00255D07" w:rsidRPr="00255D07" w:rsidRDefault="00255D07" w:rsidP="00255D07">
            <w:pPr>
              <w:rPr>
                <w:rFonts w:cs="Arial"/>
              </w:rPr>
            </w:pPr>
            <w:r w:rsidRPr="00255D07">
              <w:t>Фарингит</w:t>
            </w:r>
          </w:p>
        </w:tc>
      </w:tr>
      <w:tr w:rsidR="00255D07" w14:paraId="5CEBF7B7" w14:textId="77777777" w:rsidTr="00951FE1">
        <w:tc>
          <w:tcPr>
            <w:tcW w:w="3166" w:type="dxa"/>
            <w:vMerge w:val="restart"/>
          </w:tcPr>
          <w:p w14:paraId="5BFD9BA0" w14:textId="1DC428E9" w:rsidR="00255D07" w:rsidRPr="00255D07" w:rsidRDefault="00255D07" w:rsidP="00255D07">
            <w:pPr>
              <w:rPr>
                <w:rFonts w:cs="Arial"/>
              </w:rPr>
            </w:pPr>
            <w:r w:rsidRPr="00255D07">
              <w:t>Нарушения на кръвта и лимфната система</w:t>
            </w:r>
          </w:p>
        </w:tc>
        <w:tc>
          <w:tcPr>
            <w:tcW w:w="3167" w:type="dxa"/>
            <w:vAlign w:val="bottom"/>
          </w:tcPr>
          <w:p w14:paraId="2B482883" w14:textId="09623064" w:rsidR="00255D07" w:rsidRPr="00255D07" w:rsidRDefault="00255D07" w:rsidP="00255D07">
            <w:pPr>
              <w:rPr>
                <w:rFonts w:cs="Arial"/>
              </w:rPr>
            </w:pPr>
            <w:r w:rsidRPr="00255D07">
              <w:t>Редки</w:t>
            </w:r>
          </w:p>
        </w:tc>
        <w:tc>
          <w:tcPr>
            <w:tcW w:w="3167" w:type="dxa"/>
            <w:vAlign w:val="bottom"/>
          </w:tcPr>
          <w:p w14:paraId="0A46E5D6" w14:textId="16E71338" w:rsidR="00255D07" w:rsidRPr="00255D07" w:rsidRDefault="00255D07" w:rsidP="00255D07">
            <w:pPr>
              <w:rPr>
                <w:rFonts w:cs="Arial"/>
              </w:rPr>
            </w:pPr>
            <w:r w:rsidRPr="00255D07">
              <w:t>Анемия, тромбоцитопения, левкопения, удължено време на кървене</w:t>
            </w:r>
          </w:p>
        </w:tc>
      </w:tr>
      <w:tr w:rsidR="00255D07" w14:paraId="1499ADCD" w14:textId="77777777" w:rsidTr="00951FE1">
        <w:tc>
          <w:tcPr>
            <w:tcW w:w="3166" w:type="dxa"/>
            <w:vMerge/>
          </w:tcPr>
          <w:p w14:paraId="638B116D" w14:textId="77777777" w:rsidR="00255D07" w:rsidRPr="00255D07" w:rsidRDefault="00255D07" w:rsidP="00255D07">
            <w:pPr>
              <w:rPr>
                <w:rFonts w:cs="Arial"/>
              </w:rPr>
            </w:pPr>
          </w:p>
        </w:tc>
        <w:tc>
          <w:tcPr>
            <w:tcW w:w="3167" w:type="dxa"/>
          </w:tcPr>
          <w:p w14:paraId="69287CA7" w14:textId="39D9093C" w:rsidR="00255D07" w:rsidRPr="00255D07" w:rsidRDefault="00255D07" w:rsidP="00255D07">
            <w:pPr>
              <w:rPr>
                <w:rFonts w:cs="Arial"/>
              </w:rPr>
            </w:pPr>
            <w:r w:rsidRPr="00255D07">
              <w:t>Много редки</w:t>
            </w:r>
          </w:p>
        </w:tc>
        <w:tc>
          <w:tcPr>
            <w:tcW w:w="3167" w:type="dxa"/>
            <w:vAlign w:val="bottom"/>
          </w:tcPr>
          <w:p w14:paraId="51430EC0" w14:textId="56441DFC" w:rsidR="00255D07" w:rsidRPr="00255D07" w:rsidRDefault="00255D07" w:rsidP="00255D07">
            <w:pPr>
              <w:rPr>
                <w:rFonts w:cs="Arial"/>
              </w:rPr>
            </w:pPr>
            <w:r w:rsidRPr="00255D07">
              <w:t>Екхимоза. Докладвано е, че НСПВС предизвикват класифицирани като потенциално тежки хематологични разстройства, като неугропения, агранулоцитоза, апластична анемия и хемолитична анемия.</w:t>
            </w:r>
          </w:p>
        </w:tc>
      </w:tr>
      <w:tr w:rsidR="00255D07" w14:paraId="3EE9D19A" w14:textId="77777777" w:rsidTr="00951FE1">
        <w:tc>
          <w:tcPr>
            <w:tcW w:w="3166" w:type="dxa"/>
            <w:vAlign w:val="bottom"/>
          </w:tcPr>
          <w:p w14:paraId="66AD40FA" w14:textId="0E3F2890" w:rsidR="00255D07" w:rsidRPr="00255D07" w:rsidRDefault="00255D07" w:rsidP="00255D07">
            <w:pPr>
              <w:rPr>
                <w:rFonts w:cs="Arial"/>
              </w:rPr>
            </w:pPr>
            <w:r w:rsidRPr="00255D07">
              <w:t>Нарушения на имунната система</w:t>
            </w:r>
          </w:p>
        </w:tc>
        <w:tc>
          <w:tcPr>
            <w:tcW w:w="3167" w:type="dxa"/>
          </w:tcPr>
          <w:p w14:paraId="1FA296CE" w14:textId="2803D1E3" w:rsidR="00255D07" w:rsidRPr="00255D07" w:rsidRDefault="00255D07" w:rsidP="00255D07">
            <w:pPr>
              <w:rPr>
                <w:rFonts w:cs="Arial"/>
              </w:rPr>
            </w:pPr>
            <w:r w:rsidRPr="00255D07">
              <w:t>Редки</w:t>
            </w:r>
          </w:p>
        </w:tc>
        <w:tc>
          <w:tcPr>
            <w:tcW w:w="3167" w:type="dxa"/>
            <w:vAlign w:val="bottom"/>
          </w:tcPr>
          <w:p w14:paraId="3B802A76" w14:textId="3597C66F" w:rsidR="00255D07" w:rsidRPr="00255D07" w:rsidRDefault="00255D07" w:rsidP="00255D07">
            <w:pPr>
              <w:rPr>
                <w:rFonts w:cs="Arial"/>
              </w:rPr>
            </w:pPr>
            <w:r w:rsidRPr="00255D07">
              <w:t>Свръхчувствителност, включително анафилактоидна реакция и анафилаксия</w:t>
            </w:r>
          </w:p>
        </w:tc>
      </w:tr>
      <w:tr w:rsidR="00255D07" w14:paraId="18AF056B" w14:textId="77777777" w:rsidTr="00951FE1">
        <w:tc>
          <w:tcPr>
            <w:tcW w:w="3166" w:type="dxa"/>
            <w:vAlign w:val="bottom"/>
          </w:tcPr>
          <w:p w14:paraId="2B1AC788" w14:textId="1AA4696B" w:rsidR="00255D07" w:rsidRPr="00255D07" w:rsidRDefault="00255D07" w:rsidP="00255D07">
            <w:pPr>
              <w:rPr>
                <w:rFonts w:cs="Arial"/>
              </w:rPr>
            </w:pPr>
            <w:r w:rsidRPr="00255D07">
              <w:t>Нарушения на метаболизма и храненето</w:t>
            </w:r>
          </w:p>
        </w:tc>
        <w:tc>
          <w:tcPr>
            <w:tcW w:w="3167" w:type="dxa"/>
          </w:tcPr>
          <w:p w14:paraId="3D6563EE" w14:textId="306CE039" w:rsidR="00255D07" w:rsidRPr="00255D07" w:rsidRDefault="00255D07" w:rsidP="00255D07">
            <w:pPr>
              <w:rPr>
                <w:rFonts w:cs="Arial"/>
              </w:rPr>
            </w:pPr>
            <w:r w:rsidRPr="00255D07">
              <w:t>Нечести</w:t>
            </w:r>
          </w:p>
        </w:tc>
        <w:tc>
          <w:tcPr>
            <w:tcW w:w="3167" w:type="dxa"/>
          </w:tcPr>
          <w:p w14:paraId="75B76BC9" w14:textId="5BE2C6F1" w:rsidR="00255D07" w:rsidRPr="00255D07" w:rsidRDefault="00255D07" w:rsidP="00255D07">
            <w:pPr>
              <w:rPr>
                <w:rFonts w:cs="Arial"/>
              </w:rPr>
            </w:pPr>
            <w:r w:rsidRPr="00255D07">
              <w:t>Анорексия, промени в теглото</w:t>
            </w:r>
          </w:p>
        </w:tc>
      </w:tr>
      <w:tr w:rsidR="00255D07" w14:paraId="6AB7DDDB" w14:textId="77777777" w:rsidTr="00FC1B97">
        <w:tc>
          <w:tcPr>
            <w:tcW w:w="3166" w:type="dxa"/>
            <w:vMerge w:val="restart"/>
          </w:tcPr>
          <w:p w14:paraId="0D6F960B" w14:textId="38061F13" w:rsidR="00255D07" w:rsidRPr="00255D07" w:rsidRDefault="00255D07" w:rsidP="00255D07">
            <w:pPr>
              <w:rPr>
                <w:rFonts w:cs="Arial"/>
              </w:rPr>
            </w:pPr>
            <w:r w:rsidRPr="00255D07">
              <w:t>Психични нарушения</w:t>
            </w:r>
          </w:p>
        </w:tc>
        <w:tc>
          <w:tcPr>
            <w:tcW w:w="3167" w:type="dxa"/>
          </w:tcPr>
          <w:p w14:paraId="0CDBD201" w14:textId="5DE2E854" w:rsidR="00255D07" w:rsidRPr="00255D07" w:rsidRDefault="00255D07" w:rsidP="00255D07">
            <w:pPr>
              <w:rPr>
                <w:rFonts w:cs="Arial"/>
              </w:rPr>
            </w:pPr>
            <w:r w:rsidRPr="00255D07">
              <w:t>Нечесги</w:t>
            </w:r>
          </w:p>
        </w:tc>
        <w:tc>
          <w:tcPr>
            <w:tcW w:w="3167" w:type="dxa"/>
            <w:vAlign w:val="bottom"/>
          </w:tcPr>
          <w:p w14:paraId="64F7C2D8" w14:textId="77777777" w:rsidR="00255D07" w:rsidRPr="00255D07" w:rsidRDefault="00255D07" w:rsidP="00255D07">
            <w:r w:rsidRPr="00255D07">
              <w:t>Безсъние, депресия</w:t>
            </w:r>
          </w:p>
          <w:p w14:paraId="68143811" w14:textId="77777777" w:rsidR="00255D07" w:rsidRPr="00255D07" w:rsidRDefault="00255D07" w:rsidP="00255D07">
            <w:pPr>
              <w:rPr>
                <w:rFonts w:cs="Arial"/>
              </w:rPr>
            </w:pPr>
          </w:p>
        </w:tc>
      </w:tr>
      <w:tr w:rsidR="00255D07" w14:paraId="514F97C9" w14:textId="77777777" w:rsidTr="00255D07">
        <w:tc>
          <w:tcPr>
            <w:tcW w:w="3166" w:type="dxa"/>
            <w:vMerge/>
          </w:tcPr>
          <w:p w14:paraId="2AC71A2A" w14:textId="77777777" w:rsidR="00255D07" w:rsidRPr="00255D07" w:rsidRDefault="00255D07" w:rsidP="00255D07">
            <w:pPr>
              <w:rPr>
                <w:rFonts w:cs="Arial"/>
              </w:rPr>
            </w:pPr>
          </w:p>
        </w:tc>
        <w:tc>
          <w:tcPr>
            <w:tcW w:w="3167" w:type="dxa"/>
          </w:tcPr>
          <w:p w14:paraId="33437D8C" w14:textId="0FFABAA1" w:rsidR="00255D07" w:rsidRPr="00255D07" w:rsidRDefault="00255D07" w:rsidP="00255D07">
            <w:pPr>
              <w:rPr>
                <w:rFonts w:cs="Arial"/>
              </w:rPr>
            </w:pPr>
            <w:r w:rsidRPr="00255D07">
              <w:t>Редки</w:t>
            </w:r>
          </w:p>
        </w:tc>
        <w:tc>
          <w:tcPr>
            <w:tcW w:w="3167" w:type="dxa"/>
          </w:tcPr>
          <w:p w14:paraId="20D66405" w14:textId="77777777" w:rsidR="00255D07" w:rsidRPr="00255D07" w:rsidRDefault="00255D07" w:rsidP="00255D07">
            <w:r w:rsidRPr="00255D07">
              <w:t>Объркване, нервност, ажитация</w:t>
            </w:r>
          </w:p>
          <w:p w14:paraId="3F3437DB" w14:textId="77777777" w:rsidR="00255D07" w:rsidRPr="00255D07" w:rsidRDefault="00255D07" w:rsidP="00255D07">
            <w:pPr>
              <w:rPr>
                <w:rFonts w:cs="Arial"/>
              </w:rPr>
            </w:pPr>
          </w:p>
        </w:tc>
      </w:tr>
      <w:tr w:rsidR="00255D07" w14:paraId="118FE4C3" w14:textId="77777777" w:rsidTr="00255D07">
        <w:tc>
          <w:tcPr>
            <w:tcW w:w="3166" w:type="dxa"/>
            <w:vMerge w:val="restart"/>
          </w:tcPr>
          <w:p w14:paraId="757EE1F1" w14:textId="5BC7C9C3" w:rsidR="00255D07" w:rsidRPr="00255D07" w:rsidRDefault="00255D07" w:rsidP="00255D07">
            <w:pPr>
              <w:rPr>
                <w:rFonts w:cs="Arial"/>
              </w:rPr>
            </w:pPr>
            <w:r w:rsidRPr="00255D07">
              <w:t>Нарушения на нервната система</w:t>
            </w:r>
          </w:p>
        </w:tc>
        <w:tc>
          <w:tcPr>
            <w:tcW w:w="3167" w:type="dxa"/>
          </w:tcPr>
          <w:p w14:paraId="1FAED848" w14:textId="1A9435A7" w:rsidR="00255D07" w:rsidRPr="00255D07" w:rsidRDefault="00255D07" w:rsidP="00255D07">
            <w:pPr>
              <w:rPr>
                <w:rFonts w:cs="Arial"/>
              </w:rPr>
            </w:pPr>
            <w:r w:rsidRPr="00255D07">
              <w:t>Чести</w:t>
            </w:r>
          </w:p>
        </w:tc>
        <w:tc>
          <w:tcPr>
            <w:tcW w:w="3167" w:type="dxa"/>
          </w:tcPr>
          <w:p w14:paraId="11AC1435" w14:textId="42DB0C27" w:rsidR="00255D07" w:rsidRPr="00255D07" w:rsidRDefault="00255D07" w:rsidP="00255D07">
            <w:pPr>
              <w:rPr>
                <w:rFonts w:cs="Arial"/>
              </w:rPr>
            </w:pPr>
            <w:r w:rsidRPr="00255D07">
              <w:t>Леко и преходно главоболие, замайване</w:t>
            </w:r>
          </w:p>
        </w:tc>
      </w:tr>
      <w:tr w:rsidR="00255D07" w14:paraId="7B07F5CE" w14:textId="77777777" w:rsidTr="00255D07">
        <w:tc>
          <w:tcPr>
            <w:tcW w:w="3166" w:type="dxa"/>
            <w:vMerge/>
          </w:tcPr>
          <w:p w14:paraId="5847C675" w14:textId="77777777" w:rsidR="00255D07" w:rsidRPr="00255D07" w:rsidRDefault="00255D07" w:rsidP="00255D07">
            <w:pPr>
              <w:rPr>
                <w:rFonts w:cs="Arial"/>
              </w:rPr>
            </w:pPr>
          </w:p>
        </w:tc>
        <w:tc>
          <w:tcPr>
            <w:tcW w:w="3167" w:type="dxa"/>
          </w:tcPr>
          <w:p w14:paraId="54956A7E" w14:textId="686E0EC1" w:rsidR="00255D07" w:rsidRPr="00255D07" w:rsidRDefault="00255D07" w:rsidP="00255D07">
            <w:pPr>
              <w:rPr>
                <w:rFonts w:cs="Arial"/>
              </w:rPr>
            </w:pPr>
            <w:r w:rsidRPr="00255D07">
              <w:t>Редки</w:t>
            </w:r>
          </w:p>
        </w:tc>
        <w:tc>
          <w:tcPr>
            <w:tcW w:w="3167" w:type="dxa"/>
          </w:tcPr>
          <w:p w14:paraId="03234483" w14:textId="6138F31A" w:rsidR="00255D07" w:rsidRPr="00255D07" w:rsidRDefault="00255D07" w:rsidP="00255D07">
            <w:pPr>
              <w:rPr>
                <w:rFonts w:cs="Arial"/>
              </w:rPr>
            </w:pPr>
            <w:r w:rsidRPr="00255D07">
              <w:t>Сънливост, парестезия, дисгеузия, тремор, мигрена</w:t>
            </w:r>
          </w:p>
        </w:tc>
      </w:tr>
      <w:tr w:rsidR="00255D07" w14:paraId="2725330D" w14:textId="77777777" w:rsidTr="00255D07">
        <w:tc>
          <w:tcPr>
            <w:tcW w:w="3166" w:type="dxa"/>
            <w:vMerge/>
          </w:tcPr>
          <w:p w14:paraId="7B6DE415" w14:textId="77777777" w:rsidR="00255D07" w:rsidRPr="00255D07" w:rsidRDefault="00255D07" w:rsidP="00255D07">
            <w:pPr>
              <w:rPr>
                <w:rFonts w:cs="Arial"/>
              </w:rPr>
            </w:pPr>
          </w:p>
        </w:tc>
        <w:tc>
          <w:tcPr>
            <w:tcW w:w="3167" w:type="dxa"/>
          </w:tcPr>
          <w:p w14:paraId="41D40153" w14:textId="60D32959" w:rsidR="00255D07" w:rsidRPr="00255D07" w:rsidRDefault="00255D07" w:rsidP="00255D07">
            <w:pPr>
              <w:rPr>
                <w:rFonts w:cs="Arial"/>
              </w:rPr>
            </w:pPr>
            <w:r w:rsidRPr="00255D07">
              <w:t>Много редки</w:t>
            </w:r>
          </w:p>
        </w:tc>
        <w:tc>
          <w:tcPr>
            <w:tcW w:w="3167" w:type="dxa"/>
          </w:tcPr>
          <w:p w14:paraId="7D43A531" w14:textId="1FE633AB" w:rsidR="00255D07" w:rsidRPr="00255D07" w:rsidRDefault="00255D07" w:rsidP="00255D07">
            <w:pPr>
              <w:rPr>
                <w:rFonts w:cs="Arial"/>
              </w:rPr>
            </w:pPr>
            <w:r w:rsidRPr="00255D07">
              <w:t>Асептичен менингит при пациенти със системен лупус еритематодес и смесени нарушения на съединителната тъкан (виж. точка 4.4).</w:t>
            </w:r>
          </w:p>
        </w:tc>
      </w:tr>
      <w:tr w:rsidR="00255D07" w14:paraId="3F4670CE" w14:textId="77777777" w:rsidTr="00255D07">
        <w:tc>
          <w:tcPr>
            <w:tcW w:w="3166" w:type="dxa"/>
            <w:vMerge w:val="restart"/>
          </w:tcPr>
          <w:p w14:paraId="59244314" w14:textId="5D58F605" w:rsidR="00255D07" w:rsidRPr="00255D07" w:rsidRDefault="00255D07" w:rsidP="00255D07">
            <w:pPr>
              <w:rPr>
                <w:rFonts w:cs="Arial"/>
              </w:rPr>
            </w:pPr>
            <w:r w:rsidRPr="00255D07">
              <w:t>Нарушения на очите</w:t>
            </w:r>
          </w:p>
        </w:tc>
        <w:tc>
          <w:tcPr>
            <w:tcW w:w="3167" w:type="dxa"/>
          </w:tcPr>
          <w:p w14:paraId="5F2E296F" w14:textId="38E301EC" w:rsidR="00255D07" w:rsidRPr="00255D07" w:rsidRDefault="00255D07" w:rsidP="00255D07">
            <w:pPr>
              <w:rPr>
                <w:rFonts w:cs="Arial"/>
              </w:rPr>
            </w:pPr>
            <w:r w:rsidRPr="00255D07">
              <w:t>Нечести</w:t>
            </w:r>
          </w:p>
        </w:tc>
        <w:tc>
          <w:tcPr>
            <w:tcW w:w="3167" w:type="dxa"/>
          </w:tcPr>
          <w:p w14:paraId="08F878FE" w14:textId="77CD87FB" w:rsidR="00255D07" w:rsidRPr="00255D07" w:rsidRDefault="00255D07" w:rsidP="00255D07">
            <w:pPr>
              <w:rPr>
                <w:rFonts w:cs="Arial"/>
              </w:rPr>
            </w:pPr>
            <w:r w:rsidRPr="00255D07">
              <w:t>Конюнктивит</w:t>
            </w:r>
          </w:p>
        </w:tc>
      </w:tr>
      <w:tr w:rsidR="00255D07" w14:paraId="363BDD23" w14:textId="77777777" w:rsidTr="00255D07">
        <w:tc>
          <w:tcPr>
            <w:tcW w:w="3166" w:type="dxa"/>
            <w:vMerge/>
          </w:tcPr>
          <w:p w14:paraId="0C626216" w14:textId="77777777" w:rsidR="00255D07" w:rsidRPr="00255D07" w:rsidRDefault="00255D07" w:rsidP="00255D07">
            <w:pPr>
              <w:rPr>
                <w:rFonts w:cs="Arial"/>
              </w:rPr>
            </w:pPr>
          </w:p>
        </w:tc>
        <w:tc>
          <w:tcPr>
            <w:tcW w:w="3167" w:type="dxa"/>
          </w:tcPr>
          <w:p w14:paraId="355991E7" w14:textId="22E6B2CE" w:rsidR="00255D07" w:rsidRPr="00255D07" w:rsidRDefault="00255D07" w:rsidP="00255D07">
            <w:pPr>
              <w:rPr>
                <w:rFonts w:cs="Arial"/>
              </w:rPr>
            </w:pPr>
            <w:r w:rsidRPr="00255D07">
              <w:t>Редки</w:t>
            </w:r>
          </w:p>
        </w:tc>
        <w:tc>
          <w:tcPr>
            <w:tcW w:w="3167" w:type="dxa"/>
          </w:tcPr>
          <w:p w14:paraId="483F0F54" w14:textId="07663DD0" w:rsidR="00255D07" w:rsidRPr="00255D07" w:rsidRDefault="00255D07" w:rsidP="00255D07">
            <w:pPr>
              <w:rPr>
                <w:rFonts w:cs="Arial"/>
              </w:rPr>
            </w:pPr>
            <w:r w:rsidRPr="00255D07">
              <w:t>Зрителни нарушения</w:t>
            </w:r>
          </w:p>
        </w:tc>
      </w:tr>
      <w:tr w:rsidR="00255D07" w14:paraId="7A6CB55C" w14:textId="77777777" w:rsidTr="008410A4">
        <w:tc>
          <w:tcPr>
            <w:tcW w:w="3166" w:type="dxa"/>
            <w:vAlign w:val="bottom"/>
          </w:tcPr>
          <w:p w14:paraId="319F5677" w14:textId="2189AB70" w:rsidR="00255D07" w:rsidRPr="00255D07" w:rsidRDefault="00255D07" w:rsidP="00255D07">
            <w:pPr>
              <w:rPr>
                <w:rFonts w:cs="Arial"/>
              </w:rPr>
            </w:pPr>
            <w:r w:rsidRPr="00255D07">
              <w:t>Нарушения на ухото и лабиринта</w:t>
            </w:r>
          </w:p>
        </w:tc>
        <w:tc>
          <w:tcPr>
            <w:tcW w:w="3167" w:type="dxa"/>
          </w:tcPr>
          <w:p w14:paraId="48C4E966" w14:textId="3982B683" w:rsidR="00255D07" w:rsidRPr="00255D07" w:rsidRDefault="00255D07" w:rsidP="00255D07">
            <w:pPr>
              <w:rPr>
                <w:rFonts w:cs="Arial"/>
              </w:rPr>
            </w:pPr>
            <w:r w:rsidRPr="00255D07">
              <w:t>Нечести</w:t>
            </w:r>
          </w:p>
        </w:tc>
        <w:tc>
          <w:tcPr>
            <w:tcW w:w="3167" w:type="dxa"/>
          </w:tcPr>
          <w:p w14:paraId="453AC38C" w14:textId="66A09CB9" w:rsidR="00255D07" w:rsidRPr="00255D07" w:rsidRDefault="00255D07" w:rsidP="00255D07">
            <w:pPr>
              <w:rPr>
                <w:rFonts w:cs="Arial"/>
              </w:rPr>
            </w:pPr>
            <w:r w:rsidRPr="00255D07">
              <w:t>Виене на свят, шум в ушите</w:t>
            </w:r>
          </w:p>
        </w:tc>
      </w:tr>
      <w:tr w:rsidR="00255D07" w14:paraId="29547154" w14:textId="77777777" w:rsidTr="008410A4">
        <w:tc>
          <w:tcPr>
            <w:tcW w:w="3166" w:type="dxa"/>
            <w:vAlign w:val="bottom"/>
          </w:tcPr>
          <w:p w14:paraId="37769304" w14:textId="3AA95CF1" w:rsidR="00255D07" w:rsidRPr="00255D07" w:rsidRDefault="00255D07" w:rsidP="00255D07">
            <w:pPr>
              <w:rPr>
                <w:rFonts w:cs="Arial"/>
              </w:rPr>
            </w:pPr>
            <w:r w:rsidRPr="00255D07">
              <w:t>Сърдечни нарушения</w:t>
            </w:r>
          </w:p>
        </w:tc>
        <w:tc>
          <w:tcPr>
            <w:tcW w:w="3167" w:type="dxa"/>
          </w:tcPr>
          <w:p w14:paraId="5AF2DF63" w14:textId="0E5F6D6F" w:rsidR="00255D07" w:rsidRPr="00255D07" w:rsidRDefault="00255D07" w:rsidP="00255D07">
            <w:pPr>
              <w:rPr>
                <w:rFonts w:cs="Arial"/>
              </w:rPr>
            </w:pPr>
            <w:r w:rsidRPr="00255D07">
              <w:t>Нечести</w:t>
            </w:r>
          </w:p>
        </w:tc>
        <w:tc>
          <w:tcPr>
            <w:tcW w:w="3167" w:type="dxa"/>
            <w:vAlign w:val="bottom"/>
          </w:tcPr>
          <w:p w14:paraId="7DF5F3AB" w14:textId="77777777" w:rsidR="00255D07" w:rsidRPr="00255D07" w:rsidRDefault="00255D07" w:rsidP="00255D07">
            <w:r w:rsidRPr="00255D07">
              <w:t>Палпитации, тахикардия. оток, сърдечна недостатъчност (виж точка</w:t>
            </w:r>
          </w:p>
          <w:p w14:paraId="3270B820" w14:textId="5F91D7BD" w:rsidR="00255D07" w:rsidRPr="00255D07" w:rsidRDefault="00255D07" w:rsidP="00255D07">
            <w:pPr>
              <w:rPr>
                <w:rFonts w:cs="Arial"/>
              </w:rPr>
            </w:pPr>
            <w:r w:rsidRPr="00255D07">
              <w:lastRenderedPageBreak/>
              <w:t>4.4)</w:t>
            </w:r>
            <w:r w:rsidRPr="00255D07">
              <w:tab/>
            </w:r>
          </w:p>
        </w:tc>
      </w:tr>
      <w:tr w:rsidR="00255D07" w14:paraId="3D615413" w14:textId="77777777" w:rsidTr="008410A4">
        <w:tc>
          <w:tcPr>
            <w:tcW w:w="3166" w:type="dxa"/>
            <w:vMerge w:val="restart"/>
          </w:tcPr>
          <w:p w14:paraId="278C64DB" w14:textId="790E47CC" w:rsidR="00255D07" w:rsidRPr="00255D07" w:rsidRDefault="00255D07" w:rsidP="00255D07">
            <w:pPr>
              <w:rPr>
                <w:rFonts w:cs="Arial"/>
              </w:rPr>
            </w:pPr>
            <w:r w:rsidRPr="00255D07">
              <w:lastRenderedPageBreak/>
              <w:t>Съдови нарушения</w:t>
            </w:r>
          </w:p>
        </w:tc>
        <w:tc>
          <w:tcPr>
            <w:tcW w:w="3167" w:type="dxa"/>
            <w:vAlign w:val="bottom"/>
          </w:tcPr>
          <w:p w14:paraId="5005E805" w14:textId="33E54AA8" w:rsidR="00255D07" w:rsidRPr="00255D07" w:rsidRDefault="00255D07" w:rsidP="00255D07">
            <w:pPr>
              <w:rPr>
                <w:rFonts w:cs="Arial"/>
              </w:rPr>
            </w:pPr>
            <w:r w:rsidRPr="00255D07">
              <w:t>Нечесги</w:t>
            </w:r>
          </w:p>
        </w:tc>
        <w:tc>
          <w:tcPr>
            <w:tcW w:w="3167" w:type="dxa"/>
            <w:vAlign w:val="bottom"/>
          </w:tcPr>
          <w:p w14:paraId="0DA2E614" w14:textId="7E6DD815" w:rsidR="00255D07" w:rsidRPr="00255D07" w:rsidRDefault="00255D07" w:rsidP="00255D07">
            <w:pPr>
              <w:rPr>
                <w:rFonts w:cs="Arial"/>
              </w:rPr>
            </w:pPr>
            <w:r w:rsidRPr="00255D07">
              <w:t>Зачервяване, оток</w:t>
            </w:r>
          </w:p>
        </w:tc>
      </w:tr>
      <w:tr w:rsidR="00255D07" w14:paraId="529FA92A" w14:textId="77777777" w:rsidTr="008410A4">
        <w:tc>
          <w:tcPr>
            <w:tcW w:w="3166" w:type="dxa"/>
            <w:vMerge/>
          </w:tcPr>
          <w:p w14:paraId="59E32954" w14:textId="77777777" w:rsidR="00255D07" w:rsidRPr="00255D07" w:rsidRDefault="00255D07" w:rsidP="00255D07">
            <w:pPr>
              <w:rPr>
                <w:rFonts w:cs="Arial"/>
              </w:rPr>
            </w:pPr>
          </w:p>
        </w:tc>
        <w:tc>
          <w:tcPr>
            <w:tcW w:w="3167" w:type="dxa"/>
            <w:vAlign w:val="bottom"/>
          </w:tcPr>
          <w:p w14:paraId="7AB55FD7" w14:textId="5707A1A7" w:rsidR="00255D07" w:rsidRPr="00255D07" w:rsidRDefault="00255D07" w:rsidP="00255D07">
            <w:pPr>
              <w:rPr>
                <w:rFonts w:cs="Arial"/>
              </w:rPr>
            </w:pPr>
            <w:r w:rsidRPr="00255D07">
              <w:t>Редки</w:t>
            </w:r>
          </w:p>
        </w:tc>
        <w:tc>
          <w:tcPr>
            <w:tcW w:w="3167" w:type="dxa"/>
            <w:vAlign w:val="bottom"/>
          </w:tcPr>
          <w:p w14:paraId="1B2AC3A1" w14:textId="5AD15F9B" w:rsidR="00255D07" w:rsidRPr="00255D07" w:rsidRDefault="00255D07" w:rsidP="00255D07">
            <w:pPr>
              <w:rPr>
                <w:rFonts w:cs="Arial"/>
              </w:rPr>
            </w:pPr>
            <w:r w:rsidRPr="00255D07">
              <w:t>Хипертония, топли вълни, кръвоизлив, хематом</w:t>
            </w:r>
          </w:p>
        </w:tc>
      </w:tr>
      <w:tr w:rsidR="00255D07" w14:paraId="35C4127F" w14:textId="77777777" w:rsidTr="00255D07">
        <w:tc>
          <w:tcPr>
            <w:tcW w:w="3166" w:type="dxa"/>
            <w:vMerge w:val="restart"/>
          </w:tcPr>
          <w:p w14:paraId="52299A81" w14:textId="2D4D9247" w:rsidR="00255D07" w:rsidRPr="00255D07" w:rsidRDefault="00255D07" w:rsidP="00255D07">
            <w:pPr>
              <w:rPr>
                <w:rFonts w:cs="Arial"/>
              </w:rPr>
            </w:pPr>
            <w:r w:rsidRPr="00255D07">
              <w:t>Респираторни, гръдни и медиастинални нарушения</w:t>
            </w:r>
          </w:p>
        </w:tc>
        <w:tc>
          <w:tcPr>
            <w:tcW w:w="3167" w:type="dxa"/>
          </w:tcPr>
          <w:p w14:paraId="2119366F" w14:textId="13F186E3" w:rsidR="00255D07" w:rsidRPr="00255D07" w:rsidRDefault="00255D07" w:rsidP="00255D07">
            <w:pPr>
              <w:rPr>
                <w:rFonts w:cs="Arial"/>
              </w:rPr>
            </w:pPr>
            <w:r w:rsidRPr="00255D07">
              <w:t>Нечести</w:t>
            </w:r>
          </w:p>
        </w:tc>
        <w:tc>
          <w:tcPr>
            <w:tcW w:w="3167" w:type="dxa"/>
          </w:tcPr>
          <w:p w14:paraId="5F4A058E" w14:textId="33D064D1" w:rsidR="00255D07" w:rsidRPr="00255D07" w:rsidRDefault="00255D07" w:rsidP="00255D07">
            <w:pPr>
              <w:rPr>
                <w:rFonts w:cs="Arial"/>
              </w:rPr>
            </w:pPr>
            <w:r w:rsidRPr="00255D07">
              <w:t>Ринит</w:t>
            </w:r>
          </w:p>
        </w:tc>
      </w:tr>
      <w:tr w:rsidR="00255D07" w14:paraId="2CDF269E" w14:textId="77777777" w:rsidTr="008410A4">
        <w:tc>
          <w:tcPr>
            <w:tcW w:w="3166" w:type="dxa"/>
            <w:vMerge/>
          </w:tcPr>
          <w:p w14:paraId="3E0659EB" w14:textId="77777777" w:rsidR="00255D07" w:rsidRPr="00255D07" w:rsidRDefault="00255D07" w:rsidP="00255D07">
            <w:pPr>
              <w:rPr>
                <w:rFonts w:cs="Arial"/>
              </w:rPr>
            </w:pPr>
          </w:p>
        </w:tc>
        <w:tc>
          <w:tcPr>
            <w:tcW w:w="3167" w:type="dxa"/>
          </w:tcPr>
          <w:p w14:paraId="14B466AA" w14:textId="5CB88229" w:rsidR="00255D07" w:rsidRPr="00255D07" w:rsidRDefault="00255D07" w:rsidP="00255D07">
            <w:pPr>
              <w:rPr>
                <w:rFonts w:cs="Arial"/>
              </w:rPr>
            </w:pPr>
            <w:r w:rsidRPr="00255D07">
              <w:t>Редки</w:t>
            </w:r>
          </w:p>
        </w:tc>
        <w:tc>
          <w:tcPr>
            <w:tcW w:w="3167" w:type="dxa"/>
            <w:vAlign w:val="bottom"/>
          </w:tcPr>
          <w:p w14:paraId="67D33683" w14:textId="2D664FBD" w:rsidR="00255D07" w:rsidRPr="00255D07" w:rsidRDefault="00255D07" w:rsidP="00255D07">
            <w:pPr>
              <w:rPr>
                <w:rFonts w:cs="Arial"/>
              </w:rPr>
            </w:pPr>
            <w:r w:rsidRPr="00255D07">
              <w:t>Диспнея, кашлица, бронхоспазъм</w:t>
            </w:r>
          </w:p>
        </w:tc>
      </w:tr>
      <w:tr w:rsidR="00255D07" w14:paraId="49076472" w14:textId="77777777" w:rsidTr="00255D07">
        <w:tc>
          <w:tcPr>
            <w:tcW w:w="3166" w:type="dxa"/>
            <w:vMerge w:val="restart"/>
          </w:tcPr>
          <w:p w14:paraId="07D94BE0" w14:textId="492B1C57" w:rsidR="00255D07" w:rsidRPr="00255D07" w:rsidRDefault="00255D07" w:rsidP="00255D07">
            <w:pPr>
              <w:rPr>
                <w:rFonts w:cs="Arial"/>
              </w:rPr>
            </w:pPr>
            <w:r w:rsidRPr="00255D07">
              <w:t>Стомашно-чревни нарушения</w:t>
            </w:r>
          </w:p>
        </w:tc>
        <w:tc>
          <w:tcPr>
            <w:tcW w:w="3167" w:type="dxa"/>
          </w:tcPr>
          <w:p w14:paraId="36408700" w14:textId="15EB19DD" w:rsidR="00255D07" w:rsidRPr="00255D07" w:rsidRDefault="00255D07" w:rsidP="00255D07">
            <w:pPr>
              <w:rPr>
                <w:rFonts w:cs="Arial"/>
              </w:rPr>
            </w:pPr>
            <w:r w:rsidRPr="00255D07">
              <w:t>Чести</w:t>
            </w:r>
          </w:p>
        </w:tc>
        <w:tc>
          <w:tcPr>
            <w:tcW w:w="3167" w:type="dxa"/>
          </w:tcPr>
          <w:p w14:paraId="6487CE6F" w14:textId="774BE81B" w:rsidR="00255D07" w:rsidRPr="00255D07" w:rsidRDefault="00255D07" w:rsidP="00255D07">
            <w:pPr>
              <w:rPr>
                <w:rFonts w:cs="Arial"/>
              </w:rPr>
            </w:pPr>
            <w:r w:rsidRPr="00255D07">
              <w:t xml:space="preserve">Гадене, коремна болка, диспепсия, диария, повръщане </w:t>
            </w:r>
          </w:p>
        </w:tc>
      </w:tr>
      <w:tr w:rsidR="00255D07" w14:paraId="4CEA8F05" w14:textId="77777777" w:rsidTr="0095457F">
        <w:tc>
          <w:tcPr>
            <w:tcW w:w="3166" w:type="dxa"/>
            <w:vMerge/>
          </w:tcPr>
          <w:p w14:paraId="3BA54760" w14:textId="77777777" w:rsidR="00255D07" w:rsidRPr="00255D07" w:rsidRDefault="00255D07" w:rsidP="00255D07">
            <w:pPr>
              <w:rPr>
                <w:rFonts w:cs="Arial"/>
              </w:rPr>
            </w:pPr>
          </w:p>
        </w:tc>
        <w:tc>
          <w:tcPr>
            <w:tcW w:w="3167" w:type="dxa"/>
          </w:tcPr>
          <w:p w14:paraId="4EAFFF2C" w14:textId="3614562F" w:rsidR="00255D07" w:rsidRPr="00255D07" w:rsidRDefault="00255D07" w:rsidP="00255D07">
            <w:pPr>
              <w:rPr>
                <w:rFonts w:cs="Arial"/>
              </w:rPr>
            </w:pPr>
            <w:r w:rsidRPr="00255D07">
              <w:t>Нечести</w:t>
            </w:r>
          </w:p>
        </w:tc>
        <w:tc>
          <w:tcPr>
            <w:tcW w:w="3167" w:type="dxa"/>
            <w:vAlign w:val="bottom"/>
          </w:tcPr>
          <w:p w14:paraId="50DD17E5" w14:textId="453B2503" w:rsidR="00255D07" w:rsidRPr="00255D07" w:rsidRDefault="00255D07" w:rsidP="00255D07">
            <w:pPr>
              <w:rPr>
                <w:rFonts w:cs="Arial"/>
              </w:rPr>
            </w:pPr>
            <w:r w:rsidRPr="00255D07">
              <w:t>Запек, метеоризъм, оригване, сухата в устата, гастрит, стомашна язва, болка в горната част на корема, дуоденална язва, разязвяване на устата</w:t>
            </w:r>
          </w:p>
        </w:tc>
      </w:tr>
      <w:tr w:rsidR="00255D07" w14:paraId="681DE782" w14:textId="77777777" w:rsidTr="0095457F">
        <w:tc>
          <w:tcPr>
            <w:tcW w:w="3166" w:type="dxa"/>
            <w:vMerge/>
          </w:tcPr>
          <w:p w14:paraId="5D7DA30F" w14:textId="77777777" w:rsidR="00255D07" w:rsidRPr="00255D07" w:rsidRDefault="00255D07" w:rsidP="00255D07">
            <w:pPr>
              <w:rPr>
                <w:rFonts w:cs="Arial"/>
              </w:rPr>
            </w:pPr>
          </w:p>
        </w:tc>
        <w:tc>
          <w:tcPr>
            <w:tcW w:w="3167" w:type="dxa"/>
          </w:tcPr>
          <w:p w14:paraId="37E55409" w14:textId="0907B910" w:rsidR="00255D07" w:rsidRPr="00255D07" w:rsidRDefault="00255D07" w:rsidP="00255D07">
            <w:pPr>
              <w:rPr>
                <w:rFonts w:cs="Arial"/>
              </w:rPr>
            </w:pPr>
            <w:r w:rsidRPr="00255D07">
              <w:t>Редки</w:t>
            </w:r>
          </w:p>
        </w:tc>
        <w:tc>
          <w:tcPr>
            <w:tcW w:w="3167" w:type="dxa"/>
            <w:vAlign w:val="bottom"/>
          </w:tcPr>
          <w:p w14:paraId="73D5B216" w14:textId="08534D8B" w:rsidR="00255D07" w:rsidRPr="00255D07" w:rsidRDefault="00255D07" w:rsidP="00255D07">
            <w:pPr>
              <w:rPr>
                <w:rFonts w:cs="Arial"/>
              </w:rPr>
            </w:pPr>
            <w:r w:rsidRPr="00255D07">
              <w:t>Мелена, хематемеза, стоматит, езофагиг, гастроезофагеален рефлукс, дисфагия, афтозен стоматит, глосит, перфорирала пегпична язва, стомашно-чревен кръвоизлив</w:t>
            </w:r>
          </w:p>
        </w:tc>
      </w:tr>
      <w:tr w:rsidR="00255D07" w14:paraId="2E3FD779" w14:textId="77777777" w:rsidTr="0095457F">
        <w:tc>
          <w:tcPr>
            <w:tcW w:w="3166" w:type="dxa"/>
            <w:vMerge w:val="restart"/>
          </w:tcPr>
          <w:p w14:paraId="5E474742" w14:textId="7ED27FD8" w:rsidR="00255D07" w:rsidRPr="00255D07" w:rsidRDefault="00255D07" w:rsidP="00255D07">
            <w:pPr>
              <w:rPr>
                <w:rFonts w:cs="Arial"/>
              </w:rPr>
            </w:pPr>
            <w:r w:rsidRPr="00255D07">
              <w:t>Хепато-билиарни нарушения</w:t>
            </w:r>
          </w:p>
        </w:tc>
        <w:tc>
          <w:tcPr>
            <w:tcW w:w="3167" w:type="dxa"/>
          </w:tcPr>
          <w:p w14:paraId="6F85916E" w14:textId="6C7F8411" w:rsidR="00255D07" w:rsidRPr="00255D07" w:rsidRDefault="00255D07" w:rsidP="00255D07">
            <w:pPr>
              <w:rPr>
                <w:rFonts w:cs="Arial"/>
              </w:rPr>
            </w:pPr>
            <w:r w:rsidRPr="00255D07">
              <w:t>Нечести</w:t>
            </w:r>
          </w:p>
        </w:tc>
        <w:tc>
          <w:tcPr>
            <w:tcW w:w="3167" w:type="dxa"/>
            <w:vAlign w:val="bottom"/>
          </w:tcPr>
          <w:p w14:paraId="72291CB9" w14:textId="72FA7117" w:rsidR="00255D07" w:rsidRPr="00255D07" w:rsidRDefault="00255D07" w:rsidP="00255D07">
            <w:pPr>
              <w:rPr>
                <w:rFonts w:cs="Arial"/>
              </w:rPr>
            </w:pPr>
            <w:r w:rsidRPr="00255D07">
              <w:t>Повишени стойности на показателите на чернодробната функция, СГПТ (АЛАТ) или СГОТ (АСАТ)</w:t>
            </w:r>
            <w:r w:rsidRPr="00255D07">
              <w:tab/>
            </w:r>
          </w:p>
        </w:tc>
      </w:tr>
      <w:tr w:rsidR="00255D07" w14:paraId="03DBADFE" w14:textId="77777777" w:rsidTr="0095457F">
        <w:tc>
          <w:tcPr>
            <w:tcW w:w="3166" w:type="dxa"/>
            <w:vMerge/>
          </w:tcPr>
          <w:p w14:paraId="623A16F2" w14:textId="77777777" w:rsidR="00255D07" w:rsidRPr="00255D07" w:rsidRDefault="00255D07" w:rsidP="00255D07">
            <w:pPr>
              <w:rPr>
                <w:rFonts w:cs="Arial"/>
              </w:rPr>
            </w:pPr>
          </w:p>
        </w:tc>
        <w:tc>
          <w:tcPr>
            <w:tcW w:w="3167" w:type="dxa"/>
            <w:vAlign w:val="bottom"/>
          </w:tcPr>
          <w:p w14:paraId="698F2185" w14:textId="0CD1755F" w:rsidR="00255D07" w:rsidRPr="00255D07" w:rsidRDefault="00255D07" w:rsidP="00255D07">
            <w:pPr>
              <w:rPr>
                <w:rFonts w:cs="Arial"/>
              </w:rPr>
            </w:pPr>
            <w:r w:rsidRPr="00255D07">
              <w:t>Много редки</w:t>
            </w:r>
          </w:p>
        </w:tc>
        <w:tc>
          <w:tcPr>
            <w:tcW w:w="3167" w:type="dxa"/>
            <w:vAlign w:val="bottom"/>
          </w:tcPr>
          <w:p w14:paraId="3305E2D4" w14:textId="5A907448" w:rsidR="00255D07" w:rsidRPr="00255D07" w:rsidRDefault="00255D07" w:rsidP="00255D07">
            <w:pPr>
              <w:rPr>
                <w:rFonts w:cs="Arial"/>
              </w:rPr>
            </w:pPr>
            <w:r w:rsidRPr="00255D07">
              <w:t>Хепатотоксичност предизвикваща напр. чернодробна недостатъчност, хепатит, жълтеница и холесгаза</w:t>
            </w:r>
          </w:p>
        </w:tc>
      </w:tr>
      <w:tr w:rsidR="00255D07" w14:paraId="7DDC59FC" w14:textId="77777777" w:rsidTr="0095457F">
        <w:tc>
          <w:tcPr>
            <w:tcW w:w="3166" w:type="dxa"/>
            <w:vMerge w:val="restart"/>
          </w:tcPr>
          <w:p w14:paraId="1DAEADFC" w14:textId="72C9E5E4" w:rsidR="00255D07" w:rsidRPr="00255D07" w:rsidRDefault="00255D07" w:rsidP="00255D07">
            <w:pPr>
              <w:rPr>
                <w:rFonts w:cs="Arial"/>
              </w:rPr>
            </w:pPr>
            <w:r w:rsidRPr="00255D07">
              <w:t>Нарушения на кожата и подкожната тъкан</w:t>
            </w:r>
          </w:p>
        </w:tc>
        <w:tc>
          <w:tcPr>
            <w:tcW w:w="3167" w:type="dxa"/>
          </w:tcPr>
          <w:p w14:paraId="515565AD" w14:textId="46853FB5" w:rsidR="00255D07" w:rsidRPr="00255D07" w:rsidRDefault="00255D07" w:rsidP="00255D07">
            <w:pPr>
              <w:rPr>
                <w:rFonts w:cs="Arial"/>
              </w:rPr>
            </w:pPr>
            <w:r w:rsidRPr="00255D07">
              <w:t>Нечести</w:t>
            </w:r>
          </w:p>
        </w:tc>
        <w:tc>
          <w:tcPr>
            <w:tcW w:w="3167" w:type="dxa"/>
            <w:vAlign w:val="bottom"/>
          </w:tcPr>
          <w:p w14:paraId="542A827A" w14:textId="00E9E18B" w:rsidR="00255D07" w:rsidRPr="00255D07" w:rsidRDefault="00255D07" w:rsidP="00255D07">
            <w:pPr>
              <w:rPr>
                <w:rFonts w:cs="Arial"/>
              </w:rPr>
            </w:pPr>
            <w:r w:rsidRPr="00255D07">
              <w:t>Обрив, сърбеж, хиперхидроза, еритематозен обрив, уртикария, ангиоедем, алопеция</w:t>
            </w:r>
          </w:p>
        </w:tc>
      </w:tr>
      <w:tr w:rsidR="00255D07" w14:paraId="29FE0F5D" w14:textId="77777777" w:rsidTr="00255D07">
        <w:tc>
          <w:tcPr>
            <w:tcW w:w="3166" w:type="dxa"/>
            <w:vMerge/>
          </w:tcPr>
          <w:p w14:paraId="09750652" w14:textId="77777777" w:rsidR="00255D07" w:rsidRPr="00255D07" w:rsidRDefault="00255D07" w:rsidP="00255D07">
            <w:pPr>
              <w:rPr>
                <w:rFonts w:cs="Arial"/>
              </w:rPr>
            </w:pPr>
          </w:p>
        </w:tc>
        <w:tc>
          <w:tcPr>
            <w:tcW w:w="3167" w:type="dxa"/>
          </w:tcPr>
          <w:p w14:paraId="69802F4F" w14:textId="277E3C5B" w:rsidR="00255D07" w:rsidRPr="00255D07" w:rsidRDefault="00255D07" w:rsidP="00255D07">
            <w:pPr>
              <w:rPr>
                <w:rFonts w:cs="Arial"/>
              </w:rPr>
            </w:pPr>
            <w:r w:rsidRPr="00255D07">
              <w:t>Редки</w:t>
            </w:r>
          </w:p>
        </w:tc>
        <w:tc>
          <w:tcPr>
            <w:tcW w:w="3167" w:type="dxa"/>
          </w:tcPr>
          <w:p w14:paraId="75A3DA63" w14:textId="30DE4501" w:rsidR="00255D07" w:rsidRPr="00255D07" w:rsidRDefault="00255D07" w:rsidP="00255D07">
            <w:pPr>
              <w:rPr>
                <w:rFonts w:cs="Arial"/>
              </w:rPr>
            </w:pPr>
            <w:r w:rsidRPr="00255D07">
              <w:t>Дерматит, екзема, пурпура</w:t>
            </w:r>
          </w:p>
        </w:tc>
      </w:tr>
      <w:tr w:rsidR="00255D07" w14:paraId="407F5A6E" w14:textId="77777777" w:rsidTr="0095457F">
        <w:tc>
          <w:tcPr>
            <w:tcW w:w="3166" w:type="dxa"/>
            <w:vMerge/>
          </w:tcPr>
          <w:p w14:paraId="12A01EF5" w14:textId="77777777" w:rsidR="00255D07" w:rsidRPr="00255D07" w:rsidRDefault="00255D07" w:rsidP="00255D07">
            <w:pPr>
              <w:rPr>
                <w:rFonts w:cs="Arial"/>
              </w:rPr>
            </w:pPr>
          </w:p>
        </w:tc>
        <w:tc>
          <w:tcPr>
            <w:tcW w:w="3167" w:type="dxa"/>
            <w:vAlign w:val="bottom"/>
          </w:tcPr>
          <w:p w14:paraId="23D04B03" w14:textId="5A0A0374" w:rsidR="00255D07" w:rsidRPr="00255D07" w:rsidRDefault="00255D07" w:rsidP="00255D07">
            <w:pPr>
              <w:rPr>
                <w:rFonts w:cs="Arial"/>
              </w:rPr>
            </w:pPr>
            <w:r w:rsidRPr="00255D07">
              <w:t>Много редки</w:t>
            </w:r>
          </w:p>
        </w:tc>
        <w:tc>
          <w:tcPr>
            <w:tcW w:w="3167" w:type="dxa"/>
            <w:vAlign w:val="bottom"/>
          </w:tcPr>
          <w:p w14:paraId="08DA79CD" w14:textId="4D33514B" w:rsidR="00255D07" w:rsidRPr="00255D07" w:rsidRDefault="00255D07" w:rsidP="00255D07">
            <w:pPr>
              <w:rPr>
                <w:rFonts w:cs="Arial"/>
              </w:rPr>
            </w:pPr>
            <w:r w:rsidRPr="00255D07">
              <w:t xml:space="preserve">Оток и булозни реакции, като </w:t>
            </w:r>
            <w:r w:rsidRPr="00255D07">
              <w:rPr>
                <w:lang w:val="en-US"/>
              </w:rPr>
              <w:t xml:space="preserve">Erythema multiforme, </w:t>
            </w:r>
            <w:r w:rsidRPr="00255D07">
              <w:t xml:space="preserve">синдром на </w:t>
            </w:r>
            <w:r w:rsidRPr="00255D07">
              <w:rPr>
                <w:lang w:val="en-US"/>
              </w:rPr>
              <w:t xml:space="preserve">Stevens- Johnson, </w:t>
            </w:r>
            <w:r w:rsidRPr="00255D07">
              <w:t>токсична епидермална иекролиза</w:t>
            </w:r>
          </w:p>
        </w:tc>
      </w:tr>
      <w:tr w:rsidR="00255D07" w14:paraId="2790C8BA" w14:textId="77777777" w:rsidTr="00255D07">
        <w:tc>
          <w:tcPr>
            <w:tcW w:w="3166" w:type="dxa"/>
            <w:vMerge w:val="restart"/>
          </w:tcPr>
          <w:p w14:paraId="70BD0733" w14:textId="7CBAD7FC" w:rsidR="00255D07" w:rsidRPr="00255D07" w:rsidRDefault="00255D07" w:rsidP="00255D07">
            <w:pPr>
              <w:rPr>
                <w:rFonts w:cs="Arial"/>
              </w:rPr>
            </w:pPr>
            <w:r w:rsidRPr="00255D07">
              <w:t xml:space="preserve">Нарушения на мускулно- скелетната система и </w:t>
            </w:r>
            <w:r w:rsidRPr="00255D07">
              <w:lastRenderedPageBreak/>
              <w:t>съединителната тъкан</w:t>
            </w:r>
          </w:p>
        </w:tc>
        <w:tc>
          <w:tcPr>
            <w:tcW w:w="3167" w:type="dxa"/>
          </w:tcPr>
          <w:p w14:paraId="1ECA162E" w14:textId="26FCCA38" w:rsidR="00255D07" w:rsidRPr="00255D07" w:rsidRDefault="00255D07" w:rsidP="00255D07">
            <w:pPr>
              <w:rPr>
                <w:rFonts w:cs="Arial"/>
              </w:rPr>
            </w:pPr>
            <w:r w:rsidRPr="00255D07">
              <w:lastRenderedPageBreak/>
              <w:t>Нечести</w:t>
            </w:r>
          </w:p>
        </w:tc>
        <w:tc>
          <w:tcPr>
            <w:tcW w:w="3167" w:type="dxa"/>
          </w:tcPr>
          <w:p w14:paraId="49C1B6DB" w14:textId="4AE6A0EF" w:rsidR="00255D07" w:rsidRPr="00255D07" w:rsidRDefault="00255D07" w:rsidP="00255D07">
            <w:pPr>
              <w:rPr>
                <w:rFonts w:cs="Arial"/>
              </w:rPr>
            </w:pPr>
            <w:r w:rsidRPr="00255D07">
              <w:t>Артралгия</w:t>
            </w:r>
          </w:p>
        </w:tc>
      </w:tr>
      <w:tr w:rsidR="00255D07" w14:paraId="62A932A6" w14:textId="77777777" w:rsidTr="00255D07">
        <w:tc>
          <w:tcPr>
            <w:tcW w:w="3166" w:type="dxa"/>
            <w:vMerge/>
          </w:tcPr>
          <w:p w14:paraId="787140E3" w14:textId="77777777" w:rsidR="00255D07" w:rsidRPr="00255D07" w:rsidRDefault="00255D07" w:rsidP="00255D07">
            <w:pPr>
              <w:rPr>
                <w:rFonts w:cs="Arial"/>
              </w:rPr>
            </w:pPr>
          </w:p>
        </w:tc>
        <w:tc>
          <w:tcPr>
            <w:tcW w:w="3167" w:type="dxa"/>
          </w:tcPr>
          <w:p w14:paraId="2BD342F2" w14:textId="0CB8BB75" w:rsidR="00255D07" w:rsidRPr="00255D07" w:rsidRDefault="00255D07" w:rsidP="00255D07">
            <w:pPr>
              <w:rPr>
                <w:rFonts w:cs="Arial"/>
              </w:rPr>
            </w:pPr>
            <w:r w:rsidRPr="00255D07">
              <w:t>Редки</w:t>
            </w:r>
          </w:p>
        </w:tc>
        <w:tc>
          <w:tcPr>
            <w:tcW w:w="3167" w:type="dxa"/>
          </w:tcPr>
          <w:p w14:paraId="62BC08C4" w14:textId="25FC27AF" w:rsidR="00255D07" w:rsidRPr="00255D07" w:rsidRDefault="00255D07" w:rsidP="00255D07">
            <w:pPr>
              <w:rPr>
                <w:rFonts w:cs="Arial"/>
              </w:rPr>
            </w:pPr>
            <w:r w:rsidRPr="00255D07">
              <w:t xml:space="preserve">Болка в костите, мускулни </w:t>
            </w:r>
            <w:r w:rsidRPr="00255D07">
              <w:lastRenderedPageBreak/>
              <w:t>спазми, миалгия</w:t>
            </w:r>
          </w:p>
        </w:tc>
      </w:tr>
      <w:tr w:rsidR="00255D07" w14:paraId="7D396964" w14:textId="77777777" w:rsidTr="00C33748">
        <w:tc>
          <w:tcPr>
            <w:tcW w:w="3166" w:type="dxa"/>
            <w:vMerge w:val="restart"/>
          </w:tcPr>
          <w:p w14:paraId="1008F648" w14:textId="558B368B" w:rsidR="00255D07" w:rsidRPr="00255D07" w:rsidRDefault="00255D07" w:rsidP="00255D07">
            <w:pPr>
              <w:rPr>
                <w:rFonts w:cs="Arial"/>
              </w:rPr>
            </w:pPr>
            <w:r w:rsidRPr="00255D07">
              <w:lastRenderedPageBreak/>
              <w:t>Нарушения на бъбречните и пикочните пътища</w:t>
            </w:r>
          </w:p>
        </w:tc>
        <w:tc>
          <w:tcPr>
            <w:tcW w:w="3167" w:type="dxa"/>
          </w:tcPr>
          <w:p w14:paraId="42DCD1D1" w14:textId="58B867C2" w:rsidR="00255D07" w:rsidRPr="00255D07" w:rsidRDefault="00255D07" w:rsidP="00255D07">
            <w:pPr>
              <w:rPr>
                <w:rFonts w:cs="Arial"/>
              </w:rPr>
            </w:pPr>
            <w:r w:rsidRPr="00255D07">
              <w:t>Редки</w:t>
            </w:r>
          </w:p>
        </w:tc>
        <w:tc>
          <w:tcPr>
            <w:tcW w:w="3167" w:type="dxa"/>
            <w:vAlign w:val="bottom"/>
          </w:tcPr>
          <w:p w14:paraId="2C6A1877" w14:textId="35716195" w:rsidR="00255D07" w:rsidRPr="00255D07" w:rsidRDefault="00255D07" w:rsidP="00255D07">
            <w:pPr>
              <w:rPr>
                <w:rFonts w:cs="Arial"/>
              </w:rPr>
            </w:pPr>
            <w:r w:rsidRPr="00255D07">
              <w:t>Никтурия, микционни нарушения, повишаване нивата на серумната урея и креатинина</w:t>
            </w:r>
          </w:p>
        </w:tc>
      </w:tr>
      <w:tr w:rsidR="00255D07" w14:paraId="4BAA30B9" w14:textId="77777777" w:rsidTr="00C33748">
        <w:tc>
          <w:tcPr>
            <w:tcW w:w="3166" w:type="dxa"/>
            <w:vMerge/>
          </w:tcPr>
          <w:p w14:paraId="1E8D0B34" w14:textId="77777777" w:rsidR="00255D07" w:rsidRPr="00255D07" w:rsidRDefault="00255D07" w:rsidP="00255D07">
            <w:pPr>
              <w:rPr>
                <w:rFonts w:cs="Arial"/>
              </w:rPr>
            </w:pPr>
          </w:p>
        </w:tc>
        <w:tc>
          <w:tcPr>
            <w:tcW w:w="3167" w:type="dxa"/>
          </w:tcPr>
          <w:p w14:paraId="23F396B2" w14:textId="59B95E61" w:rsidR="00255D07" w:rsidRPr="00255D07" w:rsidRDefault="00255D07" w:rsidP="00255D07">
            <w:pPr>
              <w:rPr>
                <w:rFonts w:cs="Arial"/>
              </w:rPr>
            </w:pPr>
            <w:r w:rsidRPr="00255D07">
              <w:t>Много редки</w:t>
            </w:r>
          </w:p>
        </w:tc>
        <w:tc>
          <w:tcPr>
            <w:tcW w:w="3167" w:type="dxa"/>
            <w:vAlign w:val="bottom"/>
          </w:tcPr>
          <w:p w14:paraId="52E8E51B" w14:textId="3766937E" w:rsidR="00255D07" w:rsidRPr="00255D07" w:rsidRDefault="00255D07" w:rsidP="00255D07">
            <w:pPr>
              <w:rPr>
                <w:rFonts w:cs="Arial"/>
              </w:rPr>
            </w:pPr>
            <w:r w:rsidRPr="00255D07">
              <w:t>Лорноксикам може да предизвика остра бъбречна недостатъчност при пациенти с предшестващи бъбречни нарушения, които са зависими от бъбречните простагландини за поддържане на бъбречния кръвоток (вж. точка 4.4). С НСПВЛС като класифициран ефект е била асоциирана нефротоксичност във вариращи форми, включително нефрит и нефротичен синдром</w:t>
            </w:r>
          </w:p>
        </w:tc>
      </w:tr>
      <w:tr w:rsidR="00255D07" w14:paraId="0FB25AA3" w14:textId="77777777" w:rsidTr="00255D07">
        <w:tc>
          <w:tcPr>
            <w:tcW w:w="3166" w:type="dxa"/>
            <w:vMerge w:val="restart"/>
          </w:tcPr>
          <w:p w14:paraId="5B1C02F8" w14:textId="753523F5" w:rsidR="00255D07" w:rsidRPr="00255D07" w:rsidRDefault="00255D07" w:rsidP="00255D07">
            <w:pPr>
              <w:rPr>
                <w:rFonts w:cs="Arial"/>
              </w:rPr>
            </w:pPr>
            <w:r w:rsidRPr="00255D07">
              <w:t>Общи нарушения и ефекти на мястото на приложение</w:t>
            </w:r>
          </w:p>
        </w:tc>
        <w:tc>
          <w:tcPr>
            <w:tcW w:w="3167" w:type="dxa"/>
          </w:tcPr>
          <w:p w14:paraId="5CAAD529" w14:textId="12B17062" w:rsidR="00255D07" w:rsidRPr="00255D07" w:rsidRDefault="00255D07" w:rsidP="00255D07">
            <w:pPr>
              <w:rPr>
                <w:rFonts w:cs="Arial"/>
              </w:rPr>
            </w:pPr>
            <w:r w:rsidRPr="00255D07">
              <w:t>Нечести</w:t>
            </w:r>
          </w:p>
        </w:tc>
        <w:tc>
          <w:tcPr>
            <w:tcW w:w="3167" w:type="dxa"/>
          </w:tcPr>
          <w:p w14:paraId="20C06368" w14:textId="3C31152D" w:rsidR="00255D07" w:rsidRPr="00255D07" w:rsidRDefault="00255D07" w:rsidP="00255D07">
            <w:pPr>
              <w:rPr>
                <w:rFonts w:cs="Arial"/>
              </w:rPr>
            </w:pPr>
            <w:r w:rsidRPr="00255D07">
              <w:t>Неразположение, оток на лицето</w:t>
            </w:r>
          </w:p>
        </w:tc>
      </w:tr>
      <w:tr w:rsidR="00255D07" w14:paraId="1F1D7478" w14:textId="77777777" w:rsidTr="00255D07">
        <w:tc>
          <w:tcPr>
            <w:tcW w:w="3166" w:type="dxa"/>
            <w:vMerge/>
          </w:tcPr>
          <w:p w14:paraId="484BC820" w14:textId="77777777" w:rsidR="00255D07" w:rsidRPr="00255D07" w:rsidRDefault="00255D07" w:rsidP="00255D07">
            <w:pPr>
              <w:rPr>
                <w:rFonts w:cs="Arial"/>
              </w:rPr>
            </w:pPr>
          </w:p>
        </w:tc>
        <w:tc>
          <w:tcPr>
            <w:tcW w:w="3167" w:type="dxa"/>
          </w:tcPr>
          <w:p w14:paraId="1E495436" w14:textId="42063451" w:rsidR="00255D07" w:rsidRPr="00255D07" w:rsidRDefault="00255D07" w:rsidP="00255D07">
            <w:pPr>
              <w:rPr>
                <w:rFonts w:cs="Arial"/>
              </w:rPr>
            </w:pPr>
            <w:r w:rsidRPr="00255D07">
              <w:t>Редки</w:t>
            </w:r>
          </w:p>
        </w:tc>
        <w:tc>
          <w:tcPr>
            <w:tcW w:w="3167" w:type="dxa"/>
          </w:tcPr>
          <w:p w14:paraId="7E305442" w14:textId="0311E085" w:rsidR="00255D07" w:rsidRPr="00255D07" w:rsidRDefault="00255D07" w:rsidP="00255D07">
            <w:pPr>
              <w:rPr>
                <w:rFonts w:cs="Arial"/>
              </w:rPr>
            </w:pPr>
            <w:r w:rsidRPr="00255D07">
              <w:t>Астения</w:t>
            </w:r>
          </w:p>
        </w:tc>
      </w:tr>
    </w:tbl>
    <w:p w14:paraId="1F6199B4" w14:textId="4F92A1A0" w:rsidR="00255D07" w:rsidRPr="00255D07" w:rsidRDefault="00255D07" w:rsidP="00255D07">
      <w:pPr>
        <w:spacing w:line="240" w:lineRule="auto"/>
        <w:rPr>
          <w:rFonts w:eastAsia="Times New Roman" w:cs="Arial"/>
          <w:lang w:eastAsia="bg-BG"/>
        </w:rPr>
      </w:pPr>
      <w:r w:rsidRPr="00255D07">
        <w:rPr>
          <w:rFonts w:eastAsia="Times New Roman" w:cs="Arial"/>
          <w:color w:val="000000"/>
          <w:u w:val="single"/>
          <w:lang w:eastAsia="bg-BG"/>
        </w:rPr>
        <w:t>Съобщаване на подозирани нежелани реакции</w:t>
      </w:r>
    </w:p>
    <w:p w14:paraId="339A0831" w14:textId="7E525C63" w:rsidR="00255D07" w:rsidRPr="00255D07" w:rsidRDefault="00255D07" w:rsidP="00255D07">
      <w:pPr>
        <w:rPr>
          <w:rFonts w:eastAsia="Times New Roman" w:cs="Arial"/>
          <w:lang w:eastAsia="bg-BG"/>
        </w:rPr>
      </w:pPr>
      <w:r w:rsidRPr="00255D07">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„Дамян Груев” № 8,1303 София, тел.: +35 928903417, уебсайт: </w:t>
      </w:r>
      <w:r w:rsidRPr="00255D07">
        <w:rPr>
          <w:rFonts w:eastAsia="Times New Roman" w:cs="Arial"/>
          <w:lang w:eastAsia="bg-BG"/>
        </w:rPr>
        <w:fldChar w:fldCharType="begin"/>
      </w:r>
      <w:r w:rsidRPr="00255D07">
        <w:rPr>
          <w:rFonts w:eastAsia="Times New Roman" w:cs="Arial"/>
          <w:lang w:eastAsia="bg-BG"/>
        </w:rPr>
        <w:instrText xml:space="preserve"> HYPERLINK "http://www.bda.bg" </w:instrText>
      </w:r>
      <w:r w:rsidRPr="00255D07">
        <w:rPr>
          <w:rFonts w:eastAsia="Times New Roman" w:cs="Arial"/>
          <w:lang w:eastAsia="bg-BG"/>
        </w:rPr>
      </w:r>
      <w:r w:rsidRPr="00255D07">
        <w:rPr>
          <w:rFonts w:eastAsia="Times New Roman" w:cs="Arial"/>
          <w:lang w:eastAsia="bg-BG"/>
        </w:rPr>
        <w:fldChar w:fldCharType="separate"/>
      </w:r>
      <w:r w:rsidRPr="00255D07">
        <w:rPr>
          <w:rFonts w:eastAsia="Times New Roman" w:cs="Arial"/>
          <w:color w:val="000000"/>
          <w:u w:val="single"/>
          <w:lang w:val="en-US"/>
        </w:rPr>
        <w:t>www.bda.bg</w:t>
      </w:r>
      <w:r w:rsidRPr="00255D07">
        <w:rPr>
          <w:rFonts w:eastAsia="Times New Roman" w:cs="Arial"/>
          <w:lang w:eastAsia="bg-BG"/>
        </w:rPr>
        <w:fldChar w:fldCharType="end"/>
      </w:r>
    </w:p>
    <w:p w14:paraId="1ED43F71" w14:textId="77777777" w:rsidR="00255D07" w:rsidRPr="00255D07" w:rsidRDefault="00255D07" w:rsidP="00255D07">
      <w:pPr>
        <w:rPr>
          <w:rFonts w:cs="Arial"/>
        </w:rPr>
      </w:pPr>
    </w:p>
    <w:p w14:paraId="378A0F20" w14:textId="65582394" w:rsidR="001D095A" w:rsidRDefault="002C50EE" w:rsidP="00340E8D">
      <w:pPr>
        <w:pStyle w:val="Heading2"/>
      </w:pPr>
      <w:r>
        <w:t>4.9. Предозиране</w:t>
      </w:r>
    </w:p>
    <w:p w14:paraId="779BE529" w14:textId="77777777" w:rsidR="00255D07" w:rsidRDefault="00255D07" w:rsidP="00255D07"/>
    <w:p w14:paraId="2160186B" w14:textId="4B1FC077" w:rsidR="00255D07" w:rsidRPr="00255D07" w:rsidRDefault="00255D07" w:rsidP="00255D07">
      <w:r w:rsidRPr="00255D07">
        <w:t>Засега няма опит с предозиране, който да позволи определяне на последствията от предозирането или да предложи специфично лечение. Но след предозиране с лорноксикам може да се очаква да бъдат наблюдавани следните симптоми: гадене, повръщане, церебрални симптоми (замайване, нарушения на зрението). Тежките симптоми са атаксия, напредваща до кома и крампи, чернодробни и бъбречни увреждания, и потенциални нарушения на коагулацията, също може да настъпят.</w:t>
      </w:r>
    </w:p>
    <w:p w14:paraId="15A48351" w14:textId="77777777" w:rsidR="00255D07" w:rsidRPr="00255D07" w:rsidRDefault="00255D07" w:rsidP="00255D07"/>
    <w:p w14:paraId="54311933" w14:textId="18CAAA37" w:rsidR="00255D07" w:rsidRPr="00255D07" w:rsidRDefault="00255D07" w:rsidP="00255D07">
      <w:pPr>
        <w:rPr>
          <w:sz w:val="24"/>
          <w:szCs w:val="24"/>
        </w:rPr>
      </w:pPr>
      <w:r w:rsidRPr="00255D07">
        <w:t xml:space="preserve">В случай на реално предозиране или съмнение за такова, лечението с лекарствено средство трябва  да бъде спряно. Поради краткия си полуживот, лорноксикам се отделя бързо. Лорноксикам не се  диализира. До днес не е известен специфичен антидот. Трябва да се имат предвид обичайните спешни мерки. Според правилата, само прилагането на активен въглен веглен веднага след приема на лорноксикам може да доведе до намалена </w:t>
      </w:r>
      <w:r w:rsidRPr="00255D07">
        <w:lastRenderedPageBreak/>
        <w:t>резорбция на продукта. Стомашно-чревните нарушения</w:t>
      </w:r>
      <w:r w:rsidRPr="00255D07">
        <w:t xml:space="preserve"> </w:t>
      </w:r>
      <w:r w:rsidRPr="00255D07">
        <w:t>например могат да бъдат лекувани с простагландинов аналог или ранитидин.</w:t>
      </w:r>
    </w:p>
    <w:p w14:paraId="02081B24" w14:textId="36FE76F4" w:rsidR="00395555" w:rsidRPr="00395555" w:rsidRDefault="002C50EE" w:rsidP="008A6AF2">
      <w:pPr>
        <w:pStyle w:val="Heading1"/>
      </w:pPr>
      <w:r>
        <w:t>5. ФАРМАКОЛОГИЧНИ СВОЙСТВА</w:t>
      </w:r>
    </w:p>
    <w:p w14:paraId="7F6CC5E1" w14:textId="38E92AEC" w:rsidR="00F62E44" w:rsidRDefault="002C50EE" w:rsidP="00387A66">
      <w:pPr>
        <w:pStyle w:val="Heading2"/>
      </w:pPr>
      <w:r>
        <w:t>5.1. Фармакодинамични свойства</w:t>
      </w:r>
    </w:p>
    <w:p w14:paraId="77D54C55" w14:textId="77777777" w:rsidR="00255D07" w:rsidRDefault="00255D07" w:rsidP="00255D07"/>
    <w:p w14:paraId="5032066F"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Фармакотерапевтична група: противовъзпалителни и антиревматични лекарства, нестероиди, оксиками, АТС код: </w:t>
      </w:r>
      <w:r w:rsidRPr="00255D07">
        <w:rPr>
          <w:rFonts w:eastAsia="Times New Roman" w:cs="Arial"/>
          <w:color w:val="000000"/>
          <w:lang w:val="en-US"/>
        </w:rPr>
        <w:t>M01</w:t>
      </w:r>
      <w:r w:rsidRPr="00255D07">
        <w:rPr>
          <w:rFonts w:eastAsia="Times New Roman" w:cs="Arial"/>
          <w:color w:val="000000"/>
          <w:lang w:eastAsia="bg-BG"/>
        </w:rPr>
        <w:t>АС05.</w:t>
      </w:r>
      <w:r w:rsidRPr="00255D07">
        <w:rPr>
          <w:rFonts w:eastAsia="Times New Roman" w:cs="Arial"/>
          <w:color w:val="000000"/>
          <w:lang w:eastAsia="bg-BG"/>
        </w:rPr>
        <w:tab/>
      </w:r>
    </w:p>
    <w:p w14:paraId="6B9998E6" w14:textId="77777777" w:rsidR="00255D07" w:rsidRPr="00255D07" w:rsidRDefault="00255D07" w:rsidP="00255D07">
      <w:pPr>
        <w:spacing w:line="240" w:lineRule="auto"/>
        <w:rPr>
          <w:rFonts w:eastAsia="Times New Roman" w:cs="Arial"/>
          <w:color w:val="000000"/>
          <w:u w:val="single"/>
          <w:lang w:eastAsia="bg-BG"/>
        </w:rPr>
      </w:pPr>
    </w:p>
    <w:p w14:paraId="2A2DC01E" w14:textId="57F4F64C"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Механизъм на действие</w:t>
      </w:r>
    </w:p>
    <w:p w14:paraId="3830190A"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Лорноксикам е нестероидно противовъзпалително лекарство с аналгетични свойства, което принадлежи към класа на оксикамите. Начинът на действие на лорноксикама се свързва главно с инхибирането на простагландиновия синтез (инхибиране на ензима циклооксигеназа), което води до десензибилизиране на периферните ноцицептори и последващо инхибиране на възпалението.Предполага се и централен ефект върху ноцицепцията, който изглежда е независим от противовъзпалителните ефекти.</w:t>
      </w:r>
    </w:p>
    <w:p w14:paraId="4DA670E2" w14:textId="77777777" w:rsidR="00255D07" w:rsidRPr="00255D07" w:rsidRDefault="00255D07" w:rsidP="00255D07">
      <w:pPr>
        <w:spacing w:line="240" w:lineRule="auto"/>
        <w:rPr>
          <w:rFonts w:eastAsia="Times New Roman" w:cs="Arial"/>
          <w:color w:val="000000"/>
          <w:u w:val="single"/>
          <w:lang w:eastAsia="bg-BG"/>
        </w:rPr>
      </w:pPr>
    </w:p>
    <w:p w14:paraId="283D5BD1" w14:textId="7E8BA0D8"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Фармакодинамични ефекти</w:t>
      </w:r>
    </w:p>
    <w:p w14:paraId="54F829D4"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Лорноксикам не повлиява показателите на жизнените функции (напр., телесна температура, честота на дишане, сърдечна честота, кръвно налягане, ЕКГ, спирометрия).</w:t>
      </w:r>
    </w:p>
    <w:p w14:paraId="54CDC1E9" w14:textId="77777777" w:rsidR="00255D07" w:rsidRPr="00255D07" w:rsidRDefault="00255D07" w:rsidP="00255D07">
      <w:pPr>
        <w:spacing w:line="240" w:lineRule="auto"/>
        <w:rPr>
          <w:rFonts w:eastAsia="Times New Roman" w:cs="Arial"/>
          <w:color w:val="000000"/>
          <w:u w:val="single"/>
          <w:lang w:eastAsia="bg-BG"/>
        </w:rPr>
      </w:pPr>
    </w:p>
    <w:p w14:paraId="4F69A01A" w14:textId="05457608"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Клинична ефикасност и безопасност</w:t>
      </w:r>
    </w:p>
    <w:p w14:paraId="222FE97A"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Аналгетичните свойства на лорноксикам са доказани успешно в няколко клинични изпитвания по време на разработването на лекарството.</w:t>
      </w:r>
    </w:p>
    <w:p w14:paraId="231CB39B" w14:textId="7494D98A"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Поради локалното стомашно-чревно дразнене и системния улцерогенен ефект, свързан с инхибирането на простагландиновия (РС)-синтез, стомашно-чревните последици са чести нежелани ефекти след лечение с лорноксикам, както и при другите НСПВС.</w:t>
      </w:r>
    </w:p>
    <w:p w14:paraId="38D94D88" w14:textId="77777777" w:rsidR="00255D07" w:rsidRPr="00255D07" w:rsidRDefault="00255D07" w:rsidP="00255D07">
      <w:pPr>
        <w:rPr>
          <w:rFonts w:eastAsia="Times New Roman" w:cs="Arial"/>
          <w:color w:val="000000"/>
          <w:lang w:eastAsia="bg-BG"/>
        </w:rPr>
      </w:pPr>
    </w:p>
    <w:p w14:paraId="07F858CB" w14:textId="478E4AD3" w:rsidR="00255D07" w:rsidRPr="00255D07" w:rsidRDefault="00255D07" w:rsidP="00255D07">
      <w:pPr>
        <w:rPr>
          <w:rFonts w:eastAsia="Times New Roman" w:cs="Arial"/>
          <w:color w:val="000000"/>
          <w:lang w:eastAsia="bg-BG"/>
        </w:rPr>
      </w:pPr>
      <w:r w:rsidRPr="00255D07">
        <w:rPr>
          <w:rFonts w:eastAsia="Times New Roman" w:cs="Arial"/>
          <w:color w:val="000000"/>
          <w:lang w:eastAsia="bg-BG"/>
        </w:rPr>
        <w:t xml:space="preserve">В клинично проучване при пациенти с болка след хирургично отстраняване на ретиниран трети молар, </w:t>
      </w:r>
      <w:proofErr w:type="spellStart"/>
      <w:r w:rsidRPr="00255D07">
        <w:rPr>
          <w:rFonts w:eastAsia="Times New Roman" w:cs="Arial"/>
          <w:color w:val="000000"/>
          <w:lang w:val="en-US"/>
        </w:rPr>
        <w:t>Lomoxicam</w:t>
      </w:r>
      <w:proofErr w:type="spellEnd"/>
      <w:r w:rsidRPr="00255D07">
        <w:rPr>
          <w:rFonts w:eastAsia="Times New Roman" w:cs="Arial"/>
          <w:color w:val="000000"/>
          <w:lang w:val="en-US"/>
        </w:rPr>
        <w:t xml:space="preserve"> Rapid </w:t>
      </w:r>
      <w:r w:rsidRPr="00255D07">
        <w:rPr>
          <w:rFonts w:eastAsia="Times New Roman" w:cs="Arial"/>
          <w:color w:val="000000"/>
          <w:lang w:eastAsia="bg-BG"/>
        </w:rPr>
        <w:t>филмирани таблетки е показал по-бързо начало на действие, в сравнение с лорноксикам филмирани таблетки.</w:t>
      </w:r>
    </w:p>
    <w:p w14:paraId="64B810B8" w14:textId="77777777" w:rsidR="00255D07" w:rsidRPr="00255D07" w:rsidRDefault="00255D07" w:rsidP="00255D07"/>
    <w:p w14:paraId="544FFDAF" w14:textId="64206E42" w:rsidR="00F62E44" w:rsidRDefault="002C50EE" w:rsidP="00387A66">
      <w:pPr>
        <w:pStyle w:val="Heading2"/>
      </w:pPr>
      <w:r>
        <w:t>5.2. Фармакокинетични свойства</w:t>
      </w:r>
    </w:p>
    <w:p w14:paraId="423DA0A6" w14:textId="77777777" w:rsidR="00255D07" w:rsidRDefault="00255D07" w:rsidP="00255D07"/>
    <w:p w14:paraId="1EEAE709"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Абсорбция</w:t>
      </w:r>
      <w:r w:rsidRPr="00255D07">
        <w:rPr>
          <w:rFonts w:eastAsia="Times New Roman" w:cs="Arial"/>
          <w:color w:val="000000"/>
          <w:lang w:eastAsia="bg-BG"/>
        </w:rPr>
        <w:tab/>
      </w:r>
    </w:p>
    <w:p w14:paraId="34AE11AC"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Лорноксикам се резорбира бързо и почти напълно от стомашно-чревния тракт. Максимални плазмени концентрации се достигат след около 30 минути. С</w:t>
      </w:r>
      <w:r w:rsidRPr="00255D07">
        <w:rPr>
          <w:rFonts w:eastAsia="Times New Roman" w:cs="Arial"/>
          <w:color w:val="000000"/>
          <w:vertAlign w:val="subscript"/>
          <w:lang w:val="en-US"/>
        </w:rPr>
        <w:t>max</w:t>
      </w:r>
      <w:r w:rsidRPr="00255D07">
        <w:rPr>
          <w:rFonts w:eastAsia="Times New Roman" w:cs="Arial"/>
          <w:color w:val="000000"/>
          <w:lang w:val="en-US"/>
        </w:rPr>
        <w:t xml:space="preserve"> </w:t>
      </w:r>
      <w:r w:rsidRPr="00255D07">
        <w:rPr>
          <w:rFonts w:eastAsia="Times New Roman" w:cs="Arial"/>
          <w:color w:val="000000"/>
          <w:lang w:eastAsia="bg-BG"/>
        </w:rPr>
        <w:t xml:space="preserve">на </w:t>
      </w:r>
      <w:proofErr w:type="spellStart"/>
      <w:r w:rsidRPr="00255D07">
        <w:rPr>
          <w:rFonts w:eastAsia="Times New Roman" w:cs="Arial"/>
          <w:color w:val="000000"/>
          <w:lang w:val="en-US"/>
        </w:rPr>
        <w:t>Xefo</w:t>
      </w:r>
      <w:proofErr w:type="spellEnd"/>
      <w:r w:rsidRPr="00255D07">
        <w:rPr>
          <w:rFonts w:eastAsia="Times New Roman" w:cs="Arial"/>
          <w:color w:val="000000"/>
          <w:lang w:val="en-US"/>
        </w:rPr>
        <w:t xml:space="preserve"> Rapid </w:t>
      </w:r>
      <w:r w:rsidRPr="00255D07">
        <w:rPr>
          <w:rFonts w:eastAsia="Times New Roman" w:cs="Arial"/>
          <w:color w:val="000000"/>
          <w:lang w:eastAsia="bg-BG"/>
        </w:rPr>
        <w:t xml:space="preserve">8 </w:t>
      </w:r>
      <w:r w:rsidRPr="00255D07">
        <w:rPr>
          <w:rFonts w:eastAsia="Times New Roman" w:cs="Arial"/>
          <w:color w:val="000000"/>
          <w:lang w:val="en-US"/>
        </w:rPr>
        <w:t xml:space="preserve">mg </w:t>
      </w:r>
      <w:r w:rsidRPr="00255D07">
        <w:rPr>
          <w:rFonts w:eastAsia="Times New Roman" w:cs="Arial"/>
          <w:color w:val="000000"/>
          <w:lang w:eastAsia="bg-BG"/>
        </w:rPr>
        <w:t>филмирани таблетки е по- висока от С</w:t>
      </w:r>
      <w:r w:rsidRPr="00255D07">
        <w:rPr>
          <w:rFonts w:eastAsia="Times New Roman" w:cs="Arial"/>
          <w:color w:val="000000"/>
          <w:vertAlign w:val="subscript"/>
          <w:lang w:val="en-US"/>
        </w:rPr>
        <w:t>m</w:t>
      </w:r>
      <w:r w:rsidRPr="00255D07">
        <w:rPr>
          <w:rFonts w:eastAsia="Times New Roman" w:cs="Arial"/>
          <w:color w:val="000000"/>
          <w:vertAlign w:val="subscript"/>
          <w:lang w:eastAsia="bg-BG"/>
        </w:rPr>
        <w:t>ах</w:t>
      </w:r>
      <w:r w:rsidRPr="00255D07">
        <w:rPr>
          <w:rFonts w:eastAsia="Times New Roman" w:cs="Arial"/>
          <w:color w:val="000000"/>
          <w:lang w:eastAsia="bg-BG"/>
        </w:rPr>
        <w:t xml:space="preserve"> на </w:t>
      </w:r>
      <w:proofErr w:type="spellStart"/>
      <w:r w:rsidRPr="00255D07">
        <w:rPr>
          <w:rFonts w:eastAsia="Times New Roman" w:cs="Arial"/>
          <w:color w:val="000000"/>
          <w:lang w:val="en-US"/>
        </w:rPr>
        <w:t>Xefo</w:t>
      </w:r>
      <w:proofErr w:type="spellEnd"/>
      <w:r w:rsidRPr="00255D07">
        <w:rPr>
          <w:rFonts w:eastAsia="Times New Roman" w:cs="Arial"/>
          <w:color w:val="000000"/>
          <w:lang w:val="en-US"/>
        </w:rPr>
        <w:t xml:space="preserve"> </w:t>
      </w:r>
      <w:r w:rsidRPr="00255D07">
        <w:rPr>
          <w:rFonts w:eastAsia="Times New Roman" w:cs="Arial"/>
          <w:color w:val="000000"/>
          <w:lang w:eastAsia="bg-BG"/>
        </w:rPr>
        <w:t>филмирани таблетки и е равна на С</w:t>
      </w:r>
      <w:r w:rsidRPr="00255D07">
        <w:rPr>
          <w:rFonts w:eastAsia="Times New Roman" w:cs="Arial"/>
          <w:color w:val="000000"/>
          <w:vertAlign w:val="subscript"/>
          <w:lang w:val="en-US"/>
        </w:rPr>
        <w:t>m</w:t>
      </w:r>
      <w:r w:rsidRPr="00255D07">
        <w:rPr>
          <w:rFonts w:eastAsia="Times New Roman" w:cs="Arial"/>
          <w:color w:val="000000"/>
          <w:vertAlign w:val="subscript"/>
          <w:lang w:eastAsia="bg-BG"/>
        </w:rPr>
        <w:t>ах</w:t>
      </w:r>
      <w:r w:rsidRPr="00255D07">
        <w:rPr>
          <w:rFonts w:eastAsia="Times New Roman" w:cs="Arial"/>
          <w:color w:val="000000"/>
          <w:lang w:eastAsia="bg-BG"/>
        </w:rPr>
        <w:t xml:space="preserve"> на парентералната форма лорноксикам. Абсолютната бионаличност на </w:t>
      </w:r>
      <w:proofErr w:type="spellStart"/>
      <w:r w:rsidRPr="00255D07">
        <w:rPr>
          <w:rFonts w:eastAsia="Times New Roman" w:cs="Arial"/>
          <w:color w:val="000000"/>
          <w:lang w:val="en-US"/>
        </w:rPr>
        <w:t>Xefo</w:t>
      </w:r>
      <w:proofErr w:type="spellEnd"/>
      <w:r w:rsidRPr="00255D07">
        <w:rPr>
          <w:rFonts w:eastAsia="Times New Roman" w:cs="Arial"/>
          <w:color w:val="000000"/>
          <w:lang w:val="en-US"/>
        </w:rPr>
        <w:t xml:space="preserve"> Rapid </w:t>
      </w:r>
      <w:r w:rsidRPr="00255D07">
        <w:rPr>
          <w:rFonts w:eastAsia="Times New Roman" w:cs="Arial"/>
          <w:color w:val="000000"/>
          <w:lang w:eastAsia="bg-BG"/>
        </w:rPr>
        <w:t xml:space="preserve">филмирани таблетки е 90-100% и е евкивалентна на </w:t>
      </w:r>
      <w:proofErr w:type="spellStart"/>
      <w:r w:rsidRPr="00255D07">
        <w:rPr>
          <w:rFonts w:eastAsia="Times New Roman" w:cs="Arial"/>
          <w:color w:val="000000"/>
          <w:lang w:val="en-US"/>
        </w:rPr>
        <w:t>Xefo</w:t>
      </w:r>
      <w:proofErr w:type="spellEnd"/>
      <w:r w:rsidRPr="00255D07">
        <w:rPr>
          <w:rFonts w:eastAsia="Times New Roman" w:cs="Arial"/>
          <w:color w:val="000000"/>
          <w:lang w:val="en-US"/>
        </w:rPr>
        <w:t xml:space="preserve"> </w:t>
      </w:r>
      <w:r w:rsidRPr="00255D07">
        <w:rPr>
          <w:rFonts w:eastAsia="Times New Roman" w:cs="Arial"/>
          <w:color w:val="000000"/>
          <w:lang w:eastAsia="bg-BG"/>
        </w:rPr>
        <w:t>филмирани таблетки. Не се наблюдава ефект на първо преминаване през черния дроб.</w:t>
      </w:r>
    </w:p>
    <w:p w14:paraId="2F035FF6" w14:textId="77777777" w:rsidR="00255D07" w:rsidRPr="00255D07" w:rsidRDefault="00255D07" w:rsidP="00255D07">
      <w:pPr>
        <w:spacing w:line="240" w:lineRule="auto"/>
        <w:rPr>
          <w:rFonts w:eastAsia="Times New Roman" w:cs="Arial"/>
          <w:color w:val="000000"/>
          <w:lang w:eastAsia="bg-BG"/>
        </w:rPr>
      </w:pPr>
    </w:p>
    <w:p w14:paraId="14E8BF51" w14:textId="69564E36"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Няма данни за едновременното приемане на </w:t>
      </w:r>
      <w:proofErr w:type="spellStart"/>
      <w:r w:rsidRPr="00255D07">
        <w:rPr>
          <w:rFonts w:eastAsia="Times New Roman" w:cs="Arial"/>
          <w:color w:val="000000"/>
          <w:lang w:val="en-US"/>
        </w:rPr>
        <w:t>Xefo</w:t>
      </w:r>
      <w:proofErr w:type="spellEnd"/>
      <w:r w:rsidRPr="00255D07">
        <w:rPr>
          <w:rFonts w:eastAsia="Times New Roman" w:cs="Arial"/>
          <w:color w:val="000000"/>
          <w:lang w:val="en-US"/>
        </w:rPr>
        <w:t xml:space="preserve"> Rapid </w:t>
      </w:r>
      <w:r w:rsidRPr="00255D07">
        <w:rPr>
          <w:rFonts w:eastAsia="Times New Roman" w:cs="Arial"/>
          <w:color w:val="000000"/>
          <w:lang w:eastAsia="bg-BG"/>
        </w:rPr>
        <w:t xml:space="preserve">8 </w:t>
      </w:r>
      <w:r w:rsidRPr="00255D07">
        <w:rPr>
          <w:rFonts w:eastAsia="Times New Roman" w:cs="Arial"/>
          <w:color w:val="000000"/>
          <w:lang w:val="en-US"/>
        </w:rPr>
        <w:t xml:space="preserve">mg </w:t>
      </w:r>
      <w:r w:rsidRPr="00255D07">
        <w:rPr>
          <w:rFonts w:eastAsia="Times New Roman" w:cs="Arial"/>
          <w:color w:val="000000"/>
          <w:lang w:eastAsia="bg-BG"/>
        </w:rPr>
        <w:t xml:space="preserve">филмирани таблетки с храна, но въз основа на данните за </w:t>
      </w:r>
      <w:proofErr w:type="spellStart"/>
      <w:r w:rsidRPr="00255D07">
        <w:rPr>
          <w:rFonts w:eastAsia="Times New Roman" w:cs="Arial"/>
          <w:color w:val="000000"/>
          <w:lang w:val="en-US"/>
        </w:rPr>
        <w:t>Xefo</w:t>
      </w:r>
      <w:proofErr w:type="spellEnd"/>
      <w:r w:rsidRPr="00255D07">
        <w:rPr>
          <w:rFonts w:eastAsia="Times New Roman" w:cs="Arial"/>
          <w:color w:val="000000"/>
          <w:lang w:val="en-US"/>
        </w:rPr>
        <w:t xml:space="preserve"> </w:t>
      </w:r>
      <w:r w:rsidRPr="00255D07">
        <w:rPr>
          <w:rFonts w:eastAsia="Times New Roman" w:cs="Arial"/>
          <w:color w:val="000000"/>
          <w:lang w:eastAsia="bg-BG"/>
        </w:rPr>
        <w:t>филмирани таблетки, може да се очаква намаляване на С</w:t>
      </w:r>
      <w:r w:rsidRPr="00255D07">
        <w:rPr>
          <w:rFonts w:eastAsia="Times New Roman" w:cs="Arial"/>
          <w:color w:val="000000"/>
          <w:vertAlign w:val="subscript"/>
          <w:lang w:val="en-US"/>
        </w:rPr>
        <w:t>max</w:t>
      </w:r>
      <w:r w:rsidRPr="00255D07">
        <w:rPr>
          <w:rFonts w:eastAsia="Times New Roman" w:cs="Arial"/>
          <w:color w:val="000000"/>
          <w:lang w:eastAsia="bg-BG"/>
        </w:rPr>
        <w:t xml:space="preserve"> повишаване на Ттах и намаляване на резорбцията </w:t>
      </w:r>
      <w:r w:rsidRPr="00255D07">
        <w:rPr>
          <w:rFonts w:eastAsia="Times New Roman" w:cs="Arial"/>
          <w:color w:val="000000"/>
          <w:lang w:val="en-US"/>
        </w:rPr>
        <w:t xml:space="preserve">(AUC) </w:t>
      </w:r>
      <w:r w:rsidRPr="00255D07">
        <w:rPr>
          <w:rFonts w:eastAsia="Times New Roman" w:cs="Arial"/>
          <w:color w:val="000000"/>
          <w:lang w:eastAsia="bg-BG"/>
        </w:rPr>
        <w:t>на лорноксикам.</w:t>
      </w:r>
    </w:p>
    <w:p w14:paraId="4DAFB8EE" w14:textId="77777777" w:rsidR="00255D07" w:rsidRPr="00255D07" w:rsidRDefault="00255D07" w:rsidP="00255D07">
      <w:pPr>
        <w:spacing w:line="240" w:lineRule="auto"/>
        <w:rPr>
          <w:rFonts w:eastAsia="Times New Roman" w:cs="Arial"/>
          <w:color w:val="000000"/>
          <w:u w:val="single"/>
          <w:lang w:eastAsia="bg-BG"/>
        </w:rPr>
      </w:pPr>
    </w:p>
    <w:p w14:paraId="40003302" w14:textId="3EBC0244"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Разпределение</w:t>
      </w:r>
    </w:p>
    <w:p w14:paraId="62B1B07C"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lastRenderedPageBreak/>
        <w:t>Лорноксикам се открива в плазмата в непроменен вид и като неговия хидроксилиран метаболит.</w:t>
      </w:r>
    </w:p>
    <w:p w14:paraId="55CC804E"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Свързването на лорноксикам с плазмените протеини е 99 % и не зависи от концентрацията.</w:t>
      </w:r>
    </w:p>
    <w:p w14:paraId="751EB581" w14:textId="21630276" w:rsidR="00255D07" w:rsidRPr="00255D07" w:rsidRDefault="00255D07" w:rsidP="00255D07">
      <w:pPr>
        <w:rPr>
          <w:rFonts w:eastAsia="Times New Roman" w:cs="Arial"/>
          <w:color w:val="000000"/>
          <w:lang w:eastAsia="bg-BG"/>
        </w:rPr>
      </w:pPr>
      <w:r w:rsidRPr="00255D07">
        <w:rPr>
          <w:rFonts w:eastAsia="Times New Roman" w:cs="Arial"/>
          <w:color w:val="000000"/>
          <w:lang w:eastAsia="bg-BG"/>
        </w:rPr>
        <w:t>Лорноксикам също е открит в синовиалната течност при многократно дозиране.</w:t>
      </w:r>
    </w:p>
    <w:p w14:paraId="20654AFC" w14:textId="77777777" w:rsidR="00255D07" w:rsidRPr="00255D07" w:rsidRDefault="00255D07" w:rsidP="00255D07">
      <w:pPr>
        <w:rPr>
          <w:rFonts w:eastAsia="Times New Roman" w:cs="Arial"/>
          <w:color w:val="000000"/>
          <w:lang w:eastAsia="bg-BG"/>
        </w:rPr>
      </w:pPr>
    </w:p>
    <w:p w14:paraId="7B480FBD"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Биотрансформация</w:t>
      </w:r>
    </w:p>
    <w:p w14:paraId="395EA91D" w14:textId="77777777" w:rsidR="00255D07" w:rsidRPr="00255D07" w:rsidRDefault="00255D07" w:rsidP="00255D07">
      <w:pPr>
        <w:rPr>
          <w:rFonts w:eastAsia="Times New Roman" w:cs="Arial"/>
          <w:sz w:val="28"/>
          <w:szCs w:val="28"/>
          <w:lang w:eastAsia="bg-BG"/>
        </w:rPr>
      </w:pPr>
      <w:r w:rsidRPr="00255D07">
        <w:rPr>
          <w:rFonts w:eastAsia="Times New Roman" w:cs="Arial"/>
          <w:color w:val="000000"/>
          <w:lang w:eastAsia="bg-BG"/>
        </w:rPr>
        <w:t xml:space="preserve">Лорноксикам се метаболизира екстензивно в черния дроб, предимно до неактивния 5- хидроксилорноксикам, посредством хидроксилиране. В биотрансформацията на лорноксикам взима участие </w:t>
      </w:r>
      <w:r w:rsidRPr="00255D07">
        <w:rPr>
          <w:rFonts w:eastAsia="Times New Roman" w:cs="Arial"/>
          <w:color w:val="000000"/>
          <w:lang w:val="en-US"/>
        </w:rPr>
        <w:t xml:space="preserve">CYP2C9. </w:t>
      </w:r>
      <w:r w:rsidRPr="00255D07">
        <w:rPr>
          <w:rFonts w:eastAsia="Times New Roman" w:cs="Arial"/>
          <w:color w:val="000000"/>
          <w:lang w:eastAsia="bg-BG"/>
        </w:rPr>
        <w:t>Поради генетичния полиморфизъм, има бавни и бързи метаболизатори на този ензим, което би могло да доведе до подчертано повишени плазмени нива на лорноксикам при бавните метаболизатори. Хидроксилираният метаболит не показва фармакологична активност. Лорноксикам се метаболизира напълно, като приблизително 2/3 се отделят чрез черния дроб и 1/3 чрез бъбреците</w:t>
      </w:r>
      <w:r w:rsidRPr="00255D07">
        <w:rPr>
          <w:rFonts w:eastAsia="Times New Roman" w:cs="Arial"/>
          <w:color w:val="000000"/>
          <w:lang w:eastAsia="bg-BG"/>
        </w:rPr>
        <w:t xml:space="preserve"> </w:t>
      </w:r>
      <w:r w:rsidRPr="00255D07">
        <w:rPr>
          <w:rFonts w:eastAsia="Times New Roman" w:cs="Arial"/>
          <w:color w:val="000000"/>
          <w:lang w:eastAsia="bg-BG"/>
        </w:rPr>
        <w:t>като неактивно вещество.</w:t>
      </w:r>
    </w:p>
    <w:p w14:paraId="64B81A18" w14:textId="77777777" w:rsidR="00255D07" w:rsidRPr="00255D07" w:rsidRDefault="00255D07" w:rsidP="00255D07">
      <w:pPr>
        <w:spacing w:line="240" w:lineRule="auto"/>
        <w:rPr>
          <w:rFonts w:eastAsia="Times New Roman" w:cs="Arial"/>
          <w:color w:val="000000"/>
          <w:lang w:eastAsia="bg-BG"/>
        </w:rPr>
      </w:pPr>
    </w:p>
    <w:p w14:paraId="7F8AA049" w14:textId="3A72E496"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Когато е изследван при животински модели, лорноксикам не е индуцирал чернодробните ензими. Данните от клиничните изпитвания не дават доказателства за кумулиране на лорноксикам при многократно приложение, когато се спазват препоръчваните дози. Това се потвърждава от данните за проследяване на лекарството при едногодишните проучвания.</w:t>
      </w:r>
    </w:p>
    <w:p w14:paraId="7A1F0F17" w14:textId="77777777" w:rsidR="00255D07" w:rsidRPr="00255D07" w:rsidRDefault="00255D07" w:rsidP="00255D07">
      <w:pPr>
        <w:spacing w:line="240" w:lineRule="auto"/>
        <w:rPr>
          <w:rFonts w:eastAsia="Times New Roman" w:cs="Arial"/>
          <w:color w:val="000000"/>
          <w:u w:val="single"/>
          <w:lang w:eastAsia="bg-BG"/>
        </w:rPr>
      </w:pPr>
    </w:p>
    <w:p w14:paraId="04342029" w14:textId="1B0A6DB2"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u w:val="single"/>
          <w:lang w:eastAsia="bg-BG"/>
        </w:rPr>
        <w:t>Елиминиране</w:t>
      </w:r>
    </w:p>
    <w:p w14:paraId="5EC28050"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След перорално приложение около 50% се отделя с фекалиите и 42% през бъбреците, главно като 5- хидроксилорноксикам. Елиминационният полуживот на 5-хидроксилорноксикам е прибилзигелно 9 часа след парентерална доза веднъж или два пъти дневно. При пациенти в старческа възраст над 65 годни, клирънсьт е намален с 30-40 %. Освен намаления клирънс, при по-възрастните пациенти няма значима промяна в кинетичния профил на лорноксикам. Няма данни за промени в скоростта на елиминиране при многократно дозиране.</w:t>
      </w:r>
      <w:r w:rsidRPr="00255D07">
        <w:rPr>
          <w:rFonts w:eastAsia="Times New Roman" w:cs="Arial"/>
          <w:color w:val="000000"/>
          <w:lang w:eastAsia="bg-BG"/>
        </w:rPr>
        <w:tab/>
      </w:r>
    </w:p>
    <w:p w14:paraId="6288F02D" w14:textId="77777777" w:rsidR="00255D07" w:rsidRPr="00255D07" w:rsidRDefault="00255D07" w:rsidP="00255D07">
      <w:pPr>
        <w:spacing w:line="240" w:lineRule="auto"/>
        <w:rPr>
          <w:rFonts w:eastAsia="Times New Roman" w:cs="Arial"/>
          <w:color w:val="000000"/>
          <w:lang w:eastAsia="bg-BG"/>
        </w:rPr>
      </w:pPr>
    </w:p>
    <w:p w14:paraId="66C15879" w14:textId="1492E5DC"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При пациентите с бъбречна или чернодробна недостатъчност няма значима промяна в кинетичния профил на лорноксикам, освен кумулирането при пациенти с хронично чернодробно заболяване след 7-ия ден от лечението при дневни дози от 12 и 16 </w:t>
      </w:r>
      <w:r w:rsidRPr="00255D07">
        <w:rPr>
          <w:rFonts w:eastAsia="Times New Roman" w:cs="Arial"/>
          <w:color w:val="000000"/>
          <w:lang w:val="en-US"/>
        </w:rPr>
        <w:t>mg.</w:t>
      </w:r>
    </w:p>
    <w:p w14:paraId="31FE1160" w14:textId="77777777" w:rsidR="00255D07" w:rsidRPr="00255D07" w:rsidRDefault="00255D07" w:rsidP="00255D07"/>
    <w:p w14:paraId="6925FEB0" w14:textId="4B32C19A" w:rsidR="00F62E44" w:rsidRDefault="002C50EE" w:rsidP="00387A66">
      <w:pPr>
        <w:pStyle w:val="Heading2"/>
      </w:pPr>
      <w:r>
        <w:t>5.3. Предклинични данни за безопасност</w:t>
      </w:r>
    </w:p>
    <w:p w14:paraId="22A3F601" w14:textId="77777777" w:rsidR="00255D07" w:rsidRDefault="00255D07" w:rsidP="00255D07"/>
    <w:p w14:paraId="3185523B"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Неклиничните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приложение, генотоксичност и карциногенен потенциал.</w:t>
      </w:r>
    </w:p>
    <w:p w14:paraId="7B8F9B5D" w14:textId="77777777" w:rsidR="00255D07" w:rsidRPr="00255D07" w:rsidRDefault="00255D07" w:rsidP="00255D07">
      <w:pPr>
        <w:spacing w:line="240" w:lineRule="auto"/>
        <w:rPr>
          <w:rFonts w:eastAsia="Times New Roman" w:cs="Arial"/>
          <w:color w:val="000000"/>
          <w:lang w:eastAsia="bg-BG"/>
        </w:rPr>
      </w:pPr>
    </w:p>
    <w:p w14:paraId="62B08250" w14:textId="52FE299F"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При проучвания за токсичност при еднократно и многократно прилагане, лорноксикам е причинявал бъбречна токсичност и стомашно-чревно разязвяване при няколко биологични вида.</w:t>
      </w:r>
    </w:p>
    <w:p w14:paraId="21DEBF13" w14:textId="77777777" w:rsidR="00255D07" w:rsidRPr="00255D07" w:rsidRDefault="00255D07" w:rsidP="00255D07">
      <w:pPr>
        <w:spacing w:line="240" w:lineRule="auto"/>
        <w:rPr>
          <w:rFonts w:eastAsia="Times New Roman" w:cs="Arial"/>
          <w:color w:val="000000"/>
          <w:lang w:eastAsia="bg-BG"/>
        </w:rPr>
      </w:pPr>
    </w:p>
    <w:p w14:paraId="288431F2" w14:textId="4F48407C"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 xml:space="preserve">При плъхове лорноксикам уврежда фертилитета (ефекти върху овулацията и имплантацията) и повлиява бременността и раждането. При зайци и плъхове лорноксикам причинява преждевременно затваряне на </w:t>
      </w:r>
      <w:r w:rsidRPr="00255D07">
        <w:rPr>
          <w:rFonts w:eastAsia="Times New Roman" w:cs="Arial"/>
          <w:color w:val="000000"/>
          <w:lang w:val="en-US"/>
        </w:rPr>
        <w:t xml:space="preserve">ductus arteriosus, </w:t>
      </w:r>
      <w:r w:rsidRPr="00255D07">
        <w:rPr>
          <w:rFonts w:eastAsia="Times New Roman" w:cs="Arial"/>
          <w:color w:val="000000"/>
          <w:lang w:eastAsia="bg-BG"/>
        </w:rPr>
        <w:t>поради инхибиране на циклооксигеназата.</w:t>
      </w:r>
    </w:p>
    <w:p w14:paraId="727CE68E" w14:textId="77777777" w:rsidR="00255D07" w:rsidRPr="00255D07" w:rsidRDefault="00255D07" w:rsidP="00255D07">
      <w:pPr>
        <w:spacing w:line="240" w:lineRule="auto"/>
        <w:rPr>
          <w:rFonts w:eastAsia="Times New Roman" w:cs="Arial"/>
          <w:sz w:val="28"/>
          <w:szCs w:val="28"/>
          <w:lang w:eastAsia="bg-BG"/>
        </w:rPr>
      </w:pPr>
    </w:p>
    <w:p w14:paraId="3CA5C707" w14:textId="77777777" w:rsidR="00255D07" w:rsidRPr="00255D07" w:rsidRDefault="00255D07" w:rsidP="00255D07">
      <w:pPr>
        <w:spacing w:line="240" w:lineRule="auto"/>
        <w:rPr>
          <w:rFonts w:eastAsia="Times New Roman" w:cs="Arial"/>
          <w:sz w:val="28"/>
          <w:szCs w:val="28"/>
          <w:lang w:eastAsia="bg-BG"/>
        </w:rPr>
      </w:pPr>
      <w:r w:rsidRPr="00255D07">
        <w:rPr>
          <w:rFonts w:eastAsia="Times New Roman" w:cs="Arial"/>
          <w:color w:val="000000"/>
          <w:lang w:eastAsia="bg-BG"/>
        </w:rPr>
        <w:t>При животни е доказано, че прилагането на инхибитори на простагландиновия синтез води до увеличени пре- и постимплантационна загуба и ембрио-фетален леталитет. В допълнение, има съобщения за повишена честота на различните малформации, включително сърдечносъдови, при животни, на които е даван инхибитор на простагландиновия синтез по време на периода на органогенезата.</w:t>
      </w:r>
    </w:p>
    <w:p w14:paraId="208D6319" w14:textId="77777777" w:rsidR="00255D07" w:rsidRPr="00255D07" w:rsidRDefault="00255D07" w:rsidP="00255D07"/>
    <w:p w14:paraId="357049A8" w14:textId="6CD46E4B" w:rsidR="00BB22B4" w:rsidRDefault="002C50EE" w:rsidP="00471F10">
      <w:pPr>
        <w:pStyle w:val="Heading1"/>
      </w:pPr>
      <w:r>
        <w:t>7. ПРИТЕЖАТЕЛ НА РАЗРЕШЕНИЕТО ЗА УПОТРЕБА</w:t>
      </w:r>
    </w:p>
    <w:p w14:paraId="5E746C2E" w14:textId="77777777" w:rsidR="00255D07" w:rsidRDefault="00255D07" w:rsidP="00255D07"/>
    <w:p w14:paraId="18DC81D8" w14:textId="77777777" w:rsidR="00255D07" w:rsidRPr="00255D07" w:rsidRDefault="00255D07" w:rsidP="00255D07">
      <w:pPr>
        <w:rPr>
          <w:sz w:val="24"/>
          <w:szCs w:val="24"/>
          <w:lang w:val="en-US" w:eastAsia="bg-BG"/>
        </w:rPr>
      </w:pPr>
      <w:r w:rsidRPr="00255D07">
        <w:rPr>
          <w:lang w:val="en-US"/>
        </w:rPr>
        <w:t>Takeda Austria GmbH,</w:t>
      </w:r>
    </w:p>
    <w:p w14:paraId="15808D07" w14:textId="5E6E04EF" w:rsidR="00255D07" w:rsidRPr="00255D07" w:rsidRDefault="00255D07" w:rsidP="00255D07">
      <w:r w:rsidRPr="00255D07">
        <w:rPr>
          <w:lang w:val="en-US"/>
        </w:rPr>
        <w:t xml:space="preserve">St-Peter 25, A - 4020 Linz, </w:t>
      </w:r>
      <w:r w:rsidRPr="00255D07">
        <w:rPr>
          <w:lang w:eastAsia="bg-BG"/>
        </w:rPr>
        <w:t>Австрия</w:t>
      </w:r>
    </w:p>
    <w:p w14:paraId="0A53321D" w14:textId="74FBD4FB" w:rsidR="00EE6C97" w:rsidRDefault="00936AD0" w:rsidP="00A93499">
      <w:pPr>
        <w:pStyle w:val="Heading1"/>
      </w:pPr>
      <w:r>
        <w:t>8.</w:t>
      </w:r>
      <w:r w:rsidR="002C50EE">
        <w:t>НОМЕР НА РАЗРЕШЕНИЕТО ЗА УПОТРЕБА</w:t>
      </w:r>
    </w:p>
    <w:p w14:paraId="4D850286" w14:textId="77777777" w:rsidR="00255D07" w:rsidRDefault="00255D07" w:rsidP="00255D07"/>
    <w:p w14:paraId="65FAD781" w14:textId="11F8D939" w:rsidR="00255D07" w:rsidRPr="00255D07" w:rsidRDefault="00255D07" w:rsidP="00255D07">
      <w:r>
        <w:rPr>
          <w:lang w:val="en-US"/>
        </w:rPr>
        <w:t>II</w:t>
      </w:r>
      <w:r>
        <w:t>-2722/29.03.2011</w:t>
      </w:r>
    </w:p>
    <w:p w14:paraId="7C2688F5" w14:textId="6D610EDF" w:rsidR="00F62E44" w:rsidRDefault="00F62E44" w:rsidP="00F62E44"/>
    <w:p w14:paraId="00481C21" w14:textId="753A12CC" w:rsidR="00F62E44" w:rsidRDefault="002C50EE" w:rsidP="00387A66">
      <w:pPr>
        <w:pStyle w:val="Heading1"/>
      </w:pPr>
      <w:r>
        <w:t>9. ДАТА НА ПЪРВО РАЗРЕШАВАНЕ/ПОДНОВЯВАНЕ НА РАЗРЕШЕНИЕТО ЗА УПОТРЕБА</w:t>
      </w:r>
    </w:p>
    <w:p w14:paraId="7D2B90E4" w14:textId="77777777" w:rsidR="00255D07" w:rsidRDefault="00255D07" w:rsidP="00255D07"/>
    <w:p w14:paraId="6CDCB2A9" w14:textId="77777777" w:rsidR="00255D07" w:rsidRPr="00255D07" w:rsidRDefault="00255D07" w:rsidP="00255D07">
      <w:pPr>
        <w:rPr>
          <w:sz w:val="24"/>
          <w:szCs w:val="24"/>
          <w:lang w:eastAsia="bg-BG"/>
        </w:rPr>
      </w:pPr>
      <w:r w:rsidRPr="00255D07">
        <w:rPr>
          <w:lang w:eastAsia="bg-BG"/>
        </w:rPr>
        <w:t>Дата на първо разрешаване: 28.05.2009 год.</w:t>
      </w:r>
    </w:p>
    <w:p w14:paraId="5A87258E" w14:textId="69BEED43" w:rsidR="00255D07" w:rsidRPr="00255D07" w:rsidRDefault="00255D07" w:rsidP="00255D07">
      <w:r w:rsidRPr="00255D07">
        <w:rPr>
          <w:lang w:eastAsia="bg-BG"/>
        </w:rPr>
        <w:t>Дата на последно подновяване: 29.03.2011 год.</w:t>
      </w:r>
    </w:p>
    <w:p w14:paraId="43FB38A2" w14:textId="0C18A683" w:rsidR="007C605B" w:rsidRDefault="002C50EE" w:rsidP="005726E3">
      <w:pPr>
        <w:pStyle w:val="Heading1"/>
      </w:pPr>
      <w:r>
        <w:t>10. ДАТА НА АКТУАЛИЗИРАНЕ НА ТЕКСТА</w:t>
      </w:r>
      <w:bookmarkEnd w:id="0"/>
    </w:p>
    <w:p w14:paraId="472617BD" w14:textId="0AC03F46" w:rsidR="00BB22B4" w:rsidRPr="00BB22B4" w:rsidRDefault="00255D07" w:rsidP="00255D07">
      <w:r>
        <w:t>01.2020</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0"/>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3"/>
  </w:num>
  <w:num w:numId="12" w16cid:durableId="1434934028">
    <w:abstractNumId w:val="16"/>
  </w:num>
  <w:num w:numId="13" w16cid:durableId="479157895">
    <w:abstractNumId w:val="22"/>
  </w:num>
  <w:num w:numId="14" w16cid:durableId="1670476636">
    <w:abstractNumId w:val="14"/>
  </w:num>
  <w:num w:numId="15" w16cid:durableId="1000155783">
    <w:abstractNumId w:val="32"/>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4"/>
  </w:num>
  <w:num w:numId="28" w16cid:durableId="1820733422">
    <w:abstractNumId w:val="6"/>
  </w:num>
  <w:num w:numId="29" w16cid:durableId="973678124">
    <w:abstractNumId w:val="23"/>
  </w:num>
  <w:num w:numId="30" w16cid:durableId="154884452">
    <w:abstractNumId w:val="38"/>
  </w:num>
  <w:num w:numId="31" w16cid:durableId="1053964910">
    <w:abstractNumId w:val="5"/>
  </w:num>
  <w:num w:numId="32" w16cid:durableId="2073575793">
    <w:abstractNumId w:val="36"/>
  </w:num>
  <w:num w:numId="33" w16cid:durableId="1566643170">
    <w:abstractNumId w:val="31"/>
  </w:num>
  <w:num w:numId="34" w16cid:durableId="2060787732">
    <w:abstractNumId w:val="35"/>
  </w:num>
  <w:num w:numId="35" w16cid:durableId="34161354">
    <w:abstractNumId w:val="7"/>
  </w:num>
  <w:num w:numId="36" w16cid:durableId="1976908676">
    <w:abstractNumId w:val="10"/>
  </w:num>
  <w:num w:numId="37" w16cid:durableId="758528303">
    <w:abstractNumId w:val="17"/>
  </w:num>
  <w:num w:numId="38" w16cid:durableId="178396561">
    <w:abstractNumId w:val="37"/>
  </w:num>
  <w:num w:numId="39" w16cid:durableId="934825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55D07"/>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4390</Words>
  <Characters>25029</Characters>
  <Application>Microsoft Office Word</Application>
  <DocSecurity>0</DocSecurity>
  <Lines>208</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2023-06-03T21:32:00Z</dcterms:created>
  <dcterms:modified xsi:type="dcterms:W3CDTF">2023-06-03T21:32:00Z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