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53E0A43B" w:rsidR="00C40420" w:rsidRDefault="00DD466D" w:rsidP="004A448E">
      <w:pPr>
        <w:pStyle w:val="Heading1"/>
      </w:pPr>
      <w:r>
        <w:t>1.ИМЕ НА ЛЕКАРСТВЕНИЯ ПРОДУКТ</w:t>
      </w:r>
    </w:p>
    <w:p w14:paraId="6C09427F" w14:textId="3A4904E3" w:rsidR="007C7D8D" w:rsidRDefault="007C7D8D" w:rsidP="007C7D8D"/>
    <w:p w14:paraId="67A6540D" w14:textId="77777777" w:rsidR="007C7D8D" w:rsidRPr="007C7D8D" w:rsidRDefault="007C7D8D" w:rsidP="007C7D8D">
      <w:pPr>
        <w:rPr>
          <w:sz w:val="24"/>
          <w:szCs w:val="24"/>
        </w:rPr>
      </w:pPr>
      <w:r w:rsidRPr="007C7D8D">
        <w:rPr>
          <w:lang w:eastAsia="bg-BG"/>
        </w:rPr>
        <w:t xml:space="preserve">Ксенопалан 25 </w:t>
      </w:r>
      <w:r w:rsidRPr="007C7D8D">
        <w:rPr>
          <w:lang w:val="en-US"/>
        </w:rPr>
        <w:t>mg</w:t>
      </w:r>
      <w:r w:rsidRPr="007C7D8D">
        <w:t xml:space="preserve"> </w:t>
      </w:r>
      <w:r w:rsidRPr="007C7D8D">
        <w:rPr>
          <w:lang w:eastAsia="bg-BG"/>
        </w:rPr>
        <w:t>таблетки</w:t>
      </w:r>
    </w:p>
    <w:p w14:paraId="72F37520" w14:textId="77777777" w:rsidR="007C7D8D" w:rsidRPr="007C7D8D" w:rsidRDefault="007C7D8D" w:rsidP="007C7D8D">
      <w:pPr>
        <w:rPr>
          <w:sz w:val="24"/>
          <w:szCs w:val="24"/>
        </w:rPr>
      </w:pPr>
      <w:proofErr w:type="spellStart"/>
      <w:r w:rsidRPr="007C7D8D">
        <w:rPr>
          <w:lang w:val="en-US"/>
        </w:rPr>
        <w:t>Xenopalan</w:t>
      </w:r>
      <w:proofErr w:type="spellEnd"/>
      <w:r w:rsidRPr="007C7D8D">
        <w:t xml:space="preserve"> </w:t>
      </w:r>
      <w:r w:rsidRPr="007C7D8D">
        <w:rPr>
          <w:lang w:eastAsia="bg-BG"/>
        </w:rPr>
        <w:t xml:space="preserve">25 </w:t>
      </w:r>
      <w:r w:rsidRPr="007C7D8D">
        <w:rPr>
          <w:lang w:val="en-US"/>
        </w:rPr>
        <w:t>mg</w:t>
      </w:r>
      <w:r w:rsidRPr="007C7D8D">
        <w:t xml:space="preserve"> </w:t>
      </w:r>
      <w:r w:rsidRPr="007C7D8D">
        <w:rPr>
          <w:lang w:val="en-US"/>
        </w:rPr>
        <w:t>tablets</w:t>
      </w:r>
    </w:p>
    <w:p w14:paraId="547A3417" w14:textId="77777777" w:rsidR="007C7D8D" w:rsidRDefault="007C7D8D" w:rsidP="007C7D8D">
      <w:pPr>
        <w:rPr>
          <w:lang w:eastAsia="bg-BG"/>
        </w:rPr>
      </w:pPr>
    </w:p>
    <w:p w14:paraId="00E136E1" w14:textId="550C5087" w:rsidR="007C7D8D" w:rsidRPr="007C7D8D" w:rsidRDefault="007C7D8D" w:rsidP="007C7D8D">
      <w:pPr>
        <w:rPr>
          <w:sz w:val="24"/>
          <w:szCs w:val="24"/>
        </w:rPr>
      </w:pPr>
      <w:r w:rsidRPr="007C7D8D">
        <w:rPr>
          <w:lang w:eastAsia="bg-BG"/>
        </w:rPr>
        <w:t xml:space="preserve">Ксенопалан 100 </w:t>
      </w:r>
      <w:r w:rsidRPr="007C7D8D">
        <w:rPr>
          <w:lang w:val="en-US"/>
        </w:rPr>
        <w:t>mg</w:t>
      </w:r>
      <w:r w:rsidRPr="007C7D8D">
        <w:t xml:space="preserve"> </w:t>
      </w:r>
      <w:r w:rsidRPr="007C7D8D">
        <w:rPr>
          <w:lang w:eastAsia="bg-BG"/>
        </w:rPr>
        <w:t>таблетки</w:t>
      </w:r>
    </w:p>
    <w:p w14:paraId="1E4D50F5" w14:textId="7429AB88" w:rsidR="007C7D8D" w:rsidRDefault="007C7D8D" w:rsidP="007C7D8D">
      <w:pPr>
        <w:rPr>
          <w:lang w:val="en-US"/>
        </w:rPr>
      </w:pPr>
      <w:proofErr w:type="spellStart"/>
      <w:r w:rsidRPr="007C7D8D">
        <w:rPr>
          <w:lang w:val="en-US"/>
        </w:rPr>
        <w:t>Xenopalan</w:t>
      </w:r>
      <w:proofErr w:type="spellEnd"/>
      <w:r w:rsidRPr="007C7D8D">
        <w:t xml:space="preserve"> </w:t>
      </w:r>
      <w:r w:rsidRPr="007C7D8D">
        <w:rPr>
          <w:lang w:eastAsia="bg-BG"/>
        </w:rPr>
        <w:t xml:space="preserve">100 </w:t>
      </w:r>
      <w:r w:rsidRPr="007C7D8D">
        <w:rPr>
          <w:lang w:val="en-US"/>
        </w:rPr>
        <w:t>mg</w:t>
      </w:r>
      <w:r w:rsidRPr="007C7D8D">
        <w:t xml:space="preserve"> </w:t>
      </w:r>
      <w:r w:rsidRPr="007C7D8D">
        <w:rPr>
          <w:lang w:val="en-US"/>
        </w:rPr>
        <w:t>tablets</w:t>
      </w:r>
    </w:p>
    <w:p w14:paraId="7DA685C6" w14:textId="7867096B" w:rsidR="007C7D8D" w:rsidRDefault="007C7D8D" w:rsidP="007C7D8D">
      <w:pPr>
        <w:rPr>
          <w:lang w:val="en-US"/>
        </w:rPr>
      </w:pPr>
    </w:p>
    <w:tbl>
      <w:tblPr>
        <w:tblStyle w:val="TableGrid"/>
        <w:tblW w:w="0" w:type="auto"/>
        <w:tblLook w:val="04A0" w:firstRow="1" w:lastRow="0" w:firstColumn="1" w:lastColumn="0" w:noHBand="0" w:noVBand="1"/>
      </w:tblPr>
      <w:tblGrid>
        <w:gridCol w:w="9350"/>
      </w:tblGrid>
      <w:tr w:rsidR="007C7D8D" w14:paraId="210BDACC" w14:textId="77777777" w:rsidTr="007C7D8D">
        <w:tc>
          <w:tcPr>
            <w:tcW w:w="9576" w:type="dxa"/>
          </w:tcPr>
          <w:p w14:paraId="00DDF571" w14:textId="77777777" w:rsidR="007C7D8D" w:rsidRPr="007C7D8D" w:rsidRDefault="007C7D8D" w:rsidP="007C7D8D">
            <w:pPr>
              <w:spacing w:line="240" w:lineRule="auto"/>
              <w:rPr>
                <w:rFonts w:eastAsia="Times New Roman" w:cs="Arial"/>
              </w:rPr>
            </w:pPr>
            <w:r w:rsidRPr="007C7D8D">
              <w:rPr>
                <w:rFonts w:eastAsia="Times New Roman" w:cs="Arial"/>
                <w:b/>
                <w:bCs/>
                <w:color w:val="000000"/>
                <w:lang w:eastAsia="bg-BG"/>
              </w:rPr>
              <w:t>Клозапин може да причини агранулоцитоза. Неговата употреба трябва се ограничи до пациенти:</w:t>
            </w:r>
          </w:p>
          <w:p w14:paraId="6AA81C98" w14:textId="77777777" w:rsidR="007C7D8D" w:rsidRDefault="007C7D8D" w:rsidP="007C7D8D">
            <w:pPr>
              <w:spacing w:line="240" w:lineRule="auto"/>
              <w:rPr>
                <w:rFonts w:eastAsia="Times New Roman" w:cs="Arial"/>
                <w:b/>
                <w:bCs/>
                <w:color w:val="000000"/>
                <w:lang w:eastAsia="bg-BG"/>
              </w:rPr>
            </w:pPr>
          </w:p>
          <w:p w14:paraId="5E1D95D0" w14:textId="70C903EA" w:rsidR="007C7D8D" w:rsidRPr="007C7D8D" w:rsidRDefault="007C7D8D" w:rsidP="007C7D8D">
            <w:pPr>
              <w:pStyle w:val="ListParagraph"/>
              <w:numPr>
                <w:ilvl w:val="0"/>
                <w:numId w:val="35"/>
              </w:numPr>
              <w:spacing w:line="240" w:lineRule="auto"/>
              <w:rPr>
                <w:rFonts w:eastAsia="Times New Roman" w:cs="Arial"/>
                <w:b/>
                <w:bCs/>
                <w:color w:val="000000"/>
                <w:lang w:eastAsia="bg-BG"/>
              </w:rPr>
            </w:pPr>
            <w:r w:rsidRPr="007C7D8D">
              <w:rPr>
                <w:rFonts w:eastAsia="Times New Roman" w:cs="Arial"/>
                <w:b/>
                <w:bCs/>
                <w:color w:val="000000"/>
                <w:lang w:eastAsia="bg-BG"/>
              </w:rPr>
              <w:t>с шизофрения, които не отговарят или не понасят лечението с антипсихотични лекарства, или са с психоза при болест на Паркинсон, когато всички други стратегии са били неуспешни (вж. точка 4.1);</w:t>
            </w:r>
          </w:p>
          <w:p w14:paraId="30093B62" w14:textId="77777777" w:rsidR="007C7D8D" w:rsidRPr="007C7D8D" w:rsidRDefault="007C7D8D" w:rsidP="007C7D8D">
            <w:pPr>
              <w:pStyle w:val="ListParagraph"/>
              <w:numPr>
                <w:ilvl w:val="0"/>
                <w:numId w:val="35"/>
              </w:numPr>
              <w:spacing w:line="240" w:lineRule="auto"/>
              <w:rPr>
                <w:rFonts w:eastAsia="Times New Roman" w:cs="Arial"/>
                <w:b/>
                <w:bCs/>
                <w:color w:val="000000"/>
                <w:lang w:eastAsia="bg-BG"/>
              </w:rPr>
            </w:pPr>
            <w:r w:rsidRPr="007C7D8D">
              <w:rPr>
                <w:rFonts w:eastAsia="Times New Roman" w:cs="Arial"/>
                <w:b/>
                <w:bCs/>
                <w:color w:val="000000"/>
                <w:lang w:eastAsia="bg-BG"/>
              </w:rPr>
              <w:t xml:space="preserve">които първоначално имат нормален брой левкоцити (левкоцити ≥3500 </w:t>
            </w:r>
            <w:r w:rsidRPr="007C7D8D">
              <w:rPr>
                <w:rFonts w:eastAsia="Times New Roman" w:cs="Arial"/>
                <w:b/>
                <w:bCs/>
                <w:color w:val="000000"/>
                <w:lang w:val="en-US"/>
              </w:rPr>
              <w:t>mm</w:t>
            </w:r>
            <w:r w:rsidRPr="007C7D8D">
              <w:rPr>
                <w:rFonts w:eastAsia="Times New Roman" w:cs="Arial"/>
                <w:b/>
                <w:bCs/>
                <w:color w:val="000000"/>
                <w:vertAlign w:val="superscript"/>
                <w:lang w:val="ru-RU"/>
              </w:rPr>
              <w:t xml:space="preserve">3 </w:t>
            </w:r>
            <w:r w:rsidRPr="007C7D8D">
              <w:rPr>
                <w:rFonts w:eastAsia="Times New Roman" w:cs="Arial"/>
                <w:b/>
                <w:bCs/>
                <w:color w:val="000000"/>
                <w:lang w:eastAsia="bg-BG"/>
              </w:rPr>
              <w:t>(3,5х10</w:t>
            </w:r>
            <w:r w:rsidRPr="007C7D8D">
              <w:rPr>
                <w:rFonts w:eastAsia="Times New Roman" w:cs="Arial"/>
                <w:b/>
                <w:bCs/>
                <w:color w:val="000000"/>
                <w:vertAlign w:val="superscript"/>
                <w:lang w:eastAsia="bg-BG"/>
              </w:rPr>
              <w:t>9</w:t>
            </w:r>
            <w:r w:rsidRPr="007C7D8D">
              <w:rPr>
                <w:rFonts w:eastAsia="Times New Roman" w:cs="Arial"/>
                <w:b/>
                <w:bCs/>
                <w:color w:val="000000"/>
                <w:lang w:eastAsia="bg-BG"/>
              </w:rPr>
              <w:t>/</w:t>
            </w:r>
            <w:r w:rsidRPr="007C7D8D">
              <w:rPr>
                <w:rFonts w:eastAsia="Times New Roman" w:cs="Arial"/>
                <w:b/>
                <w:bCs/>
                <w:color w:val="000000"/>
                <w:lang w:val="en-US"/>
              </w:rPr>
              <w:t>l</w:t>
            </w:r>
            <w:r w:rsidRPr="007C7D8D">
              <w:rPr>
                <w:rFonts w:eastAsia="Times New Roman" w:cs="Arial"/>
                <w:b/>
                <w:bCs/>
                <w:color w:val="000000"/>
                <w:lang w:eastAsia="bg-BG"/>
              </w:rPr>
              <w:t xml:space="preserve">) и АБН ≥2000 </w:t>
            </w:r>
            <w:r w:rsidRPr="007C7D8D">
              <w:rPr>
                <w:rFonts w:eastAsia="Times New Roman" w:cs="Arial"/>
                <w:b/>
                <w:bCs/>
                <w:color w:val="000000"/>
                <w:lang w:val="en-US"/>
              </w:rPr>
              <w:t>mm</w:t>
            </w:r>
            <w:r w:rsidRPr="007C7D8D">
              <w:rPr>
                <w:rFonts w:eastAsia="Times New Roman" w:cs="Arial"/>
                <w:b/>
                <w:bCs/>
                <w:color w:val="000000"/>
                <w:vertAlign w:val="superscript"/>
                <w:lang w:val="ru-RU"/>
              </w:rPr>
              <w:t>3</w:t>
            </w:r>
            <w:r w:rsidRPr="007C7D8D">
              <w:rPr>
                <w:rFonts w:eastAsia="Times New Roman" w:cs="Arial"/>
                <w:b/>
                <w:bCs/>
                <w:color w:val="000000"/>
                <w:lang w:val="ru-RU"/>
              </w:rPr>
              <w:t xml:space="preserve"> </w:t>
            </w:r>
            <w:r w:rsidRPr="007C7D8D">
              <w:rPr>
                <w:rFonts w:eastAsia="Times New Roman" w:cs="Arial"/>
                <w:b/>
                <w:bCs/>
                <w:color w:val="000000"/>
                <w:lang w:eastAsia="bg-BG"/>
              </w:rPr>
              <w:t>(2,0х10</w:t>
            </w:r>
            <w:r w:rsidRPr="007C7D8D">
              <w:rPr>
                <w:rFonts w:eastAsia="Times New Roman" w:cs="Arial"/>
                <w:b/>
                <w:bCs/>
                <w:color w:val="000000"/>
                <w:vertAlign w:val="superscript"/>
                <w:lang w:eastAsia="bg-BG"/>
              </w:rPr>
              <w:t>9</w:t>
            </w:r>
            <w:r w:rsidRPr="007C7D8D">
              <w:rPr>
                <w:rFonts w:eastAsia="Times New Roman" w:cs="Arial"/>
                <w:b/>
                <w:bCs/>
                <w:color w:val="000000"/>
                <w:lang w:eastAsia="bg-BG"/>
              </w:rPr>
              <w:t>/</w:t>
            </w:r>
            <w:r w:rsidRPr="007C7D8D">
              <w:rPr>
                <w:rFonts w:eastAsia="Times New Roman" w:cs="Arial"/>
                <w:b/>
                <w:bCs/>
                <w:color w:val="000000"/>
                <w:lang w:val="en-US"/>
              </w:rPr>
              <w:t>l</w:t>
            </w:r>
            <w:r w:rsidRPr="007C7D8D">
              <w:rPr>
                <w:rFonts w:eastAsia="Times New Roman" w:cs="Arial"/>
                <w:b/>
                <w:bCs/>
                <w:color w:val="000000"/>
                <w:lang w:eastAsia="bg-BG"/>
              </w:rPr>
              <w:t>) и</w:t>
            </w:r>
          </w:p>
          <w:p w14:paraId="6D37F657" w14:textId="77777777" w:rsidR="007C7D8D" w:rsidRPr="007C7D8D" w:rsidRDefault="007C7D8D" w:rsidP="007C7D8D">
            <w:pPr>
              <w:pStyle w:val="ListParagraph"/>
              <w:numPr>
                <w:ilvl w:val="0"/>
                <w:numId w:val="35"/>
              </w:numPr>
              <w:spacing w:line="240" w:lineRule="auto"/>
              <w:rPr>
                <w:rFonts w:eastAsia="Times New Roman" w:cs="Arial"/>
                <w:b/>
                <w:bCs/>
                <w:color w:val="000000"/>
                <w:lang w:eastAsia="bg-BG"/>
              </w:rPr>
            </w:pPr>
            <w:r w:rsidRPr="007C7D8D">
              <w:rPr>
                <w:rFonts w:eastAsia="Times New Roman" w:cs="Arial"/>
                <w:b/>
                <w:bCs/>
                <w:color w:val="000000"/>
                <w:lang w:eastAsia="bg-BG"/>
              </w:rPr>
              <w:t xml:space="preserve">при които редовно може да се определят общия брои левкоцити </w:t>
            </w:r>
            <w:r w:rsidRPr="007C7D8D">
              <w:rPr>
                <w:rFonts w:eastAsia="Times New Roman" w:cs="Arial"/>
                <w:b/>
                <w:bCs/>
                <w:color w:val="000000"/>
                <w:lang w:val="ru-RU"/>
              </w:rPr>
              <w:t>(</w:t>
            </w:r>
            <w:r w:rsidRPr="007C7D8D">
              <w:rPr>
                <w:rFonts w:eastAsia="Times New Roman" w:cs="Arial"/>
                <w:b/>
                <w:bCs/>
                <w:color w:val="000000"/>
                <w:lang w:val="en-US"/>
              </w:rPr>
              <w:t>WBC</w:t>
            </w:r>
            <w:r w:rsidRPr="007C7D8D">
              <w:rPr>
                <w:rFonts w:eastAsia="Times New Roman" w:cs="Arial"/>
                <w:b/>
                <w:bCs/>
                <w:color w:val="000000"/>
                <w:lang w:val="ru-RU"/>
              </w:rPr>
              <w:t xml:space="preserve">) </w:t>
            </w:r>
            <w:r w:rsidRPr="007C7D8D">
              <w:rPr>
                <w:rFonts w:eastAsia="Times New Roman" w:cs="Arial"/>
                <w:b/>
                <w:bCs/>
                <w:color w:val="000000"/>
                <w:lang w:eastAsia="bg-BG"/>
              </w:rPr>
              <w:t>и абсолютния брой неутрофили (АБН) както следва: всяка седмица през първите 18 седмици от лечението и поне веднъж на всеки 4 седмици след това по време на терапията. Мониторирането трябва да продължи по време на лечението и 4 седмици след пълното прекратяване на приема на Ксенопалан (вж. точка 4.4).</w:t>
            </w:r>
          </w:p>
          <w:p w14:paraId="5C3F1B42" w14:textId="77777777" w:rsidR="007C7D8D" w:rsidRDefault="007C7D8D" w:rsidP="007C7D8D">
            <w:pPr>
              <w:spacing w:line="240" w:lineRule="auto"/>
              <w:rPr>
                <w:rFonts w:eastAsia="Times New Roman" w:cs="Arial"/>
                <w:b/>
                <w:bCs/>
                <w:color w:val="000000"/>
                <w:lang w:eastAsia="bg-BG"/>
              </w:rPr>
            </w:pPr>
          </w:p>
          <w:p w14:paraId="16F25C59" w14:textId="6218609C" w:rsidR="007C7D8D" w:rsidRPr="007C7D8D" w:rsidRDefault="007C7D8D" w:rsidP="007C7D8D">
            <w:pPr>
              <w:spacing w:line="240" w:lineRule="auto"/>
              <w:rPr>
                <w:rFonts w:eastAsia="Times New Roman" w:cs="Arial"/>
              </w:rPr>
            </w:pPr>
            <w:r w:rsidRPr="007C7D8D">
              <w:rPr>
                <w:rFonts w:eastAsia="Times New Roman" w:cs="Arial"/>
                <w:b/>
                <w:bCs/>
                <w:color w:val="000000"/>
                <w:lang w:eastAsia="bg-BG"/>
              </w:rPr>
              <w:t>Лекарите, предписващи продукта, трябва да следват напълно изискваните мерки за безопасност. При всяка консултация иа пациента, третиран с клозапин трябва да се напомня да се свърже незабавно с лекуващия лекар, ако започне развитие на някаква инфекция. Особено внимание трябва да се обръща на грипоподобни оплаквания като повишена температура или възпалено гърло и други белези на инфекция, която може да е показателна за неутропения (вж. точка 4.4),</w:t>
            </w:r>
          </w:p>
          <w:p w14:paraId="7F7037A2" w14:textId="77777777" w:rsidR="007C7D8D" w:rsidRDefault="007C7D8D" w:rsidP="007C7D8D">
            <w:pPr>
              <w:spacing w:line="240" w:lineRule="auto"/>
              <w:rPr>
                <w:rFonts w:eastAsia="Times New Roman" w:cs="Arial"/>
                <w:b/>
                <w:bCs/>
                <w:color w:val="000000"/>
                <w:lang w:eastAsia="bg-BG"/>
              </w:rPr>
            </w:pPr>
          </w:p>
          <w:p w14:paraId="6ACD75CE" w14:textId="7C05A3F7" w:rsidR="007C7D8D" w:rsidRPr="007C7D8D" w:rsidRDefault="007C7D8D" w:rsidP="007C7D8D">
            <w:pPr>
              <w:spacing w:line="240" w:lineRule="auto"/>
              <w:rPr>
                <w:rFonts w:eastAsia="Times New Roman" w:cs="Arial"/>
              </w:rPr>
            </w:pPr>
            <w:r w:rsidRPr="007C7D8D">
              <w:rPr>
                <w:rFonts w:eastAsia="Times New Roman" w:cs="Arial"/>
                <w:b/>
                <w:bCs/>
                <w:color w:val="000000"/>
                <w:lang w:eastAsia="bg-BG"/>
              </w:rPr>
              <w:t>Ксенопалан трябва да се отпуска под строг медицински контрол в съответствие с официалните препоръки.</w:t>
            </w:r>
          </w:p>
          <w:p w14:paraId="6FAEF248" w14:textId="77777777" w:rsidR="007C7D8D" w:rsidRDefault="007C7D8D" w:rsidP="007C7D8D">
            <w:pPr>
              <w:spacing w:line="240" w:lineRule="auto"/>
              <w:rPr>
                <w:rFonts w:eastAsia="Times New Roman" w:cs="Arial"/>
                <w:b/>
                <w:bCs/>
                <w:color w:val="000000"/>
                <w:u w:val="single"/>
                <w:lang w:eastAsia="bg-BG"/>
              </w:rPr>
            </w:pPr>
          </w:p>
          <w:p w14:paraId="672D57DE" w14:textId="0F133A44" w:rsidR="007C7D8D" w:rsidRPr="007C7D8D" w:rsidRDefault="007C7D8D" w:rsidP="007C7D8D">
            <w:pPr>
              <w:spacing w:line="240" w:lineRule="auto"/>
              <w:rPr>
                <w:rFonts w:eastAsia="Times New Roman" w:cs="Arial"/>
              </w:rPr>
            </w:pPr>
            <w:r w:rsidRPr="007C7D8D">
              <w:rPr>
                <w:rFonts w:eastAsia="Times New Roman" w:cs="Arial"/>
                <w:b/>
                <w:bCs/>
                <w:color w:val="000000"/>
                <w:u w:val="single"/>
                <w:lang w:eastAsia="bg-BG"/>
              </w:rPr>
              <w:t>Миокардит</w:t>
            </w:r>
          </w:p>
          <w:p w14:paraId="5190DF8D" w14:textId="77777777" w:rsidR="007C7D8D" w:rsidRPr="007C7D8D" w:rsidRDefault="007C7D8D" w:rsidP="007C7D8D">
            <w:pPr>
              <w:spacing w:line="240" w:lineRule="auto"/>
              <w:rPr>
                <w:rFonts w:eastAsia="Times New Roman" w:cs="Arial"/>
              </w:rPr>
            </w:pPr>
            <w:r w:rsidRPr="007C7D8D">
              <w:rPr>
                <w:rFonts w:eastAsia="Times New Roman" w:cs="Arial"/>
                <w:b/>
                <w:bCs/>
                <w:color w:val="000000"/>
                <w:lang w:eastAsia="bg-BG"/>
              </w:rPr>
              <w:t>Употребата на клозапин е свързана с повишен риск от миокардит, конто в редки случаи е фатален. Повишеният риск от миокардит е най-голям през първите 2 месеца на лечението. В редки случаи се съобщава и за случаи на кардиомиопатня с фатален изход (вж. точка 4.4).</w:t>
            </w:r>
          </w:p>
          <w:p w14:paraId="5DF84AD3" w14:textId="77777777" w:rsidR="007C7D8D" w:rsidRDefault="007C7D8D" w:rsidP="007C7D8D">
            <w:pPr>
              <w:spacing w:line="240" w:lineRule="auto"/>
              <w:rPr>
                <w:rFonts w:eastAsia="Times New Roman" w:cs="Arial"/>
                <w:b/>
                <w:bCs/>
                <w:color w:val="000000"/>
                <w:lang w:eastAsia="bg-BG"/>
              </w:rPr>
            </w:pPr>
          </w:p>
          <w:p w14:paraId="3DDD0063" w14:textId="25919B1C" w:rsidR="007C7D8D" w:rsidRPr="007C7D8D" w:rsidRDefault="007C7D8D" w:rsidP="007C7D8D">
            <w:pPr>
              <w:spacing w:line="240" w:lineRule="auto"/>
              <w:rPr>
                <w:rFonts w:eastAsia="Times New Roman" w:cs="Arial"/>
              </w:rPr>
            </w:pPr>
            <w:r w:rsidRPr="007C7D8D">
              <w:rPr>
                <w:rFonts w:eastAsia="Times New Roman" w:cs="Arial"/>
                <w:b/>
                <w:bCs/>
                <w:color w:val="000000"/>
                <w:lang w:eastAsia="bg-BG"/>
              </w:rPr>
              <w:t>Миокардит или кардиомиопатия трябва да се имат предвид при пациенти, които получават персистираща тахикардия в покой, особено през първите 2 месеца на лечението и/или палпитации, аритмии, гръдна болка и други признаци и симптоми на сърдечна недостатъчност (напр. необяснима умора, диспнея, тахипнея), или симптоми, които наподобяват миокарден инфаркт (вж. точка 4.4).</w:t>
            </w:r>
          </w:p>
          <w:p w14:paraId="63D8E0D8" w14:textId="77777777" w:rsidR="007C7D8D" w:rsidRDefault="007C7D8D" w:rsidP="007C7D8D">
            <w:pPr>
              <w:spacing w:line="240" w:lineRule="auto"/>
              <w:rPr>
                <w:rFonts w:eastAsia="Times New Roman" w:cs="Arial"/>
                <w:b/>
                <w:bCs/>
                <w:color w:val="000000"/>
                <w:lang w:eastAsia="bg-BG"/>
              </w:rPr>
            </w:pPr>
          </w:p>
          <w:p w14:paraId="62649979" w14:textId="195B6FB3" w:rsidR="007C7D8D" w:rsidRPr="007C7D8D" w:rsidRDefault="007C7D8D" w:rsidP="007C7D8D">
            <w:pPr>
              <w:spacing w:line="240" w:lineRule="auto"/>
              <w:rPr>
                <w:rFonts w:eastAsia="Times New Roman" w:cs="Arial"/>
              </w:rPr>
            </w:pPr>
            <w:r w:rsidRPr="007C7D8D">
              <w:rPr>
                <w:rFonts w:eastAsia="Times New Roman" w:cs="Arial"/>
                <w:b/>
                <w:bCs/>
                <w:color w:val="000000"/>
                <w:lang w:eastAsia="bg-BG"/>
              </w:rPr>
              <w:lastRenderedPageBreak/>
              <w:t>Ако се подозират миокардит или кардиомиопатня, лечението с Ксенопалан трябва бързо да се преустанови и пациентът незабавно да се насочи към кардиолог.</w:t>
            </w:r>
          </w:p>
          <w:p w14:paraId="56DF1971" w14:textId="77777777" w:rsidR="007C7D8D" w:rsidRDefault="007C7D8D" w:rsidP="007C7D8D">
            <w:pPr>
              <w:spacing w:line="240" w:lineRule="auto"/>
              <w:rPr>
                <w:rFonts w:eastAsia="Times New Roman" w:cs="Arial"/>
                <w:b/>
                <w:bCs/>
                <w:color w:val="000000"/>
                <w:lang w:eastAsia="bg-BG"/>
              </w:rPr>
            </w:pPr>
          </w:p>
          <w:p w14:paraId="67D63DC0" w14:textId="76133A2C" w:rsidR="007C7D8D" w:rsidRPr="007C7D8D" w:rsidRDefault="007C7D8D" w:rsidP="007C7D8D">
            <w:pPr>
              <w:spacing w:line="240" w:lineRule="auto"/>
              <w:rPr>
                <w:rFonts w:eastAsia="Times New Roman" w:cs="Arial"/>
              </w:rPr>
            </w:pPr>
            <w:r w:rsidRPr="007C7D8D">
              <w:rPr>
                <w:rFonts w:eastAsia="Times New Roman" w:cs="Arial"/>
                <w:b/>
                <w:bCs/>
                <w:color w:val="000000"/>
                <w:lang w:eastAsia="bg-BG"/>
              </w:rPr>
              <w:t xml:space="preserve">При пациентите, които развиват клозапин-индуциран миокардит или кардиомиопатия, </w:t>
            </w:r>
            <w:r w:rsidRPr="007C7D8D">
              <w:rPr>
                <w:rFonts w:eastAsia="Times New Roman" w:cs="Arial"/>
                <w:b/>
                <w:bCs/>
                <w:color w:val="000000"/>
                <w:u w:val="single"/>
                <w:lang w:eastAsia="bg-BG"/>
              </w:rPr>
              <w:t>не трябва повторно да се прилага клозапин (вж. точки 4.3 и 4.4).</w:t>
            </w:r>
          </w:p>
        </w:tc>
      </w:tr>
    </w:tbl>
    <w:p w14:paraId="23E13DE4" w14:textId="77777777" w:rsidR="007C7D8D" w:rsidRPr="007C7D8D" w:rsidRDefault="007C7D8D" w:rsidP="007C7D8D"/>
    <w:p w14:paraId="6920A680" w14:textId="2036DF85" w:rsidR="00C40420" w:rsidRDefault="00DD466D" w:rsidP="004A448E">
      <w:pPr>
        <w:pStyle w:val="Heading1"/>
      </w:pPr>
      <w:r>
        <w:t>2. КАЧЕСТВЕН И КОЛИЧЕСТВЕН СЪСТАВ</w:t>
      </w:r>
    </w:p>
    <w:p w14:paraId="376A5420" w14:textId="052A1D2E" w:rsidR="007C7D8D" w:rsidRDefault="007C7D8D" w:rsidP="007C7D8D"/>
    <w:p w14:paraId="1F301261" w14:textId="77777777" w:rsidR="007C7D8D" w:rsidRPr="007C7D8D" w:rsidRDefault="007C7D8D" w:rsidP="007C7D8D">
      <w:pPr>
        <w:rPr>
          <w:sz w:val="24"/>
          <w:szCs w:val="24"/>
        </w:rPr>
      </w:pPr>
      <w:r w:rsidRPr="007C7D8D">
        <w:rPr>
          <w:lang w:eastAsia="bg-BG"/>
        </w:rPr>
        <w:t xml:space="preserve">Всяка таблетка съдържа 25 </w:t>
      </w:r>
      <w:r w:rsidRPr="007C7D8D">
        <w:rPr>
          <w:lang w:val="en-US"/>
        </w:rPr>
        <w:t>mg</w:t>
      </w:r>
      <w:r w:rsidRPr="007C7D8D">
        <w:rPr>
          <w:lang w:val="ru-RU"/>
        </w:rPr>
        <w:t xml:space="preserve"> </w:t>
      </w:r>
      <w:r w:rsidRPr="007C7D8D">
        <w:rPr>
          <w:lang w:eastAsia="bg-BG"/>
        </w:rPr>
        <w:t>клозапин (</w:t>
      </w:r>
      <w:r w:rsidRPr="007C7D8D">
        <w:rPr>
          <w:i/>
          <w:iCs/>
          <w:lang w:val="en-US"/>
        </w:rPr>
        <w:t>clozapine</w:t>
      </w:r>
      <w:r w:rsidRPr="007C7D8D">
        <w:rPr>
          <w:i/>
          <w:iCs/>
          <w:lang w:val="ru-RU"/>
        </w:rPr>
        <w:t>).</w:t>
      </w:r>
    </w:p>
    <w:p w14:paraId="123DE690" w14:textId="77777777" w:rsidR="007C7D8D" w:rsidRPr="007C7D8D" w:rsidRDefault="007C7D8D" w:rsidP="007C7D8D">
      <w:pPr>
        <w:rPr>
          <w:sz w:val="24"/>
          <w:szCs w:val="24"/>
        </w:rPr>
      </w:pPr>
      <w:r w:rsidRPr="007C7D8D">
        <w:rPr>
          <w:lang w:eastAsia="bg-BG"/>
        </w:rPr>
        <w:t xml:space="preserve">Помощно вещество с известно действие: всяка таблетка 25 </w:t>
      </w:r>
      <w:r w:rsidRPr="007C7D8D">
        <w:rPr>
          <w:lang w:val="en-US"/>
        </w:rPr>
        <w:t>mg</w:t>
      </w:r>
      <w:r w:rsidRPr="007C7D8D">
        <w:rPr>
          <w:lang w:val="ru-RU"/>
        </w:rPr>
        <w:t xml:space="preserve"> </w:t>
      </w:r>
      <w:r w:rsidRPr="007C7D8D">
        <w:rPr>
          <w:lang w:eastAsia="bg-BG"/>
        </w:rPr>
        <w:t xml:space="preserve">съдържа 48 </w:t>
      </w:r>
      <w:r w:rsidRPr="007C7D8D">
        <w:rPr>
          <w:lang w:val="en-US"/>
        </w:rPr>
        <w:t>mg</w:t>
      </w:r>
      <w:r w:rsidRPr="007C7D8D">
        <w:rPr>
          <w:lang w:val="ru-RU"/>
        </w:rPr>
        <w:t xml:space="preserve"> </w:t>
      </w:r>
      <w:r w:rsidRPr="007C7D8D">
        <w:rPr>
          <w:lang w:eastAsia="bg-BG"/>
        </w:rPr>
        <w:t>лактоза монохидрат.</w:t>
      </w:r>
    </w:p>
    <w:p w14:paraId="3B2276AA" w14:textId="77777777" w:rsidR="007C7D8D" w:rsidRDefault="007C7D8D" w:rsidP="007C7D8D">
      <w:pPr>
        <w:rPr>
          <w:lang w:eastAsia="bg-BG"/>
        </w:rPr>
      </w:pPr>
    </w:p>
    <w:p w14:paraId="6BC2D530" w14:textId="4B273B80" w:rsidR="007C7D8D" w:rsidRPr="007C7D8D" w:rsidRDefault="007C7D8D" w:rsidP="007C7D8D">
      <w:pPr>
        <w:rPr>
          <w:sz w:val="24"/>
          <w:szCs w:val="24"/>
        </w:rPr>
      </w:pPr>
      <w:r w:rsidRPr="007C7D8D">
        <w:rPr>
          <w:lang w:eastAsia="bg-BG"/>
        </w:rPr>
        <w:t xml:space="preserve">Всяка таблетка съдържа 100 </w:t>
      </w:r>
      <w:r w:rsidRPr="007C7D8D">
        <w:rPr>
          <w:lang w:val="en-US"/>
        </w:rPr>
        <w:t>mg</w:t>
      </w:r>
      <w:r w:rsidRPr="007C7D8D">
        <w:t xml:space="preserve"> </w:t>
      </w:r>
      <w:r w:rsidRPr="007C7D8D">
        <w:rPr>
          <w:lang w:eastAsia="bg-BG"/>
        </w:rPr>
        <w:t>клозапин (</w:t>
      </w:r>
      <w:r w:rsidRPr="007C7D8D">
        <w:rPr>
          <w:i/>
          <w:iCs/>
          <w:lang w:val="en-US"/>
        </w:rPr>
        <w:t>clozapine</w:t>
      </w:r>
      <w:r w:rsidRPr="007C7D8D">
        <w:rPr>
          <w:i/>
          <w:iCs/>
        </w:rPr>
        <w:t>).</w:t>
      </w:r>
    </w:p>
    <w:p w14:paraId="2C797917" w14:textId="77777777" w:rsidR="007C7D8D" w:rsidRPr="007C7D8D" w:rsidRDefault="007C7D8D" w:rsidP="007C7D8D">
      <w:pPr>
        <w:rPr>
          <w:sz w:val="24"/>
          <w:szCs w:val="24"/>
        </w:rPr>
      </w:pPr>
      <w:r w:rsidRPr="007C7D8D">
        <w:rPr>
          <w:lang w:eastAsia="bg-BG"/>
        </w:rPr>
        <w:t xml:space="preserve">Помощно вещество с известно действие: всяка таблетка 100 </w:t>
      </w:r>
      <w:r w:rsidRPr="007C7D8D">
        <w:rPr>
          <w:lang w:val="en-US"/>
        </w:rPr>
        <w:t>mg</w:t>
      </w:r>
      <w:r w:rsidRPr="007C7D8D">
        <w:rPr>
          <w:lang w:val="ru-RU"/>
        </w:rPr>
        <w:t xml:space="preserve"> </w:t>
      </w:r>
      <w:r w:rsidRPr="007C7D8D">
        <w:rPr>
          <w:lang w:eastAsia="bg-BG"/>
        </w:rPr>
        <w:t xml:space="preserve">съдържа 192 </w:t>
      </w:r>
      <w:r w:rsidRPr="007C7D8D">
        <w:rPr>
          <w:lang w:val="en-US"/>
        </w:rPr>
        <w:t>mg</w:t>
      </w:r>
      <w:r w:rsidRPr="007C7D8D">
        <w:rPr>
          <w:lang w:val="ru-RU"/>
        </w:rPr>
        <w:t xml:space="preserve"> </w:t>
      </w:r>
      <w:r w:rsidRPr="007C7D8D">
        <w:rPr>
          <w:lang w:eastAsia="bg-BG"/>
        </w:rPr>
        <w:t>лактоза монохидрат.</w:t>
      </w:r>
    </w:p>
    <w:p w14:paraId="3BAE211D" w14:textId="77777777" w:rsidR="007C7D8D" w:rsidRPr="007C7D8D" w:rsidRDefault="007C7D8D" w:rsidP="007C7D8D"/>
    <w:p w14:paraId="614984C4" w14:textId="342F3771" w:rsidR="008A6AF2" w:rsidRDefault="00DD466D" w:rsidP="002C50EE">
      <w:pPr>
        <w:pStyle w:val="Heading1"/>
      </w:pPr>
      <w:r>
        <w:t>3. ЛЕКАРСТВЕНА ФОРМА</w:t>
      </w:r>
    </w:p>
    <w:p w14:paraId="126EC22B" w14:textId="3E1BB67A" w:rsidR="007C7D8D" w:rsidRDefault="007C7D8D" w:rsidP="007C7D8D"/>
    <w:p w14:paraId="13CF4729" w14:textId="77777777" w:rsidR="00290557" w:rsidRPr="00290557" w:rsidRDefault="00290557" w:rsidP="00290557">
      <w:pPr>
        <w:rPr>
          <w:sz w:val="24"/>
          <w:szCs w:val="24"/>
        </w:rPr>
      </w:pPr>
      <w:r w:rsidRPr="00290557">
        <w:rPr>
          <w:lang w:eastAsia="bg-BG"/>
        </w:rPr>
        <w:t>Таблетка</w:t>
      </w:r>
    </w:p>
    <w:p w14:paraId="4D9DC60D" w14:textId="77777777" w:rsidR="00290557" w:rsidRDefault="00290557" w:rsidP="00290557">
      <w:pPr>
        <w:rPr>
          <w:i/>
          <w:iCs/>
          <w:lang w:eastAsia="bg-BG"/>
        </w:rPr>
      </w:pPr>
    </w:p>
    <w:p w14:paraId="11E9A3E3" w14:textId="19EA53CE" w:rsidR="00290557" w:rsidRPr="00290557" w:rsidRDefault="00290557" w:rsidP="00290557">
      <w:pPr>
        <w:rPr>
          <w:sz w:val="24"/>
          <w:szCs w:val="24"/>
        </w:rPr>
      </w:pPr>
      <w:r w:rsidRPr="00290557">
        <w:rPr>
          <w:i/>
          <w:iCs/>
          <w:lang w:eastAsia="bg-BG"/>
        </w:rPr>
        <w:t xml:space="preserve">Ксенопалан 25 </w:t>
      </w:r>
      <w:r w:rsidRPr="00290557">
        <w:rPr>
          <w:i/>
          <w:iCs/>
          <w:lang w:val="en-US"/>
        </w:rPr>
        <w:t>mg</w:t>
      </w:r>
      <w:r w:rsidRPr="00290557">
        <w:rPr>
          <w:i/>
          <w:iCs/>
          <w:lang w:val="ru-RU"/>
        </w:rPr>
        <w:t>:</w:t>
      </w:r>
      <w:r w:rsidRPr="00290557">
        <w:rPr>
          <w:lang w:val="ru-RU"/>
        </w:rPr>
        <w:t xml:space="preserve"> </w:t>
      </w:r>
      <w:r w:rsidRPr="00290557">
        <w:rPr>
          <w:lang w:eastAsia="bg-BG"/>
        </w:rPr>
        <w:t xml:space="preserve">Кръгли, жълти таблетки с делителна черта от двете страни и надпис </w:t>
      </w:r>
      <w:r w:rsidRPr="00290557">
        <w:rPr>
          <w:lang w:val="ru-RU"/>
        </w:rPr>
        <w:t>“</w:t>
      </w:r>
      <w:r w:rsidRPr="00290557">
        <w:rPr>
          <w:lang w:val="en-US"/>
        </w:rPr>
        <w:t>CPN</w:t>
      </w:r>
      <w:r w:rsidRPr="00290557">
        <w:rPr>
          <w:lang w:val="ru-RU"/>
        </w:rPr>
        <w:t xml:space="preserve"> </w:t>
      </w:r>
      <w:r w:rsidRPr="00290557">
        <w:rPr>
          <w:lang w:eastAsia="bg-BG"/>
        </w:rPr>
        <w:t>25” от едната страна.</w:t>
      </w:r>
    </w:p>
    <w:p w14:paraId="4B41084E" w14:textId="77777777" w:rsidR="00290557" w:rsidRPr="00290557" w:rsidRDefault="00290557" w:rsidP="00290557">
      <w:pPr>
        <w:rPr>
          <w:sz w:val="24"/>
          <w:szCs w:val="24"/>
        </w:rPr>
      </w:pPr>
      <w:r w:rsidRPr="00290557">
        <w:rPr>
          <w:i/>
          <w:iCs/>
          <w:lang w:eastAsia="bg-BG"/>
        </w:rPr>
        <w:t xml:space="preserve">Ксенопалан 100 </w:t>
      </w:r>
      <w:r w:rsidRPr="00290557">
        <w:rPr>
          <w:i/>
          <w:iCs/>
          <w:lang w:val="en-US"/>
        </w:rPr>
        <w:t>mg</w:t>
      </w:r>
      <w:r w:rsidRPr="00290557">
        <w:rPr>
          <w:i/>
          <w:iCs/>
          <w:lang w:val="ru-RU"/>
        </w:rPr>
        <w:t>:</w:t>
      </w:r>
      <w:r w:rsidRPr="00290557">
        <w:rPr>
          <w:lang w:val="ru-RU"/>
        </w:rPr>
        <w:t xml:space="preserve"> </w:t>
      </w:r>
      <w:r w:rsidRPr="00290557">
        <w:rPr>
          <w:lang w:eastAsia="bg-BG"/>
        </w:rPr>
        <w:t xml:space="preserve">Кръгли, жълти таблетки с делителна черта от двете страни и надпис </w:t>
      </w:r>
      <w:r w:rsidRPr="00290557">
        <w:rPr>
          <w:lang w:val="ru-RU"/>
        </w:rPr>
        <w:t>“</w:t>
      </w:r>
      <w:r w:rsidRPr="00290557">
        <w:rPr>
          <w:lang w:val="en-US"/>
        </w:rPr>
        <w:t>CPN</w:t>
      </w:r>
      <w:r w:rsidRPr="00290557">
        <w:rPr>
          <w:lang w:val="ru-RU"/>
        </w:rPr>
        <w:t xml:space="preserve"> </w:t>
      </w:r>
      <w:r w:rsidRPr="00290557">
        <w:rPr>
          <w:lang w:eastAsia="bg-BG"/>
        </w:rPr>
        <w:t>100” от едната страна.</w:t>
      </w:r>
    </w:p>
    <w:p w14:paraId="622AAAE1" w14:textId="77777777" w:rsidR="00290557" w:rsidRDefault="00290557" w:rsidP="00290557">
      <w:pPr>
        <w:rPr>
          <w:lang w:eastAsia="bg-BG"/>
        </w:rPr>
      </w:pPr>
    </w:p>
    <w:p w14:paraId="18E86973" w14:textId="27221920" w:rsidR="00290557" w:rsidRPr="00290557" w:rsidRDefault="00290557" w:rsidP="00290557">
      <w:pPr>
        <w:rPr>
          <w:sz w:val="24"/>
          <w:szCs w:val="24"/>
        </w:rPr>
      </w:pPr>
      <w:r w:rsidRPr="00290557">
        <w:rPr>
          <w:lang w:eastAsia="bg-BG"/>
        </w:rPr>
        <w:t>Таблетката може да се дели на равни половини.</w:t>
      </w:r>
    </w:p>
    <w:p w14:paraId="48342B67" w14:textId="77777777" w:rsidR="007C7D8D" w:rsidRPr="007C7D8D" w:rsidRDefault="007C7D8D" w:rsidP="007C7D8D"/>
    <w:p w14:paraId="490FC2C4" w14:textId="32682B15" w:rsidR="002C50EE" w:rsidRDefault="002C50EE" w:rsidP="002C50EE">
      <w:pPr>
        <w:pStyle w:val="Heading1"/>
      </w:pPr>
      <w:r>
        <w:t>4. КЛИНИЧНИ ДАННИ</w:t>
      </w:r>
    </w:p>
    <w:p w14:paraId="0C8E6903" w14:textId="38C3ADC0" w:rsidR="008134C8" w:rsidRDefault="002C50EE" w:rsidP="004A448E">
      <w:pPr>
        <w:pStyle w:val="Heading2"/>
      </w:pPr>
      <w:r>
        <w:t>4.1. Терапевтични показания</w:t>
      </w:r>
    </w:p>
    <w:p w14:paraId="45ED6E19" w14:textId="40A59CA2" w:rsidR="00290557" w:rsidRDefault="00290557" w:rsidP="00290557"/>
    <w:p w14:paraId="4EE71942" w14:textId="77777777" w:rsidR="00290557" w:rsidRPr="00290557" w:rsidRDefault="00290557" w:rsidP="00290557">
      <w:pPr>
        <w:spacing w:line="240" w:lineRule="auto"/>
        <w:rPr>
          <w:rFonts w:eastAsia="Times New Roman" w:cs="Arial"/>
        </w:rPr>
      </w:pPr>
      <w:bookmarkStart w:id="1" w:name="bookmark0"/>
      <w:r w:rsidRPr="00290557">
        <w:rPr>
          <w:rFonts w:eastAsia="Times New Roman" w:cs="Arial"/>
          <w:b/>
          <w:bCs/>
          <w:color w:val="000000"/>
          <w:lang w:eastAsia="bg-BG"/>
        </w:rPr>
        <w:t>Лечение на терапевтично резистентна шизофрения</w:t>
      </w:r>
      <w:bookmarkEnd w:id="1"/>
    </w:p>
    <w:p w14:paraId="12C0E254"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Ксенопалан е показан при пациенти с резистентна на лечение шизофрения и болни с шизофрения, които имат тежки, неповлияващи се от лечение неврологични нежелани реакции от други антипсихотични лекарства, включително атипични антипсихотици.</w:t>
      </w:r>
    </w:p>
    <w:p w14:paraId="0CBCBF74" w14:textId="77777777" w:rsidR="00290557" w:rsidRDefault="00290557" w:rsidP="00290557">
      <w:pPr>
        <w:spacing w:line="240" w:lineRule="auto"/>
        <w:rPr>
          <w:rFonts w:eastAsia="Times New Roman" w:cs="Arial"/>
          <w:b/>
          <w:bCs/>
          <w:color w:val="000000"/>
          <w:lang w:eastAsia="bg-BG"/>
        </w:rPr>
      </w:pPr>
    </w:p>
    <w:p w14:paraId="0CB772D5" w14:textId="6962C216"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 xml:space="preserve">Резистентност </w:t>
      </w:r>
      <w:r w:rsidRPr="00290557">
        <w:rPr>
          <w:rFonts w:eastAsia="Times New Roman" w:cs="Arial"/>
          <w:color w:val="000000"/>
          <w:lang w:eastAsia="bg-BG"/>
        </w:rPr>
        <w:t>към лечението се дефинира като липса на задоволително клинично подобрение, независимо от достатъчните дози от поне две различни антипсихотични лекарства, включително атипичен антипсихотик, предписван за достатъчно продължителен период от време.</w:t>
      </w:r>
    </w:p>
    <w:p w14:paraId="7AE9760D" w14:textId="77777777" w:rsidR="00290557" w:rsidRDefault="00290557" w:rsidP="00290557">
      <w:pPr>
        <w:spacing w:line="240" w:lineRule="auto"/>
        <w:rPr>
          <w:rFonts w:eastAsia="Times New Roman" w:cs="Arial"/>
          <w:b/>
          <w:bCs/>
          <w:color w:val="000000"/>
          <w:lang w:eastAsia="bg-BG"/>
        </w:rPr>
      </w:pPr>
      <w:bookmarkStart w:id="2" w:name="bookmark2"/>
    </w:p>
    <w:p w14:paraId="74BCFF56" w14:textId="18BF388F"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Псохоза при болест на Паркинсоп</w:t>
      </w:r>
      <w:bookmarkEnd w:id="2"/>
    </w:p>
    <w:p w14:paraId="119C7BA8" w14:textId="25CBDBE2" w:rsidR="00290557" w:rsidRPr="00290557" w:rsidRDefault="00290557" w:rsidP="00290557">
      <w:pPr>
        <w:spacing w:line="240" w:lineRule="auto"/>
        <w:rPr>
          <w:rFonts w:eastAsia="Times New Roman" w:cs="Arial"/>
        </w:rPr>
      </w:pPr>
      <w:r w:rsidRPr="00290557">
        <w:rPr>
          <w:rFonts w:eastAsia="Times New Roman" w:cs="Arial"/>
          <w:color w:val="000000"/>
          <w:lang w:eastAsia="bg-BG"/>
        </w:rPr>
        <w:t>Ксенопалан е показан също при психотични нарушения, възникващи в хода на болестта на Паркинсон, когато стандартното лечение е неефективно.</w:t>
      </w:r>
    </w:p>
    <w:p w14:paraId="2C76CDBE" w14:textId="77777777" w:rsidR="00290557" w:rsidRPr="00290557" w:rsidRDefault="00290557" w:rsidP="00290557"/>
    <w:p w14:paraId="30BE2C7B" w14:textId="4009897A" w:rsidR="008134C8" w:rsidRDefault="002C50EE" w:rsidP="004A448E">
      <w:pPr>
        <w:pStyle w:val="Heading2"/>
      </w:pPr>
      <w:r>
        <w:t>4.2. Дозировка и начин на приложение</w:t>
      </w:r>
    </w:p>
    <w:p w14:paraId="48EBD9F9" w14:textId="1B15F855" w:rsidR="00290557" w:rsidRDefault="00290557" w:rsidP="00290557"/>
    <w:p w14:paraId="6F941FB0" w14:textId="77777777" w:rsidR="00290557" w:rsidRPr="00290557" w:rsidRDefault="00290557" w:rsidP="00290557">
      <w:pPr>
        <w:pStyle w:val="Heading3"/>
        <w:rPr>
          <w:rFonts w:eastAsia="Times New Roman"/>
          <w:u w:val="single"/>
        </w:rPr>
      </w:pPr>
      <w:r w:rsidRPr="00290557">
        <w:rPr>
          <w:rFonts w:eastAsia="Times New Roman"/>
          <w:u w:val="single"/>
          <w:lang w:eastAsia="bg-BG"/>
        </w:rPr>
        <w:t>Дозировка</w:t>
      </w:r>
    </w:p>
    <w:p w14:paraId="2090979A"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Дозировката трябва да бъде определяна индивидуално. При всеки пациент трябва да се прилага най-ниската ефективна доза.</w:t>
      </w:r>
    </w:p>
    <w:p w14:paraId="6614C1BD"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За дози, които не може да се реализират с тази концентрация или не е практично нейното използване, са налични други концентрации на този лекарствен продукт.</w:t>
      </w:r>
    </w:p>
    <w:p w14:paraId="773DC1B3" w14:textId="77777777" w:rsidR="00290557" w:rsidRDefault="00290557" w:rsidP="00290557">
      <w:pPr>
        <w:spacing w:line="240" w:lineRule="auto"/>
        <w:rPr>
          <w:rFonts w:eastAsia="Times New Roman" w:cs="Arial"/>
          <w:color w:val="000000"/>
          <w:lang w:eastAsia="bg-BG"/>
        </w:rPr>
      </w:pPr>
    </w:p>
    <w:p w14:paraId="455964D9" w14:textId="2B29A222"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Започването на лечението с клозапин трябва да бъде ограничен до пациентите с брой на левкоцитите </w:t>
      </w:r>
      <w:r w:rsidRPr="00290557">
        <w:rPr>
          <w:rFonts w:eastAsia="Times New Roman" w:cs="Arial"/>
          <w:i/>
          <w:iCs/>
          <w:color w:val="000000"/>
          <w:lang w:eastAsia="bg-BG"/>
        </w:rPr>
        <w:t>≥3</w:t>
      </w:r>
      <w:r w:rsidRPr="00290557">
        <w:rPr>
          <w:rFonts w:eastAsia="Times New Roman" w:cs="Arial"/>
          <w:color w:val="000000"/>
          <w:lang w:eastAsia="bg-BG"/>
        </w:rPr>
        <w:t xml:space="preserve"> </w:t>
      </w:r>
      <w:r w:rsidRPr="00290557">
        <w:rPr>
          <w:rFonts w:eastAsia="Times New Roman" w:cs="Arial"/>
          <w:color w:val="000000"/>
          <w:lang w:val="ru-RU"/>
        </w:rPr>
        <w:t>500/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(3,5</w:t>
      </w:r>
      <w:r w:rsidRPr="00290557">
        <w:rPr>
          <w:rFonts w:eastAsia="Times New Roman" w:cs="Arial"/>
          <w:color w:val="000000"/>
          <w:lang w:val="en-US"/>
        </w:rPr>
        <w:t>x</w:t>
      </w:r>
      <w:r w:rsidRPr="00290557">
        <w:rPr>
          <w:rFonts w:eastAsia="Times New Roman" w:cs="Arial"/>
          <w:color w:val="000000"/>
          <w:lang w:val="ru-RU"/>
        </w:rPr>
        <w:t>1</w:t>
      </w:r>
      <w:r w:rsidRPr="00290557">
        <w:rPr>
          <w:rFonts w:eastAsia="Times New Roman" w:cs="Arial"/>
          <w:color w:val="000000"/>
          <w:lang w:eastAsia="bg-BG"/>
        </w:rPr>
        <w:t>0</w:t>
      </w:r>
      <w:r w:rsidRPr="00290557">
        <w:rPr>
          <w:rFonts w:eastAsia="Times New Roman" w:cs="Arial"/>
          <w:color w:val="000000"/>
          <w:vertAlign w:val="superscript"/>
          <w:lang w:eastAsia="bg-BG"/>
        </w:rPr>
        <w:t>9</w:t>
      </w:r>
      <w:r w:rsidRPr="00290557">
        <w:rPr>
          <w:rFonts w:eastAsia="Times New Roman" w:cs="Arial"/>
          <w:color w:val="000000"/>
          <w:lang w:eastAsia="bg-BG"/>
        </w:rPr>
        <w:t>/</w:t>
      </w:r>
      <w:r w:rsidRPr="00290557">
        <w:rPr>
          <w:rFonts w:eastAsia="Times New Roman" w:cs="Arial"/>
          <w:color w:val="000000"/>
          <w:lang w:val="en-US"/>
        </w:rPr>
        <w:t>l</w:t>
      </w:r>
      <w:r w:rsidRPr="00290557">
        <w:rPr>
          <w:rFonts w:eastAsia="Times New Roman" w:cs="Arial"/>
          <w:color w:val="000000"/>
          <w:lang w:eastAsia="bg-BG"/>
        </w:rPr>
        <w:t>) и АБН ≥2</w:t>
      </w:r>
      <w:r w:rsidRPr="00290557">
        <w:rPr>
          <w:rFonts w:eastAsia="Times New Roman" w:cs="Arial"/>
          <w:color w:val="000000"/>
          <w:lang w:val="ru-RU"/>
        </w:rPr>
        <w:t>000/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(2,0</w:t>
      </w:r>
      <w:r w:rsidRPr="00290557">
        <w:rPr>
          <w:rFonts w:eastAsia="Times New Roman" w:cs="Arial"/>
          <w:color w:val="000000"/>
          <w:lang w:val="en-US"/>
        </w:rPr>
        <w:t>x</w:t>
      </w:r>
      <w:r w:rsidRPr="00290557">
        <w:rPr>
          <w:rFonts w:eastAsia="Times New Roman" w:cs="Arial"/>
          <w:color w:val="000000"/>
          <w:lang w:val="ru-RU"/>
        </w:rPr>
        <w:t>1</w:t>
      </w:r>
      <w:r w:rsidRPr="00290557">
        <w:rPr>
          <w:rFonts w:eastAsia="Times New Roman" w:cs="Arial"/>
          <w:color w:val="000000"/>
          <w:lang w:eastAsia="bg-BG"/>
        </w:rPr>
        <w:t>0</w:t>
      </w:r>
      <w:r w:rsidRPr="00290557">
        <w:rPr>
          <w:rFonts w:eastAsia="Times New Roman" w:cs="Arial"/>
          <w:color w:val="000000"/>
          <w:vertAlign w:val="superscript"/>
          <w:lang w:eastAsia="bg-BG"/>
        </w:rPr>
        <w:t>9</w:t>
      </w:r>
      <w:r w:rsidRPr="00290557">
        <w:rPr>
          <w:rFonts w:eastAsia="Times New Roman" w:cs="Arial"/>
          <w:color w:val="000000"/>
          <w:lang w:eastAsia="bg-BG"/>
        </w:rPr>
        <w:t>/</w:t>
      </w:r>
      <w:r w:rsidRPr="00290557">
        <w:rPr>
          <w:rFonts w:eastAsia="Times New Roman" w:cs="Arial"/>
          <w:color w:val="000000"/>
          <w:lang w:val="en-US"/>
        </w:rPr>
        <w:t>l</w:t>
      </w:r>
      <w:r w:rsidRPr="00290557">
        <w:rPr>
          <w:rFonts w:eastAsia="Times New Roman" w:cs="Arial"/>
          <w:color w:val="000000"/>
          <w:lang w:eastAsia="bg-BG"/>
        </w:rPr>
        <w:t>) в рамките на референтните стойности.</w:t>
      </w:r>
    </w:p>
    <w:p w14:paraId="5D4B41D6" w14:textId="77777777" w:rsidR="00290557" w:rsidRDefault="00290557" w:rsidP="00290557">
      <w:pPr>
        <w:rPr>
          <w:rFonts w:eastAsia="Times New Roman" w:cs="Arial"/>
          <w:color w:val="000000"/>
          <w:lang w:eastAsia="bg-BG"/>
        </w:rPr>
      </w:pPr>
    </w:p>
    <w:p w14:paraId="657E21E8" w14:textId="77777777" w:rsidR="00290557" w:rsidRPr="00290557" w:rsidRDefault="00290557" w:rsidP="00290557">
      <w:pPr>
        <w:rPr>
          <w:rFonts w:eastAsia="Times New Roman" w:cs="Arial"/>
        </w:rPr>
      </w:pPr>
      <w:r w:rsidRPr="00290557">
        <w:rPr>
          <w:rFonts w:eastAsia="Times New Roman" w:cs="Arial"/>
          <w:color w:val="000000"/>
          <w:lang w:eastAsia="bg-BG"/>
        </w:rPr>
        <w:t>Коригирането на дозата е показано при пациенти, които получават едновременно и лекарствени продукти, които показват фармакодинамични и фармакокинетични взаимодействия с</w:t>
      </w:r>
      <w:r w:rsidRPr="00290557">
        <w:rPr>
          <w:rFonts w:eastAsia="Times New Roman" w:cs="Arial"/>
          <w:color w:val="000000"/>
          <w:lang w:val="ru-RU" w:eastAsia="bg-BG"/>
        </w:rPr>
        <w:t xml:space="preserve"> </w:t>
      </w:r>
      <w:r w:rsidRPr="00290557">
        <w:rPr>
          <w:rFonts w:eastAsia="Times New Roman" w:cs="Arial"/>
          <w:color w:val="000000"/>
          <w:lang w:eastAsia="bg-BG"/>
        </w:rPr>
        <w:t>Ксенопалан, като бензодиазепини или селективни инхибитори на обратното захващане на серотонина (вж. точка 4.5).</w:t>
      </w:r>
    </w:p>
    <w:p w14:paraId="32E7A46A" w14:textId="17DEC681"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Преминаване от предхождаща антипсихотична терапия, на лечение с Ксенопалан</w:t>
      </w:r>
    </w:p>
    <w:p w14:paraId="7B9B35E5"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Обикновено се препоръчва Ксенопалан да не се използва в комбинация с други антипсихотични лекарства. Когато се започва терапия с Ксенопалан при пациент на перорално лечение с антипсихотични лекарства се препоръчва първо да се спре приложението на останалите антипсихотици чрез постепенно понижаване на дозата.</w:t>
      </w:r>
    </w:p>
    <w:p w14:paraId="4A2EABDA" w14:textId="77777777" w:rsidR="00290557" w:rsidRDefault="00290557" w:rsidP="00290557">
      <w:pPr>
        <w:spacing w:line="240" w:lineRule="auto"/>
        <w:rPr>
          <w:rFonts w:eastAsia="Times New Roman" w:cs="Arial"/>
          <w:color w:val="000000"/>
          <w:lang w:eastAsia="bg-BG"/>
        </w:rPr>
      </w:pPr>
    </w:p>
    <w:p w14:paraId="0C6F85A9" w14:textId="0F18EC52" w:rsidR="00290557" w:rsidRPr="00290557" w:rsidRDefault="00290557" w:rsidP="00290557">
      <w:pPr>
        <w:spacing w:line="240" w:lineRule="auto"/>
        <w:rPr>
          <w:rFonts w:eastAsia="Times New Roman" w:cs="Arial"/>
        </w:rPr>
      </w:pPr>
      <w:r w:rsidRPr="00290557">
        <w:rPr>
          <w:rFonts w:eastAsia="Times New Roman" w:cs="Arial"/>
          <w:color w:val="000000"/>
          <w:lang w:eastAsia="bg-BG"/>
        </w:rPr>
        <w:t>Препоръчват се следните дози:</w:t>
      </w:r>
    </w:p>
    <w:p w14:paraId="29431F6A" w14:textId="77777777" w:rsidR="00290557" w:rsidRDefault="00290557" w:rsidP="00290557">
      <w:pPr>
        <w:spacing w:line="240" w:lineRule="auto"/>
        <w:rPr>
          <w:rFonts w:eastAsia="Times New Roman" w:cs="Arial"/>
          <w:b/>
          <w:bCs/>
          <w:color w:val="000000"/>
          <w:u w:val="single"/>
          <w:lang w:eastAsia="bg-BG"/>
        </w:rPr>
      </w:pPr>
    </w:p>
    <w:p w14:paraId="2D67546D" w14:textId="58720553" w:rsidR="00290557" w:rsidRPr="00290557" w:rsidRDefault="00290557" w:rsidP="00290557">
      <w:pPr>
        <w:spacing w:line="240" w:lineRule="auto"/>
        <w:rPr>
          <w:rFonts w:eastAsia="Times New Roman" w:cs="Arial"/>
        </w:rPr>
      </w:pPr>
      <w:r w:rsidRPr="00290557">
        <w:rPr>
          <w:rFonts w:eastAsia="Times New Roman" w:cs="Arial"/>
          <w:b/>
          <w:bCs/>
          <w:color w:val="000000"/>
          <w:u w:val="single"/>
          <w:lang w:eastAsia="bg-BG"/>
        </w:rPr>
        <w:t>Пациенти с терапевтично резистентна шизофрения</w:t>
      </w:r>
    </w:p>
    <w:p w14:paraId="05CB2CD7" w14:textId="77777777" w:rsidR="00290557" w:rsidRDefault="00290557" w:rsidP="00290557">
      <w:pPr>
        <w:spacing w:line="240" w:lineRule="auto"/>
        <w:rPr>
          <w:rFonts w:eastAsia="Times New Roman" w:cs="Arial"/>
          <w:b/>
          <w:bCs/>
          <w:color w:val="000000"/>
          <w:lang w:eastAsia="bg-BG"/>
        </w:rPr>
      </w:pPr>
    </w:p>
    <w:p w14:paraId="701E9DA1" w14:textId="7B83AE85"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Начална терапия</w:t>
      </w:r>
    </w:p>
    <w:p w14:paraId="619226FE"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12,5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 xml:space="preserve">(половин таблетка от 25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 xml:space="preserve">един или два пъти дневно през първия ден, последвано от прием на една или две таблетки от 25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 xml:space="preserve">на втория ден. При добра поносимост дневната доза след това може да се повиши бавно с увеличения от 25 до 50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 xml:space="preserve">за да се постигне дозово ниво до 300 </w:t>
      </w:r>
      <w:r w:rsidRPr="00290557">
        <w:rPr>
          <w:rFonts w:eastAsia="Times New Roman" w:cs="Arial"/>
          <w:color w:val="000000"/>
          <w:lang w:val="en-US"/>
        </w:rPr>
        <w:t>mg</w:t>
      </w:r>
      <w:r w:rsidRPr="00290557">
        <w:rPr>
          <w:rFonts w:eastAsia="Times New Roman" w:cs="Arial"/>
          <w:color w:val="000000"/>
          <w:lang w:eastAsia="bg-BG"/>
        </w:rPr>
        <w:t xml:space="preserve">/ден в рамките на 2 до 3 седмици. След това, ако се налага, дневната доза може допълнително да се повиши с увеличения от 50 до 100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през интервали от половин или, за предпочитане, една седмица.</w:t>
      </w:r>
    </w:p>
    <w:p w14:paraId="051313E9" w14:textId="77777777" w:rsidR="00290557" w:rsidRDefault="00290557" w:rsidP="00290557">
      <w:pPr>
        <w:spacing w:line="240" w:lineRule="auto"/>
        <w:rPr>
          <w:rFonts w:eastAsia="Times New Roman" w:cs="Arial"/>
          <w:b/>
          <w:bCs/>
          <w:color w:val="000000"/>
          <w:lang w:eastAsia="bg-BG"/>
        </w:rPr>
      </w:pPr>
      <w:bookmarkStart w:id="3" w:name="bookmark3"/>
    </w:p>
    <w:p w14:paraId="3EEEC1B4" w14:textId="5E83E5C8"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Терапевтичен обхват на дозата</w:t>
      </w:r>
      <w:bookmarkEnd w:id="3"/>
    </w:p>
    <w:p w14:paraId="6889F1A7"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При повечето пациенти може да се очаква антипсихотична ефикасност с 200 до 450 </w:t>
      </w:r>
      <w:r w:rsidRPr="00290557">
        <w:rPr>
          <w:rFonts w:eastAsia="Times New Roman" w:cs="Arial"/>
          <w:color w:val="000000"/>
          <w:lang w:val="en-US"/>
        </w:rPr>
        <w:t>mg</w:t>
      </w:r>
      <w:r w:rsidRPr="00290557">
        <w:rPr>
          <w:rFonts w:eastAsia="Times New Roman" w:cs="Arial"/>
          <w:color w:val="000000"/>
          <w:lang w:eastAsia="bg-BG"/>
        </w:rPr>
        <w:t>/ден, давани в отделни дози. Общата дневна доза може да не бъде разпределена поравно, като по- голямата част се дава преди лягане. Относно поддържащата доза вижте по-долу.</w:t>
      </w:r>
    </w:p>
    <w:p w14:paraId="4854A4A5" w14:textId="77777777" w:rsidR="00290557" w:rsidRDefault="00290557" w:rsidP="00290557">
      <w:pPr>
        <w:spacing w:line="240" w:lineRule="auto"/>
        <w:rPr>
          <w:rFonts w:eastAsia="Times New Roman" w:cs="Arial"/>
          <w:b/>
          <w:bCs/>
          <w:color w:val="000000"/>
          <w:lang w:eastAsia="bg-BG"/>
        </w:rPr>
      </w:pPr>
      <w:bookmarkStart w:id="4" w:name="bookmark5"/>
    </w:p>
    <w:p w14:paraId="0F0876A7" w14:textId="47EF747C"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Максимална доза</w:t>
      </w:r>
      <w:bookmarkEnd w:id="4"/>
    </w:p>
    <w:p w14:paraId="52BC961F"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За да се постигне максимален терапевтичен ефект, при малък брой пациенти е възможна необходимост от прилагане на по-големи дози, като в този случай е допустимо разумно нарастване на дозата (т.е. не повече от 100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 xml:space="preserve">до 900 </w:t>
      </w:r>
      <w:r w:rsidRPr="00290557">
        <w:rPr>
          <w:rFonts w:eastAsia="Times New Roman" w:cs="Arial"/>
          <w:color w:val="000000"/>
          <w:lang w:val="en-US"/>
        </w:rPr>
        <w:t>mg</w:t>
      </w:r>
      <w:r w:rsidRPr="00290557">
        <w:rPr>
          <w:rFonts w:eastAsia="Times New Roman" w:cs="Arial"/>
          <w:color w:val="000000"/>
          <w:lang w:eastAsia="bg-BG"/>
        </w:rPr>
        <w:t xml:space="preserve">/ден. Трябва да се има предвид вероятността за повишена честота на нежеланите реакции (особено гърчове), възникващи при дози над 450 </w:t>
      </w:r>
      <w:r w:rsidRPr="00290557">
        <w:rPr>
          <w:rFonts w:eastAsia="Times New Roman" w:cs="Arial"/>
          <w:color w:val="000000"/>
          <w:lang w:val="en-US"/>
        </w:rPr>
        <w:t>mg</w:t>
      </w:r>
      <w:r w:rsidRPr="00290557">
        <w:rPr>
          <w:rFonts w:eastAsia="Times New Roman" w:cs="Arial"/>
          <w:color w:val="000000"/>
          <w:lang w:eastAsia="bg-BG"/>
        </w:rPr>
        <w:t>/ден.</w:t>
      </w:r>
    </w:p>
    <w:p w14:paraId="2E3A8031" w14:textId="77777777" w:rsidR="00290557" w:rsidRDefault="00290557" w:rsidP="00290557">
      <w:pPr>
        <w:spacing w:line="240" w:lineRule="auto"/>
        <w:rPr>
          <w:rFonts w:eastAsia="Times New Roman" w:cs="Arial"/>
          <w:b/>
          <w:bCs/>
          <w:color w:val="000000"/>
          <w:lang w:eastAsia="bg-BG"/>
        </w:rPr>
      </w:pPr>
      <w:bookmarkStart w:id="5" w:name="bookmark7"/>
    </w:p>
    <w:p w14:paraId="27D7F89B" w14:textId="723D217C"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Поддържаща доза</w:t>
      </w:r>
      <w:bookmarkEnd w:id="5"/>
    </w:p>
    <w:p w14:paraId="236927E1"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lastRenderedPageBreak/>
        <w:t xml:space="preserve">След постигане на максималната терапевтична ефективност, много пациенти биха могли да останат на ефективна поддържаща терапия с по-ниски дози. По тази причина се препоръчва внимателно титриране с цел понижаване на дозата. Лечението трябва да продължи най-малко 6 месеца. Ако дневната доза не превишава 200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може да е подходящо еднократното дневно приложение вечер.</w:t>
      </w:r>
    </w:p>
    <w:p w14:paraId="202B5581" w14:textId="77777777" w:rsidR="00290557" w:rsidRDefault="00290557" w:rsidP="00290557">
      <w:pPr>
        <w:spacing w:line="240" w:lineRule="auto"/>
        <w:rPr>
          <w:rFonts w:eastAsia="Times New Roman" w:cs="Arial"/>
          <w:b/>
          <w:bCs/>
          <w:color w:val="000000"/>
          <w:lang w:eastAsia="bg-BG"/>
        </w:rPr>
      </w:pPr>
      <w:bookmarkStart w:id="6" w:name="bookmark9"/>
    </w:p>
    <w:p w14:paraId="142BA6DA" w14:textId="4C0969C4"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Приключване на лечението</w:t>
      </w:r>
      <w:bookmarkEnd w:id="6"/>
    </w:p>
    <w:p w14:paraId="69ACB0F1"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В случай на планирано прекратяване на лечението с клозапин се препоръчва постепенно понижаване на дозата за период от 1 до 2 седмици. Ако се налага внезапно спиране на приема на лекарствения продукт, пациентът трябва да бъде наблюдаван внимателно за възникване на реакции на отнемане (вж. точка 4.4).</w:t>
      </w:r>
    </w:p>
    <w:p w14:paraId="6D46B137" w14:textId="77777777" w:rsidR="00290557" w:rsidRDefault="00290557" w:rsidP="00290557">
      <w:pPr>
        <w:spacing w:line="240" w:lineRule="auto"/>
        <w:rPr>
          <w:rFonts w:eastAsia="Times New Roman" w:cs="Arial"/>
          <w:b/>
          <w:bCs/>
          <w:color w:val="000000"/>
          <w:lang w:eastAsia="bg-BG"/>
        </w:rPr>
      </w:pPr>
      <w:bookmarkStart w:id="7" w:name="bookmark11"/>
    </w:p>
    <w:p w14:paraId="210CECC9" w14:textId="1554B23E"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Повторно започване на лечение</w:t>
      </w:r>
      <w:bookmarkEnd w:id="7"/>
    </w:p>
    <w:p w14:paraId="34E4844F" w14:textId="07E4AFB1" w:rsidR="00290557" w:rsidRPr="00290557" w:rsidRDefault="00290557" w:rsidP="00290557">
      <w:pPr>
        <w:rPr>
          <w:rFonts w:eastAsia="Times New Roman" w:cs="Arial"/>
          <w:color w:val="000000"/>
          <w:lang w:val="ru-RU" w:eastAsia="bg-BG"/>
        </w:rPr>
      </w:pPr>
      <w:r w:rsidRPr="00290557">
        <w:rPr>
          <w:rFonts w:eastAsia="Times New Roman" w:cs="Arial"/>
          <w:color w:val="000000"/>
          <w:lang w:eastAsia="bg-BG"/>
        </w:rPr>
        <w:t xml:space="preserve">При пациентите, при които интервалът от последната доза клозапин е повече от 2 дни, лечението трябва да се възобнови с доза от 12,5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 xml:space="preserve">(половин таблетка от 25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дадена еднократно или двукратно през първия ден. Ако дозата е с добра поносимост, възможно е титриране на дозата до терапевтичното ниво по-бързо, отколкото се препоръчва при първоначалното лечение. Въпреки това, ако преди това пациентът е получил спиране на дишането или сърдечната дейност с началната доза (вж. точка 4.4), но след това дозата била титрирана успешно до терапевтичната, повторното титриране трябва да се извършва изключително внимателно.</w:t>
      </w:r>
    </w:p>
    <w:p w14:paraId="142723CE" w14:textId="397BEC69" w:rsidR="00290557" w:rsidRDefault="00290557" w:rsidP="00290557">
      <w:pPr>
        <w:rPr>
          <w:rFonts w:cs="Arial"/>
        </w:rPr>
      </w:pPr>
    </w:p>
    <w:p w14:paraId="71861E5D" w14:textId="77777777" w:rsidR="00290557" w:rsidRPr="00290557" w:rsidRDefault="00290557" w:rsidP="00290557">
      <w:pPr>
        <w:spacing w:line="240" w:lineRule="auto"/>
        <w:rPr>
          <w:rFonts w:eastAsia="Times New Roman" w:cs="Arial"/>
        </w:rPr>
      </w:pPr>
      <w:r w:rsidRPr="00290557">
        <w:rPr>
          <w:rFonts w:eastAsia="Times New Roman" w:cs="Arial"/>
          <w:b/>
          <w:bCs/>
          <w:color w:val="000000"/>
          <w:u w:val="single"/>
          <w:lang w:eastAsia="bg-BG"/>
        </w:rPr>
        <w:t>Психотични разстройства, възникващи в хода на болестта на Паркинсон в случаите, когато стандартното лечение е неуспешно</w:t>
      </w:r>
    </w:p>
    <w:p w14:paraId="1E786106" w14:textId="77777777" w:rsidR="00290557" w:rsidRDefault="00290557" w:rsidP="00290557">
      <w:pPr>
        <w:spacing w:line="240" w:lineRule="auto"/>
        <w:rPr>
          <w:rFonts w:eastAsia="Times New Roman" w:cs="Arial"/>
          <w:b/>
          <w:bCs/>
          <w:color w:val="000000"/>
          <w:lang w:eastAsia="bg-BG"/>
        </w:rPr>
      </w:pPr>
    </w:p>
    <w:p w14:paraId="4147BDF0" w14:textId="624F7CEC"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Начална терапия</w:t>
      </w:r>
    </w:p>
    <w:p w14:paraId="784E663E"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Началната доза не трябва да превишава 12,5 </w:t>
      </w:r>
      <w:r w:rsidRPr="00290557">
        <w:rPr>
          <w:rFonts w:eastAsia="Times New Roman" w:cs="Arial"/>
          <w:color w:val="000000"/>
          <w:lang w:val="en-US"/>
        </w:rPr>
        <w:t>mg</w:t>
      </w:r>
      <w:r w:rsidRPr="00290557">
        <w:rPr>
          <w:rFonts w:eastAsia="Times New Roman" w:cs="Arial"/>
          <w:color w:val="000000"/>
          <w:lang w:eastAsia="bg-BG"/>
        </w:rPr>
        <w:t xml:space="preserve">/ден (половин таблетка от 25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 xml:space="preserve">приемана вечер. Последващите повишения на дозата трябва да бъдат с по 12,5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 xml:space="preserve">с максимално две повишавания седмично до максимална доза от 50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която не може да бъде достигната до края на втората седмица. За предпочитана е цялото количество за деня да се дава като единична доза вечер.</w:t>
      </w:r>
    </w:p>
    <w:p w14:paraId="1FEAB153" w14:textId="77777777" w:rsidR="00290557" w:rsidRDefault="00290557" w:rsidP="00290557">
      <w:pPr>
        <w:spacing w:line="240" w:lineRule="auto"/>
        <w:rPr>
          <w:rFonts w:eastAsia="Times New Roman" w:cs="Arial"/>
          <w:b/>
          <w:bCs/>
          <w:color w:val="000000"/>
          <w:lang w:eastAsia="bg-BG"/>
        </w:rPr>
      </w:pPr>
      <w:bookmarkStart w:id="8" w:name="bookmark4"/>
    </w:p>
    <w:p w14:paraId="72B5525B" w14:textId="0B2EDD41"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Терапевтичен обхват на дозата</w:t>
      </w:r>
      <w:bookmarkEnd w:id="8"/>
    </w:p>
    <w:p w14:paraId="31255463"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Средната ефективна доза обикновено е между 25 и 37,5 </w:t>
      </w:r>
      <w:r w:rsidRPr="00290557">
        <w:rPr>
          <w:rFonts w:eastAsia="Times New Roman" w:cs="Arial"/>
          <w:color w:val="000000"/>
          <w:lang w:val="en-US"/>
        </w:rPr>
        <w:t>mg</w:t>
      </w:r>
      <w:r w:rsidRPr="00290557">
        <w:rPr>
          <w:rFonts w:eastAsia="Times New Roman" w:cs="Arial"/>
          <w:color w:val="000000"/>
          <w:lang w:eastAsia="bg-BG"/>
        </w:rPr>
        <w:t xml:space="preserve">/ден. В случай, че лечението за поне една седмица с доза от 50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 xml:space="preserve">не даде задоволителен терапевтичен отговор, дозировката може да се повиши внимателно с увеличение от 12,5 </w:t>
      </w:r>
      <w:r w:rsidRPr="00290557">
        <w:rPr>
          <w:rFonts w:eastAsia="Times New Roman" w:cs="Arial"/>
          <w:color w:val="000000"/>
          <w:lang w:val="en-US"/>
        </w:rPr>
        <w:t>mg</w:t>
      </w:r>
      <w:r w:rsidRPr="00290557">
        <w:rPr>
          <w:rFonts w:eastAsia="Times New Roman" w:cs="Arial"/>
          <w:color w:val="000000"/>
          <w:lang w:eastAsia="bg-BG"/>
        </w:rPr>
        <w:t>/седмично.</w:t>
      </w:r>
    </w:p>
    <w:p w14:paraId="147E3EBA" w14:textId="77777777" w:rsidR="00290557" w:rsidRDefault="00290557" w:rsidP="00290557">
      <w:pPr>
        <w:spacing w:line="240" w:lineRule="auto"/>
        <w:rPr>
          <w:rFonts w:eastAsia="Times New Roman" w:cs="Arial"/>
          <w:b/>
          <w:bCs/>
          <w:color w:val="000000"/>
          <w:lang w:eastAsia="bg-BG"/>
        </w:rPr>
      </w:pPr>
      <w:bookmarkStart w:id="9" w:name="bookmark6"/>
    </w:p>
    <w:p w14:paraId="00232007" w14:textId="09A18529"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Максимална доза</w:t>
      </w:r>
      <w:bookmarkEnd w:id="9"/>
    </w:p>
    <w:p w14:paraId="5E9059A6"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Дозата от 50 </w:t>
      </w:r>
      <w:r w:rsidRPr="00290557">
        <w:rPr>
          <w:rFonts w:eastAsia="Times New Roman" w:cs="Arial"/>
          <w:color w:val="000000"/>
          <w:lang w:val="en-US"/>
        </w:rPr>
        <w:t>mg</w:t>
      </w:r>
      <w:r w:rsidRPr="00290557">
        <w:rPr>
          <w:rFonts w:eastAsia="Times New Roman" w:cs="Arial"/>
          <w:color w:val="000000"/>
          <w:lang w:eastAsia="bg-BG"/>
        </w:rPr>
        <w:t xml:space="preserve">/ден трябва да се превишава само в изключителни случаи и никога не трябва да се превишава максималната доза от 100 </w:t>
      </w:r>
      <w:r w:rsidRPr="00290557">
        <w:rPr>
          <w:rFonts w:eastAsia="Times New Roman" w:cs="Arial"/>
          <w:color w:val="000000"/>
          <w:lang w:val="en-US"/>
        </w:rPr>
        <w:t>mg</w:t>
      </w:r>
      <w:r w:rsidRPr="00290557">
        <w:rPr>
          <w:rFonts w:eastAsia="Times New Roman" w:cs="Arial"/>
          <w:color w:val="000000"/>
          <w:lang w:eastAsia="bg-BG"/>
        </w:rPr>
        <w:t>/ден.</w:t>
      </w:r>
    </w:p>
    <w:p w14:paraId="66372E8B" w14:textId="77777777" w:rsidR="00290557" w:rsidRDefault="00290557" w:rsidP="00290557">
      <w:pPr>
        <w:spacing w:line="240" w:lineRule="auto"/>
        <w:rPr>
          <w:rFonts w:eastAsia="Times New Roman" w:cs="Arial"/>
          <w:color w:val="000000"/>
          <w:lang w:eastAsia="bg-BG"/>
        </w:rPr>
      </w:pPr>
    </w:p>
    <w:p w14:paraId="62CC1C7B" w14:textId="53F4824A" w:rsidR="00290557" w:rsidRPr="00290557" w:rsidRDefault="00290557" w:rsidP="00290557">
      <w:pPr>
        <w:spacing w:line="240" w:lineRule="auto"/>
        <w:rPr>
          <w:rFonts w:eastAsia="Times New Roman" w:cs="Arial"/>
        </w:rPr>
      </w:pPr>
      <w:r w:rsidRPr="00290557">
        <w:rPr>
          <w:rFonts w:eastAsia="Times New Roman" w:cs="Arial"/>
          <w:color w:val="000000"/>
          <w:lang w:eastAsia="bg-BG"/>
        </w:rPr>
        <w:t>Повишаванията на дозата трябва да бъдат ограничени или отложени, ако се появят ортостатична хипотония, силно изразено седиране или обърканост. През първите седмици на лечението трябва да се следи кръвното налягане.</w:t>
      </w:r>
    </w:p>
    <w:p w14:paraId="0EB30E4E" w14:textId="77777777" w:rsidR="00290557" w:rsidRDefault="00290557" w:rsidP="00290557">
      <w:pPr>
        <w:spacing w:line="240" w:lineRule="auto"/>
        <w:rPr>
          <w:rFonts w:eastAsia="Times New Roman" w:cs="Arial"/>
          <w:b/>
          <w:bCs/>
          <w:color w:val="000000"/>
          <w:lang w:eastAsia="bg-BG"/>
        </w:rPr>
      </w:pPr>
      <w:bookmarkStart w:id="10" w:name="bookmark8"/>
    </w:p>
    <w:p w14:paraId="4B6D877B" w14:textId="4A392E53"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Поддържаща доза</w:t>
      </w:r>
      <w:bookmarkEnd w:id="10"/>
    </w:p>
    <w:p w14:paraId="43F349A2"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В случай, че е постигната пълна ремисия на психотичните симптоми в продължение на поне две седмици, е възможно повишаване на дозите на антипаркинсоновите лекарства, ако това е показано въз основа на моторния статус. Ако този подход доведе до повторна поява на психотичните симптоми, дозата клозапин може да се повиши с увеличения от </w:t>
      </w:r>
      <w:r w:rsidRPr="00290557">
        <w:rPr>
          <w:rFonts w:eastAsia="Times New Roman" w:cs="Arial"/>
          <w:color w:val="000000"/>
          <w:lang w:eastAsia="bg-BG"/>
        </w:rPr>
        <w:lastRenderedPageBreak/>
        <w:t xml:space="preserve">12,5 </w:t>
      </w:r>
      <w:r w:rsidRPr="00290557">
        <w:rPr>
          <w:rFonts w:eastAsia="Times New Roman" w:cs="Arial"/>
          <w:color w:val="000000"/>
          <w:lang w:val="en-US"/>
        </w:rPr>
        <w:t>mg</w:t>
      </w:r>
      <w:r w:rsidRPr="00290557">
        <w:rPr>
          <w:rFonts w:eastAsia="Times New Roman" w:cs="Arial"/>
          <w:color w:val="000000"/>
          <w:lang w:eastAsia="bg-BG"/>
        </w:rPr>
        <w:t xml:space="preserve">/седмично до максимум от 100 </w:t>
      </w:r>
      <w:r w:rsidRPr="00290557">
        <w:rPr>
          <w:rFonts w:eastAsia="Times New Roman" w:cs="Arial"/>
          <w:color w:val="000000"/>
          <w:lang w:val="en-US"/>
        </w:rPr>
        <w:t>mg</w:t>
      </w:r>
      <w:r w:rsidRPr="00290557">
        <w:rPr>
          <w:rFonts w:eastAsia="Times New Roman" w:cs="Arial"/>
          <w:color w:val="000000"/>
          <w:lang w:eastAsia="bg-BG"/>
        </w:rPr>
        <w:t>/ден, приемани в една или две отделни дози (вж. по- горе).</w:t>
      </w:r>
    </w:p>
    <w:p w14:paraId="4269126C" w14:textId="77777777" w:rsidR="00290557" w:rsidRDefault="00290557" w:rsidP="00290557">
      <w:pPr>
        <w:spacing w:line="240" w:lineRule="auto"/>
        <w:rPr>
          <w:rFonts w:eastAsia="Times New Roman" w:cs="Arial"/>
          <w:b/>
          <w:bCs/>
          <w:color w:val="000000"/>
          <w:lang w:eastAsia="bg-BG"/>
        </w:rPr>
      </w:pPr>
      <w:bookmarkStart w:id="11" w:name="bookmark10"/>
    </w:p>
    <w:p w14:paraId="675C9E6C" w14:textId="06388C3F"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Приключване на лечението</w:t>
      </w:r>
      <w:bookmarkEnd w:id="11"/>
    </w:p>
    <w:p w14:paraId="46BDC58D" w14:textId="77777777" w:rsidR="00290557" w:rsidRDefault="00290557" w:rsidP="00290557">
      <w:pPr>
        <w:spacing w:line="240" w:lineRule="auto"/>
        <w:rPr>
          <w:rFonts w:eastAsia="Times New Roman" w:cs="Arial"/>
          <w:color w:val="000000"/>
          <w:lang w:eastAsia="bg-BG"/>
        </w:rPr>
      </w:pPr>
      <w:r w:rsidRPr="00290557">
        <w:rPr>
          <w:rFonts w:eastAsia="Times New Roman" w:cs="Arial"/>
          <w:color w:val="000000"/>
          <w:lang w:eastAsia="bg-BG"/>
        </w:rPr>
        <w:t xml:space="preserve">Препоръчва се постепенно понижаване на дозата с по 12,5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 xml:space="preserve">за период от най малко </w:t>
      </w:r>
    </w:p>
    <w:p w14:paraId="67367584" w14:textId="6E016648" w:rsidR="00290557" w:rsidRPr="00290557" w:rsidRDefault="00290557" w:rsidP="00290557">
      <w:pPr>
        <w:spacing w:line="240" w:lineRule="auto"/>
        <w:rPr>
          <w:rFonts w:eastAsia="Times New Roman" w:cs="Arial"/>
        </w:rPr>
      </w:pPr>
      <w:r w:rsidRPr="00290557">
        <w:rPr>
          <w:rFonts w:eastAsia="Times New Roman" w:cs="Arial"/>
          <w:color w:val="000000"/>
          <w:lang w:eastAsia="bg-BG"/>
        </w:rPr>
        <w:t>една седмица (за предпочитане две седмици).</w:t>
      </w:r>
    </w:p>
    <w:p w14:paraId="2339868E" w14:textId="77777777" w:rsidR="00290557" w:rsidRDefault="00290557" w:rsidP="00290557">
      <w:pPr>
        <w:spacing w:line="240" w:lineRule="auto"/>
        <w:rPr>
          <w:rFonts w:eastAsia="Times New Roman" w:cs="Arial"/>
          <w:color w:val="000000"/>
          <w:lang w:eastAsia="bg-BG"/>
        </w:rPr>
      </w:pPr>
    </w:p>
    <w:p w14:paraId="2F473274" w14:textId="7950938D" w:rsidR="00290557" w:rsidRPr="00290557" w:rsidRDefault="00290557" w:rsidP="00290557">
      <w:pPr>
        <w:spacing w:line="240" w:lineRule="auto"/>
        <w:rPr>
          <w:rFonts w:eastAsia="Times New Roman" w:cs="Arial"/>
        </w:rPr>
      </w:pPr>
      <w:r w:rsidRPr="00290557">
        <w:rPr>
          <w:rFonts w:eastAsia="Times New Roman" w:cs="Arial"/>
          <w:color w:val="000000"/>
          <w:lang w:eastAsia="bg-BG"/>
        </w:rPr>
        <w:t>Лечението трябва незабавно да се преустанови при възникване на неутропения или агранулоцитоза, както е посочено в точка 4.4. В този случай от основно значение е внимателното проследяване на психиатричния статус на пациента, тъй като симптомите биха могли бързо да се появят отново.</w:t>
      </w:r>
    </w:p>
    <w:p w14:paraId="1D318BEF" w14:textId="77777777" w:rsidR="00290557" w:rsidRDefault="00290557" w:rsidP="00290557">
      <w:pPr>
        <w:spacing w:line="240" w:lineRule="auto"/>
        <w:rPr>
          <w:rFonts w:eastAsia="Times New Roman" w:cs="Arial"/>
          <w:b/>
          <w:bCs/>
          <w:color w:val="000000"/>
          <w:lang w:eastAsia="bg-BG"/>
        </w:rPr>
      </w:pPr>
      <w:bookmarkStart w:id="12" w:name="bookmark12"/>
    </w:p>
    <w:p w14:paraId="59675C63" w14:textId="70EBB2A6"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Специални групи пациенти</w:t>
      </w:r>
      <w:bookmarkEnd w:id="12"/>
    </w:p>
    <w:p w14:paraId="6539E29B" w14:textId="77777777" w:rsidR="00290557" w:rsidRDefault="00290557" w:rsidP="00290557">
      <w:pPr>
        <w:spacing w:line="240" w:lineRule="auto"/>
        <w:rPr>
          <w:rFonts w:eastAsia="Times New Roman" w:cs="Arial"/>
          <w:b/>
          <w:bCs/>
          <w:color w:val="000000"/>
          <w:lang w:eastAsia="bg-BG"/>
        </w:rPr>
      </w:pPr>
    </w:p>
    <w:p w14:paraId="6D503068" w14:textId="10D20C98"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Пациенти с чернодробно увреждане</w:t>
      </w:r>
    </w:p>
    <w:p w14:paraId="385DFBF2"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При пациенти с чернодробно увреждане Ксенопалан трябва да се прилага с повишено внимание, като редовно се проследяват чернодробните функции (вж. точка 4.4 Специални предупреждения и предпазни мерки при употреба).</w:t>
      </w:r>
    </w:p>
    <w:p w14:paraId="2A494D40" w14:textId="77777777" w:rsidR="00290557" w:rsidRDefault="00290557" w:rsidP="00290557">
      <w:pPr>
        <w:spacing w:line="240" w:lineRule="auto"/>
        <w:rPr>
          <w:rFonts w:eastAsia="Times New Roman" w:cs="Arial"/>
          <w:b/>
          <w:bCs/>
          <w:color w:val="000000"/>
          <w:lang w:eastAsia="bg-BG"/>
        </w:rPr>
      </w:pPr>
      <w:bookmarkStart w:id="13" w:name="bookmark15"/>
    </w:p>
    <w:p w14:paraId="089737A1" w14:textId="78B747C5"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Педиатрична популация</w:t>
      </w:r>
      <w:bookmarkEnd w:id="13"/>
    </w:p>
    <w:p w14:paraId="2C3DBE42"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Не са провеждани изследвания в педиатричната популация. Безопасността и ефикасността при деца и юноши не са установени.</w:t>
      </w:r>
      <w:bookmarkStart w:id="14" w:name="bookmark17"/>
      <w:bookmarkEnd w:id="14"/>
    </w:p>
    <w:p w14:paraId="57B8A83E" w14:textId="77777777" w:rsidR="00290557" w:rsidRPr="00290557" w:rsidRDefault="00290557" w:rsidP="00290557">
      <w:pPr>
        <w:spacing w:line="240" w:lineRule="auto"/>
        <w:rPr>
          <w:rFonts w:eastAsia="Times New Roman" w:cs="Arial"/>
        </w:rPr>
      </w:pPr>
    </w:p>
    <w:p w14:paraId="621B2A30" w14:textId="77777777"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Пациенти на възраст на и над 60 години</w:t>
      </w:r>
    </w:p>
    <w:p w14:paraId="62295AF9" w14:textId="59254D51" w:rsidR="00290557" w:rsidRDefault="00290557" w:rsidP="00290557">
      <w:pPr>
        <w:rPr>
          <w:rFonts w:eastAsia="Times New Roman" w:cs="Arial"/>
          <w:color w:val="000000"/>
          <w:lang w:eastAsia="bg-BG"/>
        </w:rPr>
      </w:pPr>
      <w:r w:rsidRPr="00290557">
        <w:rPr>
          <w:rFonts w:eastAsia="Times New Roman" w:cs="Arial"/>
          <w:color w:val="000000"/>
          <w:lang w:eastAsia="bg-BG"/>
        </w:rPr>
        <w:t xml:space="preserve">При тези пациенти се препоръчва започване на лечението с много ниска доза (12,5 </w:t>
      </w:r>
      <w:r w:rsidRPr="00290557">
        <w:rPr>
          <w:rFonts w:eastAsia="Times New Roman" w:cs="Arial"/>
          <w:color w:val="000000"/>
          <w:lang w:val="en-US"/>
        </w:rPr>
        <w:t>mg</w:t>
      </w:r>
      <w:r w:rsidRPr="00290557">
        <w:rPr>
          <w:rFonts w:eastAsia="Times New Roman" w:cs="Arial"/>
          <w:color w:val="000000"/>
          <w:lang w:eastAsia="bg-BG"/>
        </w:rPr>
        <w:t xml:space="preserve"> еднократно първия ден), с последващо увеличение на дозата до 25 </w:t>
      </w:r>
      <w:r w:rsidRPr="00290557">
        <w:rPr>
          <w:rFonts w:eastAsia="Times New Roman" w:cs="Arial"/>
          <w:color w:val="000000"/>
          <w:lang w:val="en-US"/>
        </w:rPr>
        <w:t>mg</w:t>
      </w:r>
      <w:r w:rsidRPr="00290557">
        <w:rPr>
          <w:rFonts w:eastAsia="Times New Roman" w:cs="Arial"/>
          <w:color w:val="000000"/>
          <w:lang w:val="ru-RU"/>
        </w:rPr>
        <w:t xml:space="preserve"> </w:t>
      </w:r>
      <w:r w:rsidRPr="00290557">
        <w:rPr>
          <w:rFonts w:eastAsia="Times New Roman" w:cs="Arial"/>
          <w:color w:val="000000"/>
          <w:lang w:eastAsia="bg-BG"/>
        </w:rPr>
        <w:t>дневно.</w:t>
      </w:r>
    </w:p>
    <w:p w14:paraId="0713F7B1" w14:textId="2411FDEB" w:rsidR="00290557" w:rsidRDefault="00290557" w:rsidP="00290557">
      <w:pPr>
        <w:rPr>
          <w:rFonts w:eastAsia="Times New Roman" w:cs="Arial"/>
          <w:color w:val="000000"/>
          <w:lang w:eastAsia="bg-BG"/>
        </w:rPr>
      </w:pPr>
    </w:p>
    <w:p w14:paraId="5728FB63" w14:textId="77777777" w:rsidR="00290557" w:rsidRPr="00290557" w:rsidRDefault="00290557" w:rsidP="00290557">
      <w:pPr>
        <w:pStyle w:val="Heading3"/>
        <w:rPr>
          <w:rFonts w:eastAsia="Times New Roman"/>
          <w:u w:val="single"/>
        </w:rPr>
      </w:pPr>
      <w:r w:rsidRPr="00290557">
        <w:rPr>
          <w:rFonts w:eastAsia="Times New Roman"/>
          <w:u w:val="single"/>
          <w:lang w:eastAsia="bg-BG"/>
        </w:rPr>
        <w:t>Начин на приложение</w:t>
      </w:r>
    </w:p>
    <w:p w14:paraId="6146F82F" w14:textId="5CEA75C9" w:rsidR="00290557" w:rsidRDefault="00290557" w:rsidP="00290557">
      <w:pPr>
        <w:rPr>
          <w:rFonts w:eastAsia="Times New Roman" w:cs="Arial"/>
          <w:color w:val="000000"/>
          <w:lang w:eastAsia="bg-BG"/>
        </w:rPr>
      </w:pPr>
      <w:r w:rsidRPr="00290557">
        <w:rPr>
          <w:rFonts w:eastAsia="Times New Roman" w:cs="Arial"/>
          <w:color w:val="000000"/>
          <w:lang w:eastAsia="bg-BG"/>
        </w:rPr>
        <w:t>Ксенопалан таблетки се прилагат перорално.</w:t>
      </w:r>
    </w:p>
    <w:p w14:paraId="29B599B4" w14:textId="77777777" w:rsidR="00290557" w:rsidRPr="00290557" w:rsidRDefault="00290557" w:rsidP="00290557">
      <w:pPr>
        <w:rPr>
          <w:rFonts w:cs="Arial"/>
          <w:lang w:val="ru-RU"/>
        </w:rPr>
      </w:pPr>
    </w:p>
    <w:p w14:paraId="28C984E8" w14:textId="250A8675" w:rsidR="008134C8" w:rsidRDefault="002C50EE" w:rsidP="004A448E">
      <w:pPr>
        <w:pStyle w:val="Heading2"/>
      </w:pPr>
      <w:r>
        <w:t>4.3. Противопоказания</w:t>
      </w:r>
    </w:p>
    <w:p w14:paraId="1FD4EA82" w14:textId="463532F3" w:rsidR="00290557" w:rsidRDefault="00290557" w:rsidP="00290557"/>
    <w:p w14:paraId="09046A2E" w14:textId="77777777" w:rsidR="00290557" w:rsidRPr="00290557" w:rsidRDefault="00290557" w:rsidP="00290557">
      <w:pPr>
        <w:pStyle w:val="ListParagraph"/>
        <w:numPr>
          <w:ilvl w:val="0"/>
          <w:numId w:val="36"/>
        </w:numPr>
        <w:rPr>
          <w:sz w:val="24"/>
          <w:szCs w:val="24"/>
        </w:rPr>
      </w:pPr>
      <w:r w:rsidRPr="00290557">
        <w:rPr>
          <w:lang w:eastAsia="bg-BG"/>
        </w:rPr>
        <w:t>Свръхчувствителност към активното вещество или към някое от помощните вещества, изброени в точка 6.1.</w:t>
      </w:r>
    </w:p>
    <w:p w14:paraId="360E2E0B" w14:textId="77777777" w:rsidR="00290557" w:rsidRPr="00290557" w:rsidRDefault="00290557" w:rsidP="00290557">
      <w:pPr>
        <w:pStyle w:val="ListParagraph"/>
        <w:numPr>
          <w:ilvl w:val="0"/>
          <w:numId w:val="36"/>
        </w:numPr>
        <w:rPr>
          <w:sz w:val="24"/>
          <w:szCs w:val="24"/>
        </w:rPr>
      </w:pPr>
      <w:r w:rsidRPr="00290557">
        <w:rPr>
          <w:lang w:eastAsia="bg-BG"/>
        </w:rPr>
        <w:t>Пациенти, при които не може да се провеждат редовни кръвни изследвания,</w:t>
      </w:r>
    </w:p>
    <w:p w14:paraId="0ABDBD07" w14:textId="77777777" w:rsidR="00290557" w:rsidRPr="00290557" w:rsidRDefault="00290557" w:rsidP="00290557">
      <w:pPr>
        <w:pStyle w:val="ListParagraph"/>
        <w:numPr>
          <w:ilvl w:val="0"/>
          <w:numId w:val="36"/>
        </w:numPr>
        <w:rPr>
          <w:sz w:val="24"/>
          <w:szCs w:val="24"/>
        </w:rPr>
      </w:pPr>
      <w:r w:rsidRPr="00290557">
        <w:rPr>
          <w:lang w:eastAsia="bg-BG"/>
        </w:rPr>
        <w:t>Анамнеза за токсична или идиосинкразна гранулоцитопения/агранулоцитоза (с изключение на гранулоцитопения/агранулоцитоза от предхождаща химиотерапия).</w:t>
      </w:r>
    </w:p>
    <w:p w14:paraId="42E503B2" w14:textId="77777777" w:rsidR="00290557" w:rsidRPr="00290557" w:rsidRDefault="00290557" w:rsidP="00290557">
      <w:pPr>
        <w:pStyle w:val="ListParagraph"/>
        <w:numPr>
          <w:ilvl w:val="0"/>
          <w:numId w:val="36"/>
        </w:numPr>
        <w:rPr>
          <w:sz w:val="24"/>
          <w:szCs w:val="24"/>
        </w:rPr>
      </w:pPr>
      <w:r w:rsidRPr="00290557">
        <w:rPr>
          <w:lang w:eastAsia="bg-BG"/>
        </w:rPr>
        <w:t>Анамнеза за индуцирана от клозапин агранулоцитоза.</w:t>
      </w:r>
    </w:p>
    <w:p w14:paraId="43645356" w14:textId="77777777" w:rsidR="00290557" w:rsidRPr="00290557" w:rsidRDefault="00290557" w:rsidP="00290557">
      <w:pPr>
        <w:pStyle w:val="ListParagraph"/>
        <w:numPr>
          <w:ilvl w:val="0"/>
          <w:numId w:val="36"/>
        </w:numPr>
        <w:rPr>
          <w:sz w:val="24"/>
          <w:szCs w:val="24"/>
        </w:rPr>
      </w:pPr>
      <w:r w:rsidRPr="00290557">
        <w:rPr>
          <w:lang w:eastAsia="bg-BG"/>
        </w:rPr>
        <w:t>Нарушена функция на костния мозък.</w:t>
      </w:r>
    </w:p>
    <w:p w14:paraId="7ED956B4" w14:textId="77777777" w:rsidR="00290557" w:rsidRPr="00290557" w:rsidRDefault="00290557" w:rsidP="00290557">
      <w:pPr>
        <w:pStyle w:val="ListParagraph"/>
        <w:numPr>
          <w:ilvl w:val="0"/>
          <w:numId w:val="36"/>
        </w:numPr>
        <w:rPr>
          <w:sz w:val="24"/>
          <w:szCs w:val="24"/>
        </w:rPr>
      </w:pPr>
      <w:r w:rsidRPr="00290557">
        <w:rPr>
          <w:lang w:eastAsia="bg-BG"/>
        </w:rPr>
        <w:t>Неконтролирана епилепсия.</w:t>
      </w:r>
    </w:p>
    <w:p w14:paraId="058FA987" w14:textId="77777777" w:rsidR="00290557" w:rsidRPr="00290557" w:rsidRDefault="00290557" w:rsidP="00290557">
      <w:pPr>
        <w:pStyle w:val="ListParagraph"/>
        <w:numPr>
          <w:ilvl w:val="0"/>
          <w:numId w:val="36"/>
        </w:numPr>
        <w:rPr>
          <w:sz w:val="24"/>
          <w:szCs w:val="24"/>
        </w:rPr>
      </w:pPr>
      <w:r w:rsidRPr="00290557">
        <w:rPr>
          <w:lang w:eastAsia="bg-BG"/>
        </w:rPr>
        <w:t>Алкохолна или друг вид токсична психоза, лекарствена интоксикация, коматозни състояния.</w:t>
      </w:r>
    </w:p>
    <w:p w14:paraId="39938537" w14:textId="77777777" w:rsidR="00290557" w:rsidRPr="00290557" w:rsidRDefault="00290557" w:rsidP="00290557">
      <w:pPr>
        <w:pStyle w:val="ListParagraph"/>
        <w:numPr>
          <w:ilvl w:val="0"/>
          <w:numId w:val="36"/>
        </w:numPr>
        <w:rPr>
          <w:sz w:val="24"/>
          <w:szCs w:val="24"/>
        </w:rPr>
      </w:pPr>
      <w:r w:rsidRPr="00290557">
        <w:rPr>
          <w:lang w:eastAsia="bg-BG"/>
        </w:rPr>
        <w:t>Циркулаторен колапс и/или потискане на ЦНС поради каквато и да е причина.</w:t>
      </w:r>
    </w:p>
    <w:p w14:paraId="049D488A" w14:textId="77777777" w:rsidR="00290557" w:rsidRPr="00290557" w:rsidRDefault="00290557" w:rsidP="00290557">
      <w:pPr>
        <w:pStyle w:val="ListParagraph"/>
        <w:numPr>
          <w:ilvl w:val="0"/>
          <w:numId w:val="36"/>
        </w:numPr>
        <w:rPr>
          <w:sz w:val="24"/>
          <w:szCs w:val="24"/>
        </w:rPr>
      </w:pPr>
      <w:r w:rsidRPr="00290557">
        <w:rPr>
          <w:lang w:eastAsia="bg-BG"/>
        </w:rPr>
        <w:t>Тежки бъбречни или сърдечни заболявания (напр. миокардит).</w:t>
      </w:r>
    </w:p>
    <w:p w14:paraId="497BCAA3" w14:textId="77777777" w:rsidR="00290557" w:rsidRPr="00290557" w:rsidRDefault="00290557" w:rsidP="00290557">
      <w:pPr>
        <w:pStyle w:val="ListParagraph"/>
        <w:numPr>
          <w:ilvl w:val="0"/>
          <w:numId w:val="36"/>
        </w:numPr>
        <w:rPr>
          <w:sz w:val="24"/>
          <w:szCs w:val="24"/>
        </w:rPr>
      </w:pPr>
      <w:r w:rsidRPr="00290557">
        <w:rPr>
          <w:lang w:eastAsia="bg-BG"/>
        </w:rPr>
        <w:t>Активно чернодробно заболяване, свързано с гадене, липса на апетит или жълтеница; прогресивно чернодробно заболяване, чернодробна недостатъчност.</w:t>
      </w:r>
    </w:p>
    <w:p w14:paraId="62D3C44C" w14:textId="77777777" w:rsidR="00290557" w:rsidRPr="00290557" w:rsidRDefault="00290557" w:rsidP="00290557">
      <w:pPr>
        <w:pStyle w:val="ListParagraph"/>
        <w:numPr>
          <w:ilvl w:val="0"/>
          <w:numId w:val="36"/>
        </w:numPr>
        <w:rPr>
          <w:sz w:val="24"/>
          <w:szCs w:val="24"/>
        </w:rPr>
      </w:pPr>
      <w:r w:rsidRPr="00290557">
        <w:rPr>
          <w:lang w:eastAsia="bg-BG"/>
        </w:rPr>
        <w:t>Паралитичен илеус.</w:t>
      </w:r>
    </w:p>
    <w:p w14:paraId="5E6F6BCD" w14:textId="32A4440F" w:rsidR="00290557" w:rsidRPr="00290557" w:rsidRDefault="00290557" w:rsidP="00290557">
      <w:pPr>
        <w:pStyle w:val="ListParagraph"/>
        <w:numPr>
          <w:ilvl w:val="0"/>
          <w:numId w:val="36"/>
        </w:numPr>
        <w:rPr>
          <w:sz w:val="24"/>
          <w:szCs w:val="24"/>
        </w:rPr>
      </w:pPr>
      <w:r w:rsidRPr="00290557">
        <w:rPr>
          <w:lang w:eastAsia="bg-BG"/>
        </w:rPr>
        <w:lastRenderedPageBreak/>
        <w:t>Лечението с клозапин не трябва да се започва едновременно с лекарства, за които е известно, че притежават значителен потенциал за причиняване на агранулоцитоза. Не се препоръчва едновременната употреба на депо антипсихотици.</w:t>
      </w:r>
    </w:p>
    <w:p w14:paraId="01F07730" w14:textId="77777777" w:rsidR="00290557" w:rsidRPr="00290557" w:rsidRDefault="00290557" w:rsidP="00290557"/>
    <w:p w14:paraId="212F509C" w14:textId="711E7112" w:rsidR="004F498A" w:rsidRDefault="002C50EE" w:rsidP="004A448E">
      <w:pPr>
        <w:pStyle w:val="Heading2"/>
      </w:pPr>
      <w:r>
        <w:t>4.4. Специални предупреждения и предпазни мерки при употреба</w:t>
      </w:r>
    </w:p>
    <w:p w14:paraId="37E4BB19" w14:textId="36D667A2" w:rsidR="00290557" w:rsidRDefault="00290557" w:rsidP="00290557"/>
    <w:p w14:paraId="3E34FEE4" w14:textId="77777777"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Агранулоцитоза</w:t>
      </w:r>
    </w:p>
    <w:p w14:paraId="122339D0"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Ксенопалан може да предизвика агранулоцитоза. Честотата на агранулоцитозата и смъртността сред развилите агранулоцитоза са намалели значително след въвеждане на мониторирането на броя на левкоцитите и АБН. Следните предпазни мерки са задължителни и трябва да се извършват в съответствие с официалните препоръки.</w:t>
      </w:r>
    </w:p>
    <w:p w14:paraId="5FA9AD45" w14:textId="77777777" w:rsidR="00290557" w:rsidRDefault="00290557" w:rsidP="00290557">
      <w:pPr>
        <w:spacing w:line="240" w:lineRule="auto"/>
        <w:rPr>
          <w:rFonts w:eastAsia="Times New Roman" w:cs="Arial"/>
          <w:color w:val="000000"/>
          <w:lang w:eastAsia="bg-BG"/>
        </w:rPr>
      </w:pPr>
    </w:p>
    <w:p w14:paraId="6C6D90E4" w14:textId="70B4B5A7" w:rsidR="00290557" w:rsidRPr="00290557" w:rsidRDefault="00290557" w:rsidP="00290557">
      <w:pPr>
        <w:spacing w:line="240" w:lineRule="auto"/>
        <w:rPr>
          <w:rFonts w:eastAsia="Times New Roman" w:cs="Arial"/>
        </w:rPr>
      </w:pPr>
      <w:r w:rsidRPr="00290557">
        <w:rPr>
          <w:rFonts w:eastAsia="Times New Roman" w:cs="Arial"/>
          <w:color w:val="000000"/>
          <w:lang w:eastAsia="bg-BG"/>
        </w:rPr>
        <w:t>Поради рисковете, свързани с употребата на клозапин, приложението му се ограничава до пациентите, при които е показана терапия, какго е посочено в точка 4.1 и:</w:t>
      </w:r>
    </w:p>
    <w:p w14:paraId="7C17436E" w14:textId="77777777" w:rsidR="00290557" w:rsidRPr="00290557" w:rsidRDefault="00290557" w:rsidP="00290557">
      <w:pPr>
        <w:pStyle w:val="ListParagraph"/>
        <w:numPr>
          <w:ilvl w:val="0"/>
          <w:numId w:val="37"/>
        </w:numPr>
        <w:spacing w:line="240" w:lineRule="auto"/>
        <w:rPr>
          <w:rFonts w:eastAsia="Times New Roman" w:cs="Arial"/>
        </w:rPr>
      </w:pPr>
      <w:r w:rsidRPr="00290557">
        <w:rPr>
          <w:rFonts w:eastAsia="Times New Roman" w:cs="Arial"/>
          <w:color w:val="000000"/>
          <w:lang w:eastAsia="bg-BG"/>
        </w:rPr>
        <w:t xml:space="preserve">които първоначално имат нормален брой левкоцити (≥3 </w:t>
      </w:r>
      <w:r w:rsidRPr="00290557">
        <w:rPr>
          <w:rFonts w:eastAsia="Times New Roman" w:cs="Arial"/>
          <w:color w:val="000000"/>
          <w:lang w:val="ru-RU"/>
        </w:rPr>
        <w:t>500/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w:t>
      </w:r>
      <w:r w:rsidRPr="00290557">
        <w:rPr>
          <w:rFonts w:eastAsia="Times New Roman" w:cs="Arial"/>
          <w:color w:val="000000"/>
          <w:lang w:eastAsia="bg-BG"/>
        </w:rPr>
        <w:t>(3,5х10</w:t>
      </w:r>
      <w:r w:rsidRPr="00290557">
        <w:rPr>
          <w:rFonts w:eastAsia="Times New Roman" w:cs="Arial"/>
          <w:color w:val="000000"/>
          <w:vertAlign w:val="superscript"/>
          <w:lang w:eastAsia="bg-BG"/>
        </w:rPr>
        <w:t>9</w:t>
      </w:r>
      <w:r w:rsidRPr="00290557">
        <w:rPr>
          <w:rFonts w:eastAsia="Times New Roman" w:cs="Arial"/>
          <w:color w:val="000000"/>
          <w:lang w:eastAsia="bg-BG"/>
        </w:rPr>
        <w:t>/1) и АБН</w:t>
      </w:r>
      <w:r w:rsidRPr="00290557">
        <w:rPr>
          <w:rFonts w:eastAsia="Times New Roman" w:cs="Arial"/>
          <w:color w:val="000000"/>
          <w:lang w:val="ru-RU" w:eastAsia="bg-BG"/>
        </w:rPr>
        <w:t xml:space="preserve"> </w:t>
      </w:r>
      <w:r w:rsidRPr="00290557">
        <w:rPr>
          <w:rFonts w:eastAsia="Times New Roman" w:cs="Arial"/>
          <w:color w:val="000000"/>
          <w:lang w:eastAsia="bg-BG"/>
        </w:rPr>
        <w:t>≥2 000</w:t>
      </w:r>
      <w:r w:rsidRPr="00290557">
        <w:rPr>
          <w:rFonts w:eastAsia="Times New Roman" w:cs="Arial"/>
          <w:color w:val="000000"/>
          <w:lang w:val="ru-RU"/>
        </w:rPr>
        <w:t>/</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(2,0</w:t>
      </w:r>
      <w:r w:rsidRPr="00290557">
        <w:rPr>
          <w:rFonts w:eastAsia="Times New Roman" w:cs="Arial"/>
          <w:color w:val="000000"/>
          <w:lang w:val="en-US"/>
        </w:rPr>
        <w:t>x</w:t>
      </w:r>
      <w:r w:rsidRPr="00290557">
        <w:rPr>
          <w:rFonts w:eastAsia="Times New Roman" w:cs="Arial"/>
          <w:color w:val="000000"/>
          <w:lang w:val="ru-RU"/>
        </w:rPr>
        <w:t>1</w:t>
      </w:r>
      <w:r w:rsidRPr="00290557">
        <w:rPr>
          <w:rFonts w:eastAsia="Times New Roman" w:cs="Arial"/>
          <w:color w:val="000000"/>
          <w:lang w:eastAsia="bg-BG"/>
        </w:rPr>
        <w:t>0</w:t>
      </w:r>
      <w:r w:rsidRPr="00290557">
        <w:rPr>
          <w:rFonts w:eastAsia="Times New Roman" w:cs="Arial"/>
          <w:color w:val="000000"/>
          <w:vertAlign w:val="superscript"/>
          <w:lang w:eastAsia="bg-BG"/>
        </w:rPr>
        <w:t>9</w:t>
      </w:r>
      <w:r w:rsidRPr="00290557">
        <w:rPr>
          <w:rFonts w:eastAsia="Times New Roman" w:cs="Arial"/>
          <w:color w:val="000000"/>
          <w:lang w:eastAsia="bg-BG"/>
        </w:rPr>
        <w:t>/1) и</w:t>
      </w:r>
    </w:p>
    <w:p w14:paraId="01B1C749" w14:textId="03B61A30" w:rsidR="00290557" w:rsidRPr="00290557" w:rsidRDefault="00290557" w:rsidP="00290557">
      <w:pPr>
        <w:pStyle w:val="ListParagraph"/>
        <w:numPr>
          <w:ilvl w:val="0"/>
          <w:numId w:val="37"/>
        </w:numPr>
        <w:spacing w:line="240" w:lineRule="auto"/>
        <w:rPr>
          <w:rFonts w:eastAsia="Times New Roman" w:cs="Arial"/>
        </w:rPr>
      </w:pPr>
      <w:r w:rsidRPr="00290557">
        <w:rPr>
          <w:rFonts w:eastAsia="Times New Roman" w:cs="Arial"/>
          <w:color w:val="000000"/>
          <w:lang w:eastAsia="bg-BG"/>
        </w:rPr>
        <w:t xml:space="preserve">при които е възможно редовно определяне на общия брой левкоцити </w:t>
      </w:r>
      <w:r w:rsidRPr="00290557">
        <w:rPr>
          <w:rFonts w:eastAsia="Times New Roman" w:cs="Arial"/>
          <w:color w:val="000000"/>
          <w:lang w:val="ru-RU"/>
        </w:rPr>
        <w:t>(</w:t>
      </w:r>
      <w:r w:rsidRPr="00290557">
        <w:rPr>
          <w:rFonts w:eastAsia="Times New Roman" w:cs="Arial"/>
          <w:color w:val="000000"/>
          <w:lang w:val="en-US"/>
        </w:rPr>
        <w:t>WBC</w:t>
      </w:r>
      <w:r w:rsidRPr="00290557">
        <w:rPr>
          <w:rFonts w:eastAsia="Times New Roman" w:cs="Arial"/>
          <w:color w:val="000000"/>
          <w:lang w:val="ru-RU"/>
        </w:rPr>
        <w:t xml:space="preserve">) </w:t>
      </w:r>
      <w:r w:rsidRPr="00290557">
        <w:rPr>
          <w:rFonts w:eastAsia="Times New Roman" w:cs="Arial"/>
          <w:color w:val="000000"/>
          <w:lang w:eastAsia="bg-BG"/>
        </w:rPr>
        <w:t>и АБН всяка седмица през първите 18 седмици и поне на 4 седмични интервали след това. Мониторирането трябва да продължи по време на лечението и 4 седмици след пълното прекратяване приема на клозапин.</w:t>
      </w:r>
    </w:p>
    <w:p w14:paraId="6A65012D" w14:textId="77777777" w:rsidR="00290557" w:rsidRDefault="00290557" w:rsidP="00290557">
      <w:pPr>
        <w:spacing w:line="240" w:lineRule="auto"/>
        <w:rPr>
          <w:rFonts w:eastAsia="Times New Roman" w:cs="Arial"/>
          <w:color w:val="000000"/>
          <w:lang w:eastAsia="bg-BG"/>
        </w:rPr>
      </w:pPr>
    </w:p>
    <w:p w14:paraId="1C36DB84" w14:textId="2382C24E" w:rsidR="00290557" w:rsidRPr="00290557" w:rsidRDefault="00290557" w:rsidP="00290557">
      <w:pPr>
        <w:spacing w:line="240" w:lineRule="auto"/>
        <w:rPr>
          <w:rFonts w:ascii="Times New Roman" w:eastAsia="Times New Roman" w:hAnsi="Times New Roman" w:cs="Times New Roman"/>
          <w:sz w:val="24"/>
          <w:szCs w:val="24"/>
        </w:rPr>
      </w:pPr>
      <w:r w:rsidRPr="00290557">
        <w:rPr>
          <w:rFonts w:eastAsia="Times New Roman" w:cs="Arial"/>
          <w:color w:val="000000"/>
          <w:lang w:eastAsia="bg-BG"/>
        </w:rPr>
        <w:t>Преди започване на лечение с клозапин, при пациентите трябва да се проведе изследване на кръвта (вж. „агранулоцитоза”), да се снеме анамнеза и да се направи физикален преглед. Пациентите с анамнестични данни за сърдечно заболяване и абнормен сърдечен статус от физикалния преглед трябва да бъдат насочени към специалист за допълнителни изследвания, които може да включват ЕКГ и да бъдат лекувани единствено, ако очакваните ползи явно превишават рисковете (вж. точка 4.3). Лекуващият лекар трябва да прецени дали да се направи ЕКГ преди лечението.</w:t>
      </w:r>
    </w:p>
    <w:p w14:paraId="5A527224" w14:textId="3FEB0931" w:rsidR="00290557" w:rsidRDefault="00290557" w:rsidP="00290557"/>
    <w:tbl>
      <w:tblPr>
        <w:tblStyle w:val="TableGrid"/>
        <w:tblW w:w="0" w:type="auto"/>
        <w:tblLook w:val="04A0" w:firstRow="1" w:lastRow="0" w:firstColumn="1" w:lastColumn="0" w:noHBand="0" w:noVBand="1"/>
      </w:tblPr>
      <w:tblGrid>
        <w:gridCol w:w="9350"/>
      </w:tblGrid>
      <w:tr w:rsidR="00290557" w14:paraId="766B225B" w14:textId="77777777" w:rsidTr="00290557">
        <w:tc>
          <w:tcPr>
            <w:tcW w:w="9576" w:type="dxa"/>
          </w:tcPr>
          <w:p w14:paraId="425AD2D5"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Лекарите, предписващи лекарството, трябва да спазват изцяло необходимите мерки за безопасност.</w:t>
            </w:r>
          </w:p>
          <w:p w14:paraId="3AB87BF3" w14:textId="77777777" w:rsidR="00290557" w:rsidRPr="00290557" w:rsidRDefault="00290557" w:rsidP="00290557">
            <w:pPr>
              <w:rPr>
                <w:rFonts w:eastAsia="Times New Roman" w:cs="Arial"/>
                <w:color w:val="000000"/>
                <w:u w:val="single"/>
                <w:lang w:eastAsia="bg-BG"/>
              </w:rPr>
            </w:pPr>
          </w:p>
          <w:p w14:paraId="78C80F22" w14:textId="77777777" w:rsidR="00290557" w:rsidRPr="00290557" w:rsidRDefault="00290557" w:rsidP="00290557">
            <w:pPr>
              <w:rPr>
                <w:rFonts w:eastAsia="Times New Roman" w:cs="Arial"/>
              </w:rPr>
            </w:pPr>
            <w:r w:rsidRPr="00290557">
              <w:rPr>
                <w:rFonts w:eastAsia="Times New Roman" w:cs="Arial"/>
                <w:color w:val="000000"/>
                <w:lang w:eastAsia="bg-BG"/>
              </w:rPr>
              <w:t>Преди започване на лечението, лекарите трябва да се уверят, доколкото им е известно, че</w:t>
            </w:r>
            <w:r w:rsidRPr="00290557">
              <w:rPr>
                <w:rFonts w:eastAsia="Times New Roman" w:cs="Arial"/>
                <w:color w:val="000000"/>
                <w:lang w:val="ru-RU" w:eastAsia="bg-BG"/>
              </w:rPr>
              <w:t xml:space="preserve"> </w:t>
            </w:r>
            <w:r w:rsidRPr="00290557">
              <w:rPr>
                <w:rFonts w:eastAsia="Times New Roman" w:cs="Arial"/>
                <w:color w:val="000000"/>
                <w:lang w:eastAsia="bg-BG"/>
              </w:rPr>
              <w:t>пациентът не е имал преди нежелана хематологична реакция към клозапин, която е наложила спиране на лечението. Лекарственият продукт не трябва да се предписва за периоди по-дълги от интервала между две определяния на кръвните клетки.</w:t>
            </w:r>
          </w:p>
          <w:p w14:paraId="61A0B0F0" w14:textId="77777777" w:rsidR="00290557" w:rsidRDefault="00290557" w:rsidP="00290557">
            <w:pPr>
              <w:spacing w:line="240" w:lineRule="auto"/>
              <w:rPr>
                <w:rFonts w:eastAsia="Times New Roman" w:cs="Arial"/>
                <w:color w:val="000000"/>
                <w:lang w:eastAsia="bg-BG"/>
              </w:rPr>
            </w:pPr>
          </w:p>
          <w:p w14:paraId="2DF9924D" w14:textId="211299BD"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Незабавното спиране на приема на Ксенопалан е задължително, ако броят на левкоцитите е по-малък от 3 </w:t>
            </w:r>
            <w:r w:rsidRPr="00290557">
              <w:rPr>
                <w:rFonts w:eastAsia="Times New Roman" w:cs="Arial"/>
                <w:color w:val="000000"/>
                <w:lang w:val="ru-RU"/>
              </w:rPr>
              <w:t>000/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(3,0</w:t>
            </w:r>
            <w:r w:rsidRPr="00290557">
              <w:rPr>
                <w:rFonts w:eastAsia="Times New Roman" w:cs="Arial"/>
                <w:color w:val="000000"/>
                <w:lang w:val="en-US"/>
              </w:rPr>
              <w:t>x</w:t>
            </w:r>
            <w:r w:rsidRPr="00290557">
              <w:rPr>
                <w:rFonts w:eastAsia="Times New Roman" w:cs="Arial"/>
                <w:color w:val="000000"/>
                <w:lang w:val="ru-RU"/>
              </w:rPr>
              <w:t>10</w:t>
            </w:r>
            <w:r w:rsidRPr="00290557">
              <w:rPr>
                <w:rFonts w:eastAsia="Times New Roman" w:cs="Arial"/>
                <w:color w:val="000000"/>
                <w:vertAlign w:val="superscript"/>
                <w:lang w:val="ru-RU"/>
              </w:rPr>
              <w:t>9</w:t>
            </w:r>
            <w:r w:rsidRPr="00290557">
              <w:rPr>
                <w:rFonts w:eastAsia="Times New Roman" w:cs="Arial"/>
                <w:color w:val="000000"/>
                <w:lang w:val="ru-RU"/>
              </w:rPr>
              <w:t>/</w:t>
            </w:r>
            <w:r w:rsidRPr="00290557">
              <w:rPr>
                <w:rFonts w:eastAsia="Times New Roman" w:cs="Arial"/>
                <w:color w:val="000000"/>
                <w:lang w:val="en-US"/>
              </w:rPr>
              <w:t>l</w:t>
            </w:r>
            <w:r w:rsidRPr="00290557">
              <w:rPr>
                <w:rFonts w:eastAsia="Times New Roman" w:cs="Arial"/>
                <w:color w:val="000000"/>
                <w:lang w:val="ru-RU"/>
              </w:rPr>
              <w:t xml:space="preserve">) </w:t>
            </w:r>
            <w:r w:rsidRPr="00290557">
              <w:rPr>
                <w:rFonts w:eastAsia="Times New Roman" w:cs="Arial"/>
                <w:color w:val="000000"/>
                <w:lang w:eastAsia="bg-BG"/>
              </w:rPr>
              <w:t xml:space="preserve">или АБН е под 1 </w:t>
            </w:r>
            <w:r w:rsidRPr="00290557">
              <w:rPr>
                <w:rFonts w:eastAsia="Times New Roman" w:cs="Arial"/>
                <w:color w:val="000000"/>
                <w:lang w:val="ru-RU"/>
              </w:rPr>
              <w:t>500/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(1,5</w:t>
            </w:r>
            <w:r w:rsidRPr="00290557">
              <w:rPr>
                <w:rFonts w:eastAsia="Times New Roman" w:cs="Arial"/>
                <w:color w:val="000000"/>
                <w:lang w:val="en-US"/>
              </w:rPr>
              <w:t>x</w:t>
            </w:r>
            <w:r w:rsidRPr="00290557">
              <w:rPr>
                <w:rFonts w:eastAsia="Times New Roman" w:cs="Arial"/>
                <w:color w:val="000000"/>
                <w:lang w:val="ru-RU"/>
              </w:rPr>
              <w:t>10</w:t>
            </w:r>
            <w:r w:rsidRPr="00290557">
              <w:rPr>
                <w:rFonts w:eastAsia="Times New Roman" w:cs="Arial"/>
                <w:color w:val="000000"/>
                <w:vertAlign w:val="superscript"/>
                <w:lang w:val="ru-RU"/>
              </w:rPr>
              <w:t>9</w:t>
            </w:r>
            <w:r w:rsidRPr="00290557">
              <w:rPr>
                <w:rFonts w:eastAsia="Times New Roman" w:cs="Arial"/>
                <w:color w:val="000000"/>
                <w:lang w:val="ru-RU"/>
              </w:rPr>
              <w:t>/</w:t>
            </w:r>
            <w:r w:rsidRPr="00290557">
              <w:rPr>
                <w:rFonts w:eastAsia="Times New Roman" w:cs="Arial"/>
                <w:color w:val="000000"/>
                <w:lang w:val="en-US"/>
              </w:rPr>
              <w:t>l</w:t>
            </w:r>
            <w:r w:rsidRPr="00290557">
              <w:rPr>
                <w:rFonts w:eastAsia="Times New Roman" w:cs="Arial"/>
                <w:color w:val="000000"/>
                <w:lang w:val="ru-RU"/>
              </w:rPr>
              <w:t xml:space="preserve">) </w:t>
            </w:r>
            <w:r w:rsidRPr="00290557">
              <w:rPr>
                <w:rFonts w:eastAsia="Times New Roman" w:cs="Arial"/>
                <w:color w:val="000000"/>
                <w:lang w:eastAsia="bg-BG"/>
              </w:rPr>
              <w:t>по всяко време на лечението с клозапин. Пациентите, при които е спряно лечението с клозапин поради понижен брой на левкоцитите или на АБН, не трябва да получават повторно клозапин,</w:t>
            </w:r>
          </w:p>
          <w:p w14:paraId="579E9089" w14:textId="77777777" w:rsidR="00290557" w:rsidRDefault="00290557" w:rsidP="00290557">
            <w:pPr>
              <w:spacing w:line="240" w:lineRule="auto"/>
              <w:rPr>
                <w:rFonts w:eastAsia="Times New Roman" w:cs="Arial"/>
                <w:color w:val="000000"/>
                <w:lang w:eastAsia="bg-BG"/>
              </w:rPr>
            </w:pPr>
          </w:p>
          <w:p w14:paraId="5A6E4CB1" w14:textId="6CB0D9C0"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При всяка консултация, на пациента, получаващ Ксенопалан, трябва да се напомня да се свърже незабавно с лекуващия лекар, ако започне развитие на някаква инфекция. Особено внимание трябва да се обръща на грипоподобни оплаквания като повишена температура или възпалено гърло, и други белези на инфекция, които може да са показателни за неутропения. Пациентите и грижещите се за тях трябва да бъдат </w:t>
            </w:r>
            <w:r w:rsidRPr="00290557">
              <w:rPr>
                <w:rFonts w:eastAsia="Times New Roman" w:cs="Arial"/>
                <w:color w:val="000000"/>
                <w:lang w:eastAsia="bg-BG"/>
              </w:rPr>
              <w:lastRenderedPageBreak/>
              <w:t>информирани, че в случай на поява на някой от тези симптоми, незабавно трябва да бъде определен броят на кръвните клетки, Препоръчително е лекарите, които предписват лекарството, да съхраняват списък с резултатите от всички кръвни изследвания на пациентите и да предприемат всички необходими мерки, за да предпазят тези пациенти от случайно повторно получаване на лекарството в бъдеще.</w:t>
            </w:r>
          </w:p>
          <w:p w14:paraId="3992DBA7" w14:textId="77777777" w:rsidR="00290557" w:rsidRDefault="00290557" w:rsidP="00290557">
            <w:pPr>
              <w:spacing w:line="240" w:lineRule="auto"/>
              <w:rPr>
                <w:rFonts w:eastAsia="Times New Roman" w:cs="Arial"/>
                <w:color w:val="000000"/>
                <w:lang w:eastAsia="bg-BG"/>
              </w:rPr>
            </w:pPr>
          </w:p>
          <w:p w14:paraId="54810F65" w14:textId="791BC649" w:rsidR="00290557" w:rsidRPr="00290557" w:rsidRDefault="00290557" w:rsidP="00290557">
            <w:pPr>
              <w:spacing w:line="240" w:lineRule="auto"/>
              <w:rPr>
                <w:rFonts w:eastAsia="Times New Roman" w:cs="Arial"/>
              </w:rPr>
            </w:pPr>
            <w:r w:rsidRPr="00290557">
              <w:rPr>
                <w:rFonts w:eastAsia="Times New Roman" w:cs="Arial"/>
                <w:color w:val="000000"/>
                <w:lang w:eastAsia="bg-BG"/>
              </w:rPr>
              <w:t>При пациенти с анамнеза за първични заболявания на костния мозък е възможно провеждане на лечение, само ако ползата надвишава риска. Преди започване на лечение с клозапин, те трябва да бъдат внимателно прегледани от хематолог.</w:t>
            </w:r>
          </w:p>
          <w:p w14:paraId="1859CB5B" w14:textId="77777777" w:rsidR="00290557" w:rsidRDefault="00290557" w:rsidP="00290557">
            <w:pPr>
              <w:rPr>
                <w:rFonts w:eastAsia="Times New Roman" w:cs="Arial"/>
                <w:color w:val="000000"/>
                <w:lang w:eastAsia="bg-BG"/>
              </w:rPr>
            </w:pPr>
          </w:p>
          <w:p w14:paraId="38F6FD95" w14:textId="069B784C" w:rsidR="00290557" w:rsidRPr="00290557" w:rsidRDefault="00290557" w:rsidP="00290557">
            <w:r w:rsidRPr="00290557">
              <w:rPr>
                <w:rFonts w:eastAsia="Times New Roman" w:cs="Arial"/>
                <w:color w:val="000000"/>
                <w:lang w:eastAsia="bg-BG"/>
              </w:rPr>
              <w:t xml:space="preserve">Пациентите, които имат нисък брой левкоцити </w:t>
            </w:r>
            <w:r w:rsidRPr="00290557">
              <w:rPr>
                <w:rFonts w:eastAsia="Times New Roman" w:cs="Arial"/>
                <w:color w:val="000000"/>
                <w:lang w:val="ru-RU"/>
              </w:rPr>
              <w:t>(</w:t>
            </w:r>
            <w:r w:rsidRPr="00290557">
              <w:rPr>
                <w:rFonts w:eastAsia="Times New Roman" w:cs="Arial"/>
                <w:color w:val="000000"/>
                <w:lang w:val="en-US"/>
              </w:rPr>
              <w:t>WBC</w:t>
            </w:r>
            <w:r w:rsidRPr="00290557">
              <w:rPr>
                <w:rFonts w:eastAsia="Times New Roman" w:cs="Arial"/>
                <w:color w:val="000000"/>
                <w:lang w:val="ru-RU"/>
              </w:rPr>
              <w:t xml:space="preserve">) </w:t>
            </w:r>
            <w:r w:rsidRPr="00290557">
              <w:rPr>
                <w:rFonts w:eastAsia="Times New Roman" w:cs="Arial"/>
                <w:color w:val="000000"/>
                <w:lang w:eastAsia="bg-BG"/>
              </w:rPr>
              <w:t xml:space="preserve">поради доброкачествена етнически обусловена неутропения, трябва да бъдат </w:t>
            </w:r>
            <w:r w:rsidRPr="00290557">
              <w:rPr>
                <w:lang w:eastAsia="bg-BG"/>
              </w:rPr>
              <w:t>обсъдени специално и могат да започнат лечение с клозапин със съгласието на хематолог.</w:t>
            </w:r>
          </w:p>
        </w:tc>
      </w:tr>
    </w:tbl>
    <w:p w14:paraId="36CC8195" w14:textId="1562A220" w:rsidR="00290557" w:rsidRDefault="00290557" w:rsidP="00290557"/>
    <w:p w14:paraId="34F33587" w14:textId="77777777"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Мониториране на броя на левкоцитите и АБН</w:t>
      </w:r>
    </w:p>
    <w:p w14:paraId="71595AAD"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В рамките на 10 дни преди започване на лечение с Ксенопалан трябва да се определи общият брой левкоцити и да се изследва диференциалната кръвна картина, за да е сигурно, че само пациенти с нормален брой левкоцити и АБН (брой на левкоцитите ≥3 </w:t>
      </w:r>
      <w:r w:rsidRPr="00290557">
        <w:rPr>
          <w:rFonts w:eastAsia="Times New Roman" w:cs="Arial"/>
          <w:color w:val="000000"/>
          <w:lang w:val="ru-RU"/>
        </w:rPr>
        <w:t>500/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(3,5</w:t>
      </w:r>
      <w:r w:rsidRPr="00290557">
        <w:rPr>
          <w:rFonts w:eastAsia="Times New Roman" w:cs="Arial"/>
          <w:color w:val="000000"/>
          <w:lang w:val="en-US"/>
        </w:rPr>
        <w:t>x</w:t>
      </w:r>
      <w:r w:rsidRPr="00290557">
        <w:rPr>
          <w:rFonts w:eastAsia="Times New Roman" w:cs="Arial"/>
          <w:color w:val="000000"/>
          <w:lang w:val="ru-RU"/>
        </w:rPr>
        <w:t>1</w:t>
      </w:r>
      <w:r w:rsidRPr="00290557">
        <w:rPr>
          <w:rFonts w:eastAsia="Times New Roman" w:cs="Arial"/>
          <w:color w:val="000000"/>
          <w:lang w:eastAsia="bg-BG"/>
        </w:rPr>
        <w:t>0</w:t>
      </w:r>
      <w:r w:rsidRPr="00290557">
        <w:rPr>
          <w:rFonts w:eastAsia="Times New Roman" w:cs="Arial"/>
          <w:color w:val="000000"/>
          <w:vertAlign w:val="superscript"/>
          <w:lang w:eastAsia="bg-BG"/>
        </w:rPr>
        <w:t>9</w:t>
      </w:r>
      <w:r w:rsidRPr="00290557">
        <w:rPr>
          <w:rFonts w:eastAsia="Times New Roman" w:cs="Arial"/>
          <w:color w:val="000000"/>
          <w:lang w:eastAsia="bg-BG"/>
        </w:rPr>
        <w:t xml:space="preserve">/1) и АБН ≥2 </w:t>
      </w:r>
      <w:r w:rsidRPr="00290557">
        <w:rPr>
          <w:rFonts w:eastAsia="Times New Roman" w:cs="Arial"/>
          <w:color w:val="000000"/>
          <w:lang w:val="ru-RU"/>
        </w:rPr>
        <w:t>000/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(2,0</w:t>
      </w:r>
      <w:r w:rsidRPr="00290557">
        <w:rPr>
          <w:rFonts w:eastAsia="Times New Roman" w:cs="Arial"/>
          <w:color w:val="000000"/>
          <w:lang w:val="en-US"/>
        </w:rPr>
        <w:t>x</w:t>
      </w:r>
      <w:r w:rsidRPr="00290557">
        <w:rPr>
          <w:rFonts w:eastAsia="Times New Roman" w:cs="Arial"/>
          <w:color w:val="000000"/>
          <w:lang w:val="ru-RU"/>
        </w:rPr>
        <w:t>1</w:t>
      </w:r>
      <w:r w:rsidRPr="00290557">
        <w:rPr>
          <w:rFonts w:eastAsia="Times New Roman" w:cs="Arial"/>
          <w:color w:val="000000"/>
          <w:lang w:eastAsia="bg-BG"/>
        </w:rPr>
        <w:t>0</w:t>
      </w:r>
      <w:r w:rsidRPr="00290557">
        <w:rPr>
          <w:rFonts w:eastAsia="Times New Roman" w:cs="Arial"/>
          <w:color w:val="000000"/>
          <w:vertAlign w:val="superscript"/>
          <w:lang w:eastAsia="bg-BG"/>
        </w:rPr>
        <w:t>9</w:t>
      </w:r>
      <w:r w:rsidRPr="00290557">
        <w:rPr>
          <w:rFonts w:eastAsia="Times New Roman" w:cs="Arial"/>
          <w:color w:val="000000"/>
          <w:lang w:eastAsia="bg-BG"/>
        </w:rPr>
        <w:t>/1)) ще получават лекарството. След започване на лечението с клозапин броят на левкоцитите и АБН трябва да се мониторират всяка седмица през първите 16 седмици и поне на всеки четири седмици след това.</w:t>
      </w:r>
    </w:p>
    <w:p w14:paraId="3C771068" w14:textId="77777777" w:rsidR="00290557" w:rsidRDefault="00290557" w:rsidP="00290557">
      <w:pPr>
        <w:spacing w:line="240" w:lineRule="auto"/>
        <w:rPr>
          <w:rFonts w:eastAsia="Times New Roman" w:cs="Arial"/>
          <w:color w:val="000000"/>
          <w:lang w:eastAsia="bg-BG"/>
        </w:rPr>
      </w:pPr>
    </w:p>
    <w:p w14:paraId="0BF88880" w14:textId="5136C02B" w:rsidR="00290557" w:rsidRPr="00290557" w:rsidRDefault="00290557" w:rsidP="00290557">
      <w:pPr>
        <w:spacing w:line="240" w:lineRule="auto"/>
        <w:rPr>
          <w:rFonts w:eastAsia="Times New Roman" w:cs="Arial"/>
        </w:rPr>
      </w:pPr>
      <w:r w:rsidRPr="00290557">
        <w:rPr>
          <w:rFonts w:eastAsia="Times New Roman" w:cs="Arial"/>
          <w:color w:val="000000"/>
          <w:lang w:eastAsia="bg-BG"/>
        </w:rPr>
        <w:t>Мониторирането трябва да продължи по време на лечението и 4 седмици след като напълно се преустанови приемът на Ксенопалан, или до възстановяване на хематологичните показатели (вж. по-долу "Нисък брой левкоцити/АБН”). При всяка консултация на пациента трябва да се напомня да се свърже незабавно с лекуващия лекар, ако започне развитие на някакъв вид инфекция, повишена температура, възпалено гърло или други грипоподобни симптоми. При поява на някакви признаци на инфекция, трябва незабавно да се изследват общият брой левкоцити и диференциалната кръвна картина.</w:t>
      </w:r>
    </w:p>
    <w:p w14:paraId="7BF3F74D" w14:textId="77777777" w:rsidR="00290557" w:rsidRDefault="00290557" w:rsidP="00290557">
      <w:pPr>
        <w:spacing w:line="240" w:lineRule="auto"/>
        <w:rPr>
          <w:rFonts w:eastAsia="Times New Roman" w:cs="Arial"/>
          <w:b/>
          <w:bCs/>
          <w:color w:val="000000"/>
          <w:lang w:eastAsia="bg-BG"/>
        </w:rPr>
      </w:pPr>
    </w:p>
    <w:p w14:paraId="58994E78" w14:textId="3EBD3701" w:rsidR="00290557" w:rsidRPr="00290557" w:rsidRDefault="00290557" w:rsidP="00290557">
      <w:pPr>
        <w:spacing w:line="240" w:lineRule="auto"/>
        <w:rPr>
          <w:rFonts w:eastAsia="Times New Roman" w:cs="Arial"/>
        </w:rPr>
      </w:pPr>
      <w:r w:rsidRPr="00290557">
        <w:rPr>
          <w:rFonts w:eastAsia="Times New Roman" w:cs="Arial"/>
          <w:b/>
          <w:bCs/>
          <w:color w:val="000000"/>
          <w:lang w:eastAsia="bg-BG"/>
        </w:rPr>
        <w:t>Нисък брой левкоцити/АБН</w:t>
      </w:r>
    </w:p>
    <w:p w14:paraId="0C6445BC" w14:textId="77777777" w:rsidR="00290557" w:rsidRPr="00290557" w:rsidRDefault="00290557" w:rsidP="00290557">
      <w:pPr>
        <w:spacing w:line="240" w:lineRule="auto"/>
        <w:rPr>
          <w:rFonts w:eastAsia="Times New Roman" w:cs="Arial"/>
        </w:rPr>
      </w:pPr>
      <w:r w:rsidRPr="00290557">
        <w:rPr>
          <w:rFonts w:eastAsia="Times New Roman" w:cs="Arial"/>
          <w:color w:val="000000"/>
          <w:lang w:eastAsia="bg-BG"/>
        </w:rPr>
        <w:t xml:space="preserve">Ако по време на лечението с Ксенопалан броят на левкоцитите спадне между 3 </w:t>
      </w:r>
      <w:r w:rsidRPr="00290557">
        <w:rPr>
          <w:rFonts w:eastAsia="Times New Roman" w:cs="Arial"/>
          <w:color w:val="000000"/>
          <w:lang w:val="ru-RU"/>
        </w:rPr>
        <w:t>500/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w:t>
      </w:r>
      <w:r w:rsidRPr="00290557">
        <w:rPr>
          <w:rFonts w:eastAsia="Times New Roman" w:cs="Arial"/>
          <w:color w:val="000000"/>
          <w:lang w:eastAsia="bg-BG"/>
        </w:rPr>
        <w:t>(3,5 х 10</w:t>
      </w:r>
      <w:r w:rsidRPr="00290557">
        <w:rPr>
          <w:rFonts w:eastAsia="Times New Roman" w:cs="Arial"/>
          <w:color w:val="000000"/>
          <w:vertAlign w:val="superscript"/>
          <w:lang w:eastAsia="bg-BG"/>
        </w:rPr>
        <w:t>9</w:t>
      </w:r>
      <w:r w:rsidRPr="00290557">
        <w:rPr>
          <w:rFonts w:eastAsia="Times New Roman" w:cs="Arial"/>
          <w:color w:val="000000"/>
          <w:lang w:eastAsia="bg-BG"/>
        </w:rPr>
        <w:t xml:space="preserve">/1) и 3 </w:t>
      </w:r>
      <w:r w:rsidRPr="00290557">
        <w:rPr>
          <w:rFonts w:eastAsia="Times New Roman" w:cs="Arial"/>
          <w:color w:val="000000"/>
          <w:lang w:val="ru-RU"/>
        </w:rPr>
        <w:t>000/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w:t>
      </w:r>
      <w:r w:rsidRPr="00290557">
        <w:rPr>
          <w:rFonts w:eastAsia="Times New Roman" w:cs="Arial"/>
          <w:color w:val="000000"/>
          <w:lang w:eastAsia="bg-BG"/>
        </w:rPr>
        <w:t>(3,ОхЮ</w:t>
      </w:r>
      <w:r w:rsidRPr="00290557">
        <w:rPr>
          <w:rFonts w:eastAsia="Times New Roman" w:cs="Arial"/>
          <w:color w:val="000000"/>
          <w:vertAlign w:val="superscript"/>
          <w:lang w:eastAsia="bg-BG"/>
        </w:rPr>
        <w:t>9</w:t>
      </w:r>
      <w:r w:rsidRPr="00290557">
        <w:rPr>
          <w:rFonts w:eastAsia="Times New Roman" w:cs="Arial"/>
          <w:color w:val="000000"/>
          <w:lang w:eastAsia="bg-BG"/>
        </w:rPr>
        <w:t xml:space="preserve">/1) или АБН между 2 </w:t>
      </w:r>
      <w:r w:rsidRPr="00290557">
        <w:rPr>
          <w:rFonts w:eastAsia="Times New Roman" w:cs="Arial"/>
          <w:color w:val="000000"/>
          <w:lang w:val="ru-RU"/>
        </w:rPr>
        <w:t>000/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w:t>
      </w:r>
      <w:r w:rsidRPr="00290557">
        <w:rPr>
          <w:rFonts w:eastAsia="Times New Roman" w:cs="Arial"/>
          <w:color w:val="000000"/>
          <w:lang w:eastAsia="bg-BG"/>
        </w:rPr>
        <w:t>(2,0х10</w:t>
      </w:r>
      <w:r w:rsidRPr="00290557">
        <w:rPr>
          <w:rFonts w:eastAsia="Times New Roman" w:cs="Arial"/>
          <w:color w:val="000000"/>
          <w:vertAlign w:val="superscript"/>
          <w:lang w:eastAsia="bg-BG"/>
        </w:rPr>
        <w:t>9</w:t>
      </w:r>
      <w:r w:rsidRPr="00290557">
        <w:rPr>
          <w:rFonts w:eastAsia="Times New Roman" w:cs="Arial"/>
          <w:color w:val="000000"/>
          <w:lang w:eastAsia="bg-BG"/>
        </w:rPr>
        <w:t xml:space="preserve">/1) и 1 </w:t>
      </w:r>
      <w:r w:rsidRPr="00290557">
        <w:rPr>
          <w:rFonts w:eastAsia="Times New Roman" w:cs="Arial"/>
          <w:color w:val="000000"/>
          <w:lang w:val="ru-RU"/>
        </w:rPr>
        <w:t>500/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w:t>
      </w:r>
      <w:r w:rsidRPr="00290557">
        <w:rPr>
          <w:rFonts w:eastAsia="Times New Roman" w:cs="Arial"/>
          <w:color w:val="000000"/>
          <w:lang w:eastAsia="bg-BG"/>
        </w:rPr>
        <w:t>(1</w:t>
      </w:r>
      <w:r w:rsidRPr="00290557">
        <w:rPr>
          <w:rFonts w:eastAsia="Times New Roman" w:cs="Arial"/>
          <w:color w:val="000000"/>
          <w:lang w:val="ru-RU"/>
        </w:rPr>
        <w:t>,5</w:t>
      </w:r>
      <w:r w:rsidRPr="00290557">
        <w:rPr>
          <w:rFonts w:eastAsia="Times New Roman" w:cs="Arial"/>
          <w:color w:val="000000"/>
          <w:lang w:val="en-US"/>
        </w:rPr>
        <w:t>x</w:t>
      </w:r>
      <w:r w:rsidRPr="00290557">
        <w:rPr>
          <w:rFonts w:eastAsia="Times New Roman" w:cs="Arial"/>
          <w:color w:val="000000"/>
          <w:lang w:val="ru-RU"/>
        </w:rPr>
        <w:t>1</w:t>
      </w:r>
      <w:r w:rsidRPr="00290557">
        <w:rPr>
          <w:rFonts w:eastAsia="Times New Roman" w:cs="Arial"/>
          <w:color w:val="000000"/>
          <w:lang w:eastAsia="bg-BG"/>
        </w:rPr>
        <w:t>0</w:t>
      </w:r>
      <w:r w:rsidRPr="00290557">
        <w:rPr>
          <w:rFonts w:eastAsia="Times New Roman" w:cs="Arial"/>
          <w:color w:val="000000"/>
          <w:vertAlign w:val="superscript"/>
          <w:lang w:eastAsia="bg-BG"/>
        </w:rPr>
        <w:t>9</w:t>
      </w:r>
      <w:r w:rsidRPr="00290557">
        <w:rPr>
          <w:rFonts w:eastAsia="Times New Roman" w:cs="Arial"/>
          <w:color w:val="000000"/>
          <w:lang w:eastAsia="bg-BG"/>
        </w:rPr>
        <w:t xml:space="preserve">/1), хематологичните изследвания трябва да се извършват поне два пъти седмично, докато броят на левкоцитите и АБН на пациента се стабилизират съответно в границите 3 000-3 </w:t>
      </w:r>
      <w:r w:rsidRPr="00290557">
        <w:rPr>
          <w:rFonts w:eastAsia="Times New Roman" w:cs="Arial"/>
          <w:color w:val="000000"/>
          <w:lang w:val="ru-RU"/>
        </w:rPr>
        <w:t>500/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w:t>
      </w:r>
      <w:r w:rsidRPr="00290557">
        <w:rPr>
          <w:rFonts w:eastAsia="Times New Roman" w:cs="Arial"/>
          <w:color w:val="000000"/>
          <w:lang w:eastAsia="bg-BG"/>
        </w:rPr>
        <w:t xml:space="preserve">(3,0- </w:t>
      </w:r>
      <w:r w:rsidRPr="00290557">
        <w:rPr>
          <w:rFonts w:eastAsia="Times New Roman" w:cs="Arial"/>
          <w:color w:val="000000"/>
          <w:lang w:val="ru-RU"/>
        </w:rPr>
        <w:t>3,5</w:t>
      </w:r>
      <w:r w:rsidRPr="00290557">
        <w:rPr>
          <w:rFonts w:eastAsia="Times New Roman" w:cs="Arial"/>
          <w:color w:val="000000"/>
          <w:lang w:val="en-US"/>
        </w:rPr>
        <w:t>x</w:t>
      </w:r>
      <w:r w:rsidRPr="00290557">
        <w:rPr>
          <w:rFonts w:eastAsia="Times New Roman" w:cs="Arial"/>
          <w:color w:val="000000"/>
          <w:lang w:val="ru-RU"/>
        </w:rPr>
        <w:t>1</w:t>
      </w:r>
      <w:r w:rsidRPr="00290557">
        <w:rPr>
          <w:rFonts w:eastAsia="Times New Roman" w:cs="Arial"/>
          <w:color w:val="000000"/>
          <w:lang w:eastAsia="bg-BG"/>
        </w:rPr>
        <w:t>0</w:t>
      </w:r>
      <w:r w:rsidRPr="00290557">
        <w:rPr>
          <w:rFonts w:eastAsia="Times New Roman" w:cs="Arial"/>
          <w:color w:val="000000"/>
          <w:vertAlign w:val="superscript"/>
          <w:lang w:eastAsia="bg-BG"/>
        </w:rPr>
        <w:t>9</w:t>
      </w:r>
      <w:r w:rsidRPr="00290557">
        <w:rPr>
          <w:rFonts w:eastAsia="Times New Roman" w:cs="Arial"/>
          <w:color w:val="000000"/>
          <w:lang w:eastAsia="bg-BG"/>
        </w:rPr>
        <w:t xml:space="preserve">/1) и 1 500-2 </w:t>
      </w:r>
      <w:r w:rsidRPr="00290557">
        <w:rPr>
          <w:rFonts w:eastAsia="Times New Roman" w:cs="Arial"/>
          <w:color w:val="000000"/>
          <w:lang w:val="ru-RU"/>
        </w:rPr>
        <w:t>000/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w:t>
      </w:r>
      <w:r w:rsidRPr="00290557">
        <w:rPr>
          <w:rFonts w:eastAsia="Times New Roman" w:cs="Arial"/>
          <w:color w:val="000000"/>
          <w:lang w:eastAsia="bg-BG"/>
        </w:rPr>
        <w:t>(1,5-2,0</w:t>
      </w:r>
      <w:r w:rsidRPr="00290557">
        <w:rPr>
          <w:rFonts w:eastAsia="Times New Roman" w:cs="Arial"/>
          <w:color w:val="000000"/>
          <w:lang w:val="en-US"/>
        </w:rPr>
        <w:t>x</w:t>
      </w:r>
      <w:r w:rsidRPr="00290557">
        <w:rPr>
          <w:rFonts w:eastAsia="Times New Roman" w:cs="Arial"/>
          <w:color w:val="000000"/>
          <w:lang w:val="ru-RU"/>
        </w:rPr>
        <w:t>10</w:t>
      </w:r>
      <w:r w:rsidRPr="00290557">
        <w:rPr>
          <w:rFonts w:eastAsia="Times New Roman" w:cs="Arial"/>
          <w:color w:val="000000"/>
          <w:vertAlign w:val="superscript"/>
          <w:lang w:eastAsia="bg-BG"/>
        </w:rPr>
        <w:t>9</w:t>
      </w:r>
      <w:r w:rsidRPr="00290557">
        <w:rPr>
          <w:rFonts w:eastAsia="Times New Roman" w:cs="Arial"/>
          <w:color w:val="000000"/>
          <w:lang w:eastAsia="bg-BG"/>
        </w:rPr>
        <w:t>/1), или над тях.</w:t>
      </w:r>
    </w:p>
    <w:p w14:paraId="7DD40599" w14:textId="77777777" w:rsidR="00290557" w:rsidRPr="00290557" w:rsidRDefault="00290557" w:rsidP="00290557">
      <w:pPr>
        <w:spacing w:line="240" w:lineRule="auto"/>
        <w:rPr>
          <w:rFonts w:eastAsia="Times New Roman" w:cs="Arial"/>
        </w:rPr>
      </w:pPr>
    </w:p>
    <w:p w14:paraId="5BE64CA1" w14:textId="77777777" w:rsidR="00CF0F16" w:rsidRPr="00CF0F16" w:rsidRDefault="00290557" w:rsidP="00CF0F16">
      <w:pPr>
        <w:rPr>
          <w:rFonts w:eastAsia="Times New Roman" w:cs="Arial"/>
        </w:rPr>
      </w:pPr>
      <w:r w:rsidRPr="00290557">
        <w:rPr>
          <w:rFonts w:eastAsia="Times New Roman" w:cs="Arial"/>
          <w:color w:val="000000"/>
          <w:lang w:eastAsia="bg-BG"/>
        </w:rPr>
        <w:t xml:space="preserve">Незабавното спиране на приема на Ксенопалан е задължително, ако броят на левкоцитите е по- малък от 3 </w:t>
      </w:r>
      <w:r w:rsidRPr="00290557">
        <w:rPr>
          <w:rFonts w:eastAsia="Times New Roman" w:cs="Arial"/>
          <w:color w:val="000000"/>
          <w:lang w:val="ru-RU"/>
        </w:rPr>
        <w:t>000/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w:t>
      </w:r>
      <w:r w:rsidRPr="00290557">
        <w:rPr>
          <w:rFonts w:eastAsia="Times New Roman" w:cs="Arial"/>
          <w:color w:val="000000"/>
          <w:lang w:eastAsia="bg-BG"/>
        </w:rPr>
        <w:t>(3,0х10</w:t>
      </w:r>
      <w:r w:rsidRPr="00290557">
        <w:rPr>
          <w:rFonts w:eastAsia="Times New Roman" w:cs="Arial"/>
          <w:color w:val="000000"/>
          <w:vertAlign w:val="superscript"/>
          <w:lang w:eastAsia="bg-BG"/>
        </w:rPr>
        <w:t>9</w:t>
      </w:r>
      <w:r w:rsidRPr="00290557">
        <w:rPr>
          <w:rFonts w:eastAsia="Times New Roman" w:cs="Arial"/>
          <w:color w:val="000000"/>
          <w:lang w:eastAsia="bg-BG"/>
        </w:rPr>
        <w:t xml:space="preserve">/1) или АБН е под 1 </w:t>
      </w:r>
      <w:r w:rsidRPr="00290557">
        <w:rPr>
          <w:rFonts w:eastAsia="Times New Roman" w:cs="Arial"/>
          <w:color w:val="000000"/>
          <w:lang w:val="ru-RU"/>
        </w:rPr>
        <w:t>500/</w:t>
      </w:r>
      <w:r w:rsidRPr="00290557">
        <w:rPr>
          <w:rFonts w:eastAsia="Times New Roman" w:cs="Arial"/>
          <w:color w:val="000000"/>
          <w:lang w:val="en-US"/>
        </w:rPr>
        <w:t>mm</w:t>
      </w:r>
      <w:r w:rsidRPr="00290557">
        <w:rPr>
          <w:rFonts w:eastAsia="Times New Roman" w:cs="Arial"/>
          <w:color w:val="000000"/>
          <w:vertAlign w:val="superscript"/>
          <w:lang w:val="ru-RU"/>
        </w:rPr>
        <w:t>3</w:t>
      </w:r>
      <w:r w:rsidRPr="00290557">
        <w:rPr>
          <w:rFonts w:eastAsia="Times New Roman" w:cs="Arial"/>
          <w:color w:val="000000"/>
          <w:lang w:val="ru-RU"/>
        </w:rPr>
        <w:t xml:space="preserve"> </w:t>
      </w:r>
      <w:r w:rsidRPr="00290557">
        <w:rPr>
          <w:rFonts w:eastAsia="Times New Roman" w:cs="Arial"/>
          <w:color w:val="000000"/>
          <w:lang w:eastAsia="bg-BG"/>
        </w:rPr>
        <w:t>(1,5х1О</w:t>
      </w:r>
      <w:r w:rsidRPr="00290557">
        <w:rPr>
          <w:rFonts w:eastAsia="Times New Roman" w:cs="Arial"/>
          <w:color w:val="000000"/>
          <w:vertAlign w:val="superscript"/>
          <w:lang w:eastAsia="bg-BG"/>
        </w:rPr>
        <w:t>9</w:t>
      </w:r>
      <w:r w:rsidRPr="00290557">
        <w:rPr>
          <w:rFonts w:eastAsia="Times New Roman" w:cs="Arial"/>
          <w:color w:val="000000"/>
          <w:lang w:eastAsia="bg-BG"/>
        </w:rPr>
        <w:t>/1) по време на лечението с</w:t>
      </w:r>
      <w:r w:rsidRPr="00290557">
        <w:rPr>
          <w:rFonts w:eastAsia="Times New Roman" w:cs="Arial"/>
          <w:lang w:val="ru-RU"/>
        </w:rPr>
        <w:t xml:space="preserve"> </w:t>
      </w:r>
      <w:r w:rsidRPr="00290557">
        <w:rPr>
          <w:rFonts w:eastAsia="Times New Roman" w:cs="Arial"/>
          <w:color w:val="000000"/>
          <w:lang w:eastAsia="bg-BG"/>
        </w:rPr>
        <w:t>клозапин. Броят на левкоцитите и диференциалната кръвна картина след това трябва да се определят ежедневно и пациентите внимателно да се проследяват за поява на грипоподобни</w:t>
      </w:r>
      <w:r w:rsidR="00CF0F16" w:rsidRPr="00CF0F16">
        <w:rPr>
          <w:rFonts w:eastAsia="Times New Roman" w:cs="Arial"/>
          <w:color w:val="000000"/>
          <w:lang w:val="ru-RU" w:eastAsia="bg-BG"/>
        </w:rPr>
        <w:t xml:space="preserve"> </w:t>
      </w:r>
      <w:r w:rsidR="00CF0F16" w:rsidRPr="00CF0F16">
        <w:rPr>
          <w:rFonts w:eastAsia="Times New Roman" w:cs="Arial"/>
          <w:color w:val="000000"/>
          <w:lang w:eastAsia="bg-BG"/>
        </w:rPr>
        <w:t>симптоми или други симптоми, предполагащи инфекция. Препоръчва се потвърждаване на стойностите на хематологичните показатели чрез провеждане на кръвни изследвания в два последователни дни; въпреки това приемът на клозапин трябва да се спре след данните от първите показатели.</w:t>
      </w:r>
    </w:p>
    <w:p w14:paraId="0CF20E29" w14:textId="157395FB" w:rsidR="00CF0F16" w:rsidRDefault="00CF0F16" w:rsidP="00CF0F16">
      <w:pPr>
        <w:spacing w:line="240" w:lineRule="auto"/>
        <w:rPr>
          <w:rFonts w:eastAsia="Times New Roman" w:cs="Arial"/>
          <w:color w:val="000000"/>
          <w:lang w:eastAsia="bg-BG"/>
        </w:rPr>
      </w:pPr>
    </w:p>
    <w:p w14:paraId="2D16AC35" w14:textId="187077FE" w:rsidR="00CF0F16" w:rsidRPr="00CF0F16" w:rsidRDefault="00CF0F16" w:rsidP="00CF0F16">
      <w:pPr>
        <w:spacing w:line="240" w:lineRule="auto"/>
        <w:rPr>
          <w:rFonts w:eastAsia="Times New Roman" w:cs="Arial"/>
        </w:rPr>
      </w:pPr>
      <w:r w:rsidRPr="00CF0F16">
        <w:rPr>
          <w:rFonts w:eastAsia="Times New Roman" w:cs="Arial"/>
          <w:color w:val="000000"/>
          <w:lang w:eastAsia="bg-BG"/>
        </w:rPr>
        <w:t>След спиране на лечението с Ксенопалан се налага хематологична оценка до възстановяване на хематологичните показатели.</w:t>
      </w:r>
    </w:p>
    <w:p w14:paraId="7159ADE1" w14:textId="77777777" w:rsidR="00CF0F16" w:rsidRDefault="00CF0F16" w:rsidP="00CF0F16">
      <w:pPr>
        <w:spacing w:line="240" w:lineRule="auto"/>
        <w:rPr>
          <w:rFonts w:eastAsia="Times New Roman" w:cs="Arial"/>
          <w:b/>
          <w:bCs/>
          <w:color w:val="000000"/>
          <w:lang w:eastAsia="bg-BG"/>
        </w:rPr>
      </w:pPr>
    </w:p>
    <w:p w14:paraId="59D9406C" w14:textId="148C9C6D" w:rsidR="00CF0F16" w:rsidRPr="00CF0F16" w:rsidRDefault="00CF0F16" w:rsidP="00CF0F16">
      <w:pPr>
        <w:spacing w:line="240" w:lineRule="auto"/>
        <w:rPr>
          <w:rFonts w:ascii="Times New Roman" w:eastAsia="Times New Roman" w:hAnsi="Times New Roman" w:cs="Times New Roman"/>
          <w:sz w:val="24"/>
          <w:szCs w:val="24"/>
        </w:rPr>
      </w:pPr>
      <w:r w:rsidRPr="00CF0F16">
        <w:rPr>
          <w:rFonts w:eastAsia="Times New Roman" w:cs="Arial"/>
          <w:b/>
          <w:bCs/>
          <w:color w:val="000000"/>
          <w:lang w:eastAsia="bg-BG"/>
        </w:rPr>
        <w:t>Таблица 1</w:t>
      </w:r>
    </w:p>
    <w:tbl>
      <w:tblPr>
        <w:tblStyle w:val="TableGrid"/>
        <w:tblW w:w="0" w:type="auto"/>
        <w:tblLook w:val="04A0" w:firstRow="1" w:lastRow="0" w:firstColumn="1" w:lastColumn="0" w:noHBand="0" w:noVBand="1"/>
      </w:tblPr>
      <w:tblGrid>
        <w:gridCol w:w="3124"/>
        <w:gridCol w:w="3093"/>
        <w:gridCol w:w="3133"/>
      </w:tblGrid>
      <w:tr w:rsidR="00CF0F16" w14:paraId="7906A8DC" w14:textId="77777777" w:rsidTr="00CF0F16">
        <w:tc>
          <w:tcPr>
            <w:tcW w:w="3192" w:type="dxa"/>
          </w:tcPr>
          <w:p w14:paraId="4DC4E2C4" w14:textId="78061C27" w:rsidR="00CF0F16" w:rsidRPr="00CF0F16" w:rsidRDefault="00CF0F16" w:rsidP="00CF0F16">
            <w:pPr>
              <w:spacing w:line="240" w:lineRule="auto"/>
              <w:rPr>
                <w:rFonts w:eastAsia="Times New Roman" w:cs="Arial"/>
                <w:lang w:val="ru-RU"/>
              </w:rPr>
            </w:pPr>
            <w:r w:rsidRPr="00CF0F16">
              <w:t>Брой кръвни клетки</w:t>
            </w:r>
          </w:p>
        </w:tc>
        <w:tc>
          <w:tcPr>
            <w:tcW w:w="3192" w:type="dxa"/>
          </w:tcPr>
          <w:p w14:paraId="153C45C8" w14:textId="77777777" w:rsidR="00CF0F16" w:rsidRPr="00CF0F16" w:rsidRDefault="00CF0F16" w:rsidP="00CF0F16">
            <w:pPr>
              <w:spacing w:line="240" w:lineRule="auto"/>
              <w:rPr>
                <w:rFonts w:eastAsia="Times New Roman" w:cs="Arial"/>
                <w:lang w:val="ru-RU"/>
              </w:rPr>
            </w:pPr>
          </w:p>
        </w:tc>
        <w:tc>
          <w:tcPr>
            <w:tcW w:w="3192" w:type="dxa"/>
            <w:vMerge w:val="restart"/>
          </w:tcPr>
          <w:p w14:paraId="444DD58F" w14:textId="1D730F50" w:rsidR="00CF0F16" w:rsidRPr="00CF0F16" w:rsidRDefault="00CF0F16" w:rsidP="00CF0F16">
            <w:pPr>
              <w:spacing w:line="240" w:lineRule="auto"/>
              <w:rPr>
                <w:rFonts w:eastAsia="Times New Roman" w:cs="Arial"/>
                <w:lang w:val="ru-RU"/>
              </w:rPr>
            </w:pPr>
            <w:r w:rsidRPr="00CF0F16">
              <w:t>Необходими действия</w:t>
            </w:r>
          </w:p>
        </w:tc>
      </w:tr>
      <w:tr w:rsidR="00CF0F16" w14:paraId="7FD4A2DE" w14:textId="77777777" w:rsidTr="00CF0F16">
        <w:tc>
          <w:tcPr>
            <w:tcW w:w="3192" w:type="dxa"/>
          </w:tcPr>
          <w:p w14:paraId="0F88FEEE" w14:textId="621F2F60" w:rsidR="00CF0F16" w:rsidRPr="00CF0F16" w:rsidRDefault="00CF0F16" w:rsidP="00CF0F16">
            <w:pPr>
              <w:spacing w:line="240" w:lineRule="auto"/>
              <w:rPr>
                <w:rFonts w:eastAsia="Times New Roman" w:cs="Arial"/>
                <w:lang w:val="ru-RU"/>
              </w:rPr>
            </w:pPr>
            <w:r w:rsidRPr="00CF0F16">
              <w:t>Левкоцити</w:t>
            </w:r>
            <w:r w:rsidRPr="00CF0F16">
              <w:rPr>
                <w:lang w:val="en-US"/>
              </w:rPr>
              <w:t>/mm</w:t>
            </w:r>
            <w:r w:rsidRPr="00CF0F16">
              <w:rPr>
                <w:vertAlign w:val="superscript"/>
                <w:lang w:val="en-US"/>
              </w:rPr>
              <w:t>3</w:t>
            </w:r>
            <w:r w:rsidRPr="00CF0F16">
              <w:rPr>
                <w:lang w:val="en-US"/>
              </w:rPr>
              <w:t xml:space="preserve"> </w:t>
            </w:r>
            <w:r w:rsidRPr="00CF0F16">
              <w:t>(/</w:t>
            </w:r>
            <w:r w:rsidRPr="00CF0F16">
              <w:rPr>
                <w:lang w:val="en-US"/>
              </w:rPr>
              <w:t>l</w:t>
            </w:r>
            <w:r w:rsidRPr="00CF0F16">
              <w:t>)</w:t>
            </w:r>
          </w:p>
        </w:tc>
        <w:tc>
          <w:tcPr>
            <w:tcW w:w="3192" w:type="dxa"/>
          </w:tcPr>
          <w:p w14:paraId="15A89F72" w14:textId="6169625F" w:rsidR="00CF0F16" w:rsidRPr="00CF0F16" w:rsidRDefault="00CF0F16" w:rsidP="00CF0F16">
            <w:pPr>
              <w:spacing w:line="240" w:lineRule="auto"/>
              <w:rPr>
                <w:rFonts w:eastAsia="Times New Roman" w:cs="Arial"/>
                <w:lang w:val="ru-RU"/>
              </w:rPr>
            </w:pPr>
            <w:r w:rsidRPr="00CF0F16">
              <w:t>АБН/</w:t>
            </w:r>
            <w:r w:rsidRPr="00CF0F16">
              <w:rPr>
                <w:lang w:val="en-US"/>
              </w:rPr>
              <w:t>mm</w:t>
            </w:r>
            <w:r w:rsidRPr="00CF0F16">
              <w:rPr>
                <w:vertAlign w:val="superscript"/>
              </w:rPr>
              <w:t>3</w:t>
            </w:r>
            <w:r w:rsidRPr="00CF0F16">
              <w:t xml:space="preserve"> (/</w:t>
            </w:r>
            <w:r w:rsidRPr="00CF0F16">
              <w:rPr>
                <w:lang w:val="en-US"/>
              </w:rPr>
              <w:t>l</w:t>
            </w:r>
            <w:r w:rsidRPr="00CF0F16">
              <w:t>)</w:t>
            </w:r>
          </w:p>
        </w:tc>
        <w:tc>
          <w:tcPr>
            <w:tcW w:w="3192" w:type="dxa"/>
            <w:vMerge/>
          </w:tcPr>
          <w:p w14:paraId="00F987A0" w14:textId="77777777" w:rsidR="00CF0F16" w:rsidRPr="00CF0F16" w:rsidRDefault="00CF0F16" w:rsidP="00CF0F16">
            <w:pPr>
              <w:spacing w:line="240" w:lineRule="auto"/>
              <w:rPr>
                <w:rFonts w:eastAsia="Times New Roman" w:cs="Arial"/>
                <w:lang w:val="ru-RU"/>
              </w:rPr>
            </w:pPr>
          </w:p>
        </w:tc>
      </w:tr>
      <w:tr w:rsidR="00CF0F16" w14:paraId="37ACB494" w14:textId="77777777" w:rsidTr="00CF0F16">
        <w:tc>
          <w:tcPr>
            <w:tcW w:w="3192" w:type="dxa"/>
          </w:tcPr>
          <w:p w14:paraId="1B792320" w14:textId="087CDD46" w:rsidR="00CF0F16" w:rsidRPr="00CF0F16" w:rsidRDefault="00CF0F16" w:rsidP="00CF0F16">
            <w:pPr>
              <w:spacing w:line="240" w:lineRule="auto"/>
              <w:rPr>
                <w:rFonts w:eastAsia="Times New Roman" w:cs="Arial"/>
                <w:lang w:val="ru-RU"/>
              </w:rPr>
            </w:pPr>
            <w:r w:rsidRPr="00CF0F16">
              <w:t>≥3 500 (&gt;3,5х10</w:t>
            </w:r>
            <w:r w:rsidRPr="00CF0F16">
              <w:rPr>
                <w:vertAlign w:val="superscript"/>
              </w:rPr>
              <w:t>9</w:t>
            </w:r>
            <w:r w:rsidRPr="00CF0F16">
              <w:t>)</w:t>
            </w:r>
          </w:p>
        </w:tc>
        <w:tc>
          <w:tcPr>
            <w:tcW w:w="3192" w:type="dxa"/>
          </w:tcPr>
          <w:p w14:paraId="1145470A" w14:textId="3941696C" w:rsidR="00CF0F16" w:rsidRPr="00CF0F16" w:rsidRDefault="00CF0F16" w:rsidP="00CF0F16">
            <w:pPr>
              <w:spacing w:line="240" w:lineRule="auto"/>
              <w:rPr>
                <w:rFonts w:eastAsia="Times New Roman" w:cs="Arial"/>
                <w:lang w:val="ru-RU"/>
              </w:rPr>
            </w:pPr>
            <w:r w:rsidRPr="00CF0F16">
              <w:t xml:space="preserve">≥2 000 </w:t>
            </w:r>
            <w:r w:rsidRPr="00CF0F16">
              <w:rPr>
                <w:lang w:val="en-US"/>
              </w:rPr>
              <w:t>(</w:t>
            </w:r>
            <w:r w:rsidRPr="00CF0F16">
              <w:t>≥</w:t>
            </w:r>
            <w:r w:rsidRPr="00CF0F16">
              <w:rPr>
                <w:lang w:val="en-US"/>
              </w:rPr>
              <w:t>2,0xl</w:t>
            </w:r>
            <w:r w:rsidRPr="00CF0F16">
              <w:t>0</w:t>
            </w:r>
            <w:r w:rsidRPr="00CF0F16">
              <w:rPr>
                <w:vertAlign w:val="superscript"/>
              </w:rPr>
              <w:t>9</w:t>
            </w:r>
            <w:r w:rsidRPr="00CF0F16">
              <w:t>)</w:t>
            </w:r>
          </w:p>
        </w:tc>
        <w:tc>
          <w:tcPr>
            <w:tcW w:w="3192" w:type="dxa"/>
          </w:tcPr>
          <w:p w14:paraId="29C2F7E4" w14:textId="1D762768" w:rsidR="00CF0F16" w:rsidRPr="00CF0F16" w:rsidRDefault="00CF0F16" w:rsidP="00CF0F16">
            <w:pPr>
              <w:spacing w:line="240" w:lineRule="auto"/>
              <w:rPr>
                <w:rFonts w:eastAsia="Times New Roman" w:cs="Arial"/>
                <w:lang w:val="ru-RU"/>
              </w:rPr>
            </w:pPr>
            <w:r w:rsidRPr="00CF0F16">
              <w:t>Да се продължи лечението с Ксенопалан.</w:t>
            </w:r>
          </w:p>
        </w:tc>
      </w:tr>
      <w:tr w:rsidR="00CF0F16" w14:paraId="1360F391" w14:textId="77777777" w:rsidTr="00CF0F16">
        <w:tc>
          <w:tcPr>
            <w:tcW w:w="3192" w:type="dxa"/>
          </w:tcPr>
          <w:p w14:paraId="779867EE" w14:textId="58D28C15" w:rsidR="00CF0F16" w:rsidRPr="00CF0F16" w:rsidRDefault="00CF0F16" w:rsidP="00CF0F16">
            <w:pPr>
              <w:spacing w:line="240" w:lineRule="auto"/>
              <w:rPr>
                <w:rFonts w:eastAsia="Times New Roman" w:cs="Arial"/>
                <w:lang w:val="ru-RU"/>
              </w:rPr>
            </w:pPr>
            <w:r w:rsidRPr="00CF0F16">
              <w:t xml:space="preserve">3 000-3 500 </w:t>
            </w:r>
            <w:r w:rsidRPr="00CF0F16">
              <w:rPr>
                <w:lang w:val="en-US"/>
              </w:rPr>
              <w:t>(3,0x10</w:t>
            </w:r>
            <w:r w:rsidRPr="00CF0F16">
              <w:rPr>
                <w:vertAlign w:val="superscript"/>
                <w:lang w:val="en-US"/>
              </w:rPr>
              <w:t>s</w:t>
            </w:r>
            <w:r w:rsidRPr="00CF0F16">
              <w:rPr>
                <w:lang w:val="en-US"/>
              </w:rPr>
              <w:t xml:space="preserve"> </w:t>
            </w:r>
            <w:r w:rsidRPr="00CF0F16">
              <w:t>- 3,5х10</w:t>
            </w:r>
            <w:r w:rsidRPr="00CF0F16">
              <w:rPr>
                <w:vertAlign w:val="superscript"/>
              </w:rPr>
              <w:t>9</w:t>
            </w:r>
            <w:r w:rsidRPr="00CF0F16">
              <w:t>)</w:t>
            </w:r>
          </w:p>
        </w:tc>
        <w:tc>
          <w:tcPr>
            <w:tcW w:w="3192" w:type="dxa"/>
          </w:tcPr>
          <w:p w14:paraId="2CD81152" w14:textId="2054F086" w:rsidR="00CF0F16" w:rsidRPr="00CF0F16" w:rsidRDefault="00CF0F16" w:rsidP="00CF0F16">
            <w:pPr>
              <w:spacing w:line="240" w:lineRule="auto"/>
              <w:rPr>
                <w:rFonts w:eastAsia="Times New Roman" w:cs="Arial"/>
                <w:lang w:val="ru-RU"/>
              </w:rPr>
            </w:pPr>
            <w:r w:rsidRPr="00CF0F16">
              <w:t>1 500-2 000 (1,5х10</w:t>
            </w:r>
            <w:r w:rsidRPr="00CF0F16">
              <w:rPr>
                <w:vertAlign w:val="superscript"/>
              </w:rPr>
              <w:t>9</w:t>
            </w:r>
            <w:r w:rsidRPr="00CF0F16">
              <w:t xml:space="preserve"> - </w:t>
            </w:r>
            <w:r w:rsidRPr="00CF0F16">
              <w:rPr>
                <w:lang w:val="en-US"/>
              </w:rPr>
              <w:t>2,0x1</w:t>
            </w:r>
            <w:r w:rsidRPr="00CF0F16">
              <w:t>0</w:t>
            </w:r>
            <w:r w:rsidRPr="00CF0F16">
              <w:rPr>
                <w:vertAlign w:val="superscript"/>
              </w:rPr>
              <w:t>9</w:t>
            </w:r>
            <w:r w:rsidRPr="00CF0F16">
              <w:t>)</w:t>
            </w:r>
          </w:p>
        </w:tc>
        <w:tc>
          <w:tcPr>
            <w:tcW w:w="3192" w:type="dxa"/>
          </w:tcPr>
          <w:p w14:paraId="781D3401" w14:textId="759C17EC" w:rsidR="00CF0F16" w:rsidRPr="00CF0F16" w:rsidRDefault="00CF0F16" w:rsidP="00CF0F16">
            <w:pPr>
              <w:spacing w:line="240" w:lineRule="auto"/>
              <w:rPr>
                <w:rFonts w:eastAsia="Times New Roman" w:cs="Arial"/>
                <w:lang w:val="ru-RU"/>
              </w:rPr>
            </w:pPr>
            <w:r w:rsidRPr="00CF0F16">
              <w:t>Да се продължи лечението с Ксенопалан, да се вземат кръвни проби два пъти седмично до стабилизиране или повишаване на броя на кръвните клетки</w:t>
            </w:r>
          </w:p>
        </w:tc>
      </w:tr>
      <w:tr w:rsidR="00CF0F16" w14:paraId="3D8BFFCC" w14:textId="77777777" w:rsidTr="00CF0F16">
        <w:tc>
          <w:tcPr>
            <w:tcW w:w="3192" w:type="dxa"/>
          </w:tcPr>
          <w:p w14:paraId="096CB60E" w14:textId="004EB160" w:rsidR="00CF0F16" w:rsidRPr="00CF0F16" w:rsidRDefault="00CF0F16" w:rsidP="00CF0F16">
            <w:pPr>
              <w:spacing w:line="240" w:lineRule="auto"/>
              <w:rPr>
                <w:rFonts w:eastAsia="Times New Roman" w:cs="Arial"/>
                <w:lang w:val="ru-RU"/>
              </w:rPr>
            </w:pPr>
            <w:r w:rsidRPr="00CF0F16">
              <w:t xml:space="preserve">&lt;3 000 </w:t>
            </w:r>
            <w:r w:rsidRPr="00CF0F16">
              <w:rPr>
                <w:lang w:val="en-US"/>
              </w:rPr>
              <w:t>(&lt;3,0xl</w:t>
            </w:r>
            <w:r w:rsidRPr="00CF0F16">
              <w:t>0</w:t>
            </w:r>
            <w:r w:rsidRPr="00CF0F16">
              <w:rPr>
                <w:vertAlign w:val="superscript"/>
              </w:rPr>
              <w:t>9</w:t>
            </w:r>
            <w:r w:rsidRPr="00CF0F16">
              <w:t>)</w:t>
            </w:r>
          </w:p>
        </w:tc>
        <w:tc>
          <w:tcPr>
            <w:tcW w:w="3192" w:type="dxa"/>
          </w:tcPr>
          <w:p w14:paraId="2A90E94A" w14:textId="65F74E12" w:rsidR="00CF0F16" w:rsidRPr="00CF0F16" w:rsidRDefault="00CF0F16" w:rsidP="00CF0F16">
            <w:pPr>
              <w:spacing w:line="240" w:lineRule="auto"/>
              <w:rPr>
                <w:rFonts w:eastAsia="Times New Roman" w:cs="Arial"/>
                <w:lang w:val="ru-RU"/>
              </w:rPr>
            </w:pPr>
            <w:r w:rsidRPr="00CF0F16">
              <w:t>&lt;1 500 (&lt;1,5 х 10</w:t>
            </w:r>
            <w:r w:rsidRPr="00CF0F16">
              <w:rPr>
                <w:vertAlign w:val="superscript"/>
              </w:rPr>
              <w:t>9</w:t>
            </w:r>
            <w:r w:rsidRPr="00CF0F16">
              <w:t>)</w:t>
            </w:r>
          </w:p>
        </w:tc>
        <w:tc>
          <w:tcPr>
            <w:tcW w:w="3192" w:type="dxa"/>
          </w:tcPr>
          <w:p w14:paraId="14528A30" w14:textId="5B7AEA19" w:rsidR="00CF0F16" w:rsidRPr="00CF0F16" w:rsidRDefault="00CF0F16" w:rsidP="00CF0F16">
            <w:pPr>
              <w:spacing w:line="240" w:lineRule="auto"/>
              <w:rPr>
                <w:rFonts w:eastAsia="Times New Roman" w:cs="Arial"/>
                <w:lang w:val="ru-RU"/>
              </w:rPr>
            </w:pPr>
            <w:r w:rsidRPr="00CF0F16">
              <w:t>Незабавно да се прекрати лечението с Ксенопалан, да се вземат кръвни проби ежедневно до изчезване на хематологичното нарушение, да се следи за инфекции. Лекарственият продукт да не се дава повторно на пациента.</w:t>
            </w:r>
          </w:p>
        </w:tc>
      </w:tr>
    </w:tbl>
    <w:p w14:paraId="03F2670B" w14:textId="0E4D69F2" w:rsidR="00290557" w:rsidRDefault="00290557" w:rsidP="00290557">
      <w:pPr>
        <w:spacing w:line="240" w:lineRule="auto"/>
        <w:rPr>
          <w:rFonts w:eastAsia="Times New Roman" w:cs="Arial"/>
          <w:lang w:val="ru-RU"/>
        </w:rPr>
      </w:pPr>
    </w:p>
    <w:p w14:paraId="50DF22F8" w14:textId="77777777"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 xml:space="preserve">Ако е преустановено приложението на клозапин и отново се появи намаляване на броя на левкоцитите под 2 </w:t>
      </w:r>
      <w:r w:rsidRPr="00CF0F16">
        <w:rPr>
          <w:rFonts w:eastAsia="Times New Roman" w:cs="Arial"/>
          <w:b/>
          <w:bCs/>
          <w:color w:val="000000"/>
          <w:lang w:val="ru-RU"/>
        </w:rPr>
        <w:t>000/</w:t>
      </w:r>
      <w:r w:rsidRPr="00CF0F16">
        <w:rPr>
          <w:rFonts w:eastAsia="Times New Roman" w:cs="Arial"/>
          <w:b/>
          <w:bCs/>
          <w:color w:val="000000"/>
          <w:lang w:val="en-US"/>
        </w:rPr>
        <w:t>mm</w:t>
      </w:r>
      <w:r w:rsidRPr="00CF0F16">
        <w:rPr>
          <w:rFonts w:eastAsia="Times New Roman" w:cs="Arial"/>
          <w:b/>
          <w:bCs/>
          <w:color w:val="000000"/>
          <w:vertAlign w:val="superscript"/>
          <w:lang w:val="ru-RU"/>
        </w:rPr>
        <w:t>3</w:t>
      </w:r>
      <w:r w:rsidRPr="00CF0F16">
        <w:rPr>
          <w:rFonts w:eastAsia="Times New Roman" w:cs="Arial"/>
          <w:b/>
          <w:bCs/>
          <w:color w:val="000000"/>
          <w:lang w:val="ru-RU"/>
        </w:rPr>
        <w:t xml:space="preserve"> </w:t>
      </w:r>
      <w:r w:rsidRPr="00CF0F16">
        <w:rPr>
          <w:rFonts w:eastAsia="Times New Roman" w:cs="Arial"/>
          <w:b/>
          <w:bCs/>
          <w:color w:val="000000"/>
          <w:lang w:eastAsia="bg-BG"/>
        </w:rPr>
        <w:t>(2,0х10</w:t>
      </w:r>
      <w:r w:rsidRPr="00CF0F16">
        <w:rPr>
          <w:rFonts w:eastAsia="Times New Roman" w:cs="Arial"/>
          <w:b/>
          <w:bCs/>
          <w:color w:val="000000"/>
          <w:vertAlign w:val="superscript"/>
          <w:lang w:eastAsia="bg-BG"/>
        </w:rPr>
        <w:t>9</w:t>
      </w:r>
      <w:r w:rsidRPr="00CF0F16">
        <w:rPr>
          <w:rFonts w:eastAsia="Times New Roman" w:cs="Arial"/>
          <w:b/>
          <w:bCs/>
          <w:color w:val="000000"/>
          <w:lang w:eastAsia="bg-BG"/>
        </w:rPr>
        <w:t xml:space="preserve">/1), или на АБН под 1 </w:t>
      </w:r>
      <w:r w:rsidRPr="00CF0F16">
        <w:rPr>
          <w:rFonts w:eastAsia="Times New Roman" w:cs="Arial"/>
          <w:b/>
          <w:bCs/>
          <w:color w:val="000000"/>
          <w:lang w:val="ru-RU"/>
        </w:rPr>
        <w:t>000/</w:t>
      </w:r>
      <w:r w:rsidRPr="00CF0F16">
        <w:rPr>
          <w:rFonts w:eastAsia="Times New Roman" w:cs="Arial"/>
          <w:b/>
          <w:bCs/>
          <w:color w:val="000000"/>
          <w:lang w:val="en-US"/>
        </w:rPr>
        <w:t>mm</w:t>
      </w:r>
      <w:r w:rsidRPr="00CF0F16">
        <w:rPr>
          <w:rFonts w:eastAsia="Times New Roman" w:cs="Arial"/>
          <w:b/>
          <w:bCs/>
          <w:color w:val="000000"/>
          <w:vertAlign w:val="superscript"/>
          <w:lang w:val="ru-RU"/>
        </w:rPr>
        <w:t>3</w:t>
      </w:r>
      <w:r w:rsidRPr="00CF0F16">
        <w:rPr>
          <w:rFonts w:eastAsia="Times New Roman" w:cs="Arial"/>
          <w:b/>
          <w:bCs/>
          <w:color w:val="000000"/>
          <w:lang w:val="ru-RU"/>
        </w:rPr>
        <w:t xml:space="preserve"> </w:t>
      </w:r>
      <w:r w:rsidRPr="00CF0F16">
        <w:rPr>
          <w:rFonts w:eastAsia="Times New Roman" w:cs="Arial"/>
          <w:b/>
          <w:bCs/>
          <w:color w:val="000000"/>
          <w:lang w:eastAsia="bg-BG"/>
        </w:rPr>
        <w:t>(1,0х10</w:t>
      </w:r>
      <w:r w:rsidRPr="00CF0F16">
        <w:rPr>
          <w:rFonts w:eastAsia="Times New Roman" w:cs="Arial"/>
          <w:b/>
          <w:bCs/>
          <w:color w:val="000000"/>
          <w:vertAlign w:val="superscript"/>
          <w:lang w:eastAsia="bg-BG"/>
        </w:rPr>
        <w:t>9</w:t>
      </w:r>
      <w:r w:rsidRPr="00CF0F16">
        <w:rPr>
          <w:rFonts w:eastAsia="Times New Roman" w:cs="Arial"/>
          <w:b/>
          <w:bCs/>
          <w:color w:val="000000"/>
          <w:lang w:eastAsia="bg-BG"/>
        </w:rPr>
        <w:t>/1), третирането на това състояние трябва да се ръководи от опитен хематолог.</w:t>
      </w:r>
    </w:p>
    <w:p w14:paraId="683CE014" w14:textId="77777777" w:rsidR="00CF0F16" w:rsidRDefault="00CF0F16" w:rsidP="00CF0F16">
      <w:pPr>
        <w:spacing w:line="240" w:lineRule="auto"/>
        <w:rPr>
          <w:rFonts w:eastAsia="Times New Roman" w:cs="Arial"/>
          <w:b/>
          <w:bCs/>
          <w:color w:val="000000"/>
          <w:lang w:eastAsia="bg-BG"/>
        </w:rPr>
      </w:pPr>
    </w:p>
    <w:p w14:paraId="1B4D613B" w14:textId="494E9F2A"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Спиране на лечението поради хематологичнн причини</w:t>
      </w:r>
    </w:p>
    <w:p w14:paraId="0297E5CF"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Пациентите, при които лечението с Ксенопалан е било спряно в резултат на понижен брой левкоцити или АБН (вж. по-горе), не трябва да получават отново Ксенопалан</w:t>
      </w:r>
    </w:p>
    <w:p w14:paraId="3539FB34" w14:textId="77777777" w:rsidR="00CF0F16" w:rsidRDefault="00CF0F16" w:rsidP="00CF0F16">
      <w:pPr>
        <w:spacing w:line="240" w:lineRule="auto"/>
        <w:rPr>
          <w:rFonts w:eastAsia="Times New Roman" w:cs="Arial"/>
          <w:color w:val="000000"/>
          <w:lang w:eastAsia="bg-BG"/>
        </w:rPr>
      </w:pPr>
    </w:p>
    <w:p w14:paraId="1857F3B8" w14:textId="026D4699" w:rsidR="00CF0F16" w:rsidRPr="00CF0F16" w:rsidRDefault="00CF0F16" w:rsidP="00CF0F16">
      <w:pPr>
        <w:spacing w:line="240" w:lineRule="auto"/>
        <w:rPr>
          <w:rFonts w:eastAsia="Times New Roman" w:cs="Arial"/>
        </w:rPr>
      </w:pPr>
      <w:r w:rsidRPr="00CF0F16">
        <w:rPr>
          <w:rFonts w:eastAsia="Times New Roman" w:cs="Arial"/>
          <w:color w:val="000000"/>
          <w:lang w:eastAsia="bg-BG"/>
        </w:rPr>
        <w:t>Препоръчително е лекарите, които предписват лекарствения продукт, да съхраняват списък с резултатите от всички кръвни изследвания на пациентите и да предприемат всички необходими мерки, за да предпазят тези пациенти от случайно повторно получаване на лекарството в бъдеще.</w:t>
      </w:r>
    </w:p>
    <w:p w14:paraId="5DD5ECA0" w14:textId="77777777" w:rsidR="00CF0F16" w:rsidRDefault="00CF0F16" w:rsidP="00CF0F16">
      <w:pPr>
        <w:spacing w:line="240" w:lineRule="auto"/>
        <w:rPr>
          <w:rFonts w:eastAsia="Times New Roman" w:cs="Arial"/>
          <w:b/>
          <w:bCs/>
          <w:color w:val="000000"/>
          <w:lang w:eastAsia="bg-BG"/>
        </w:rPr>
      </w:pPr>
    </w:p>
    <w:p w14:paraId="012D9232" w14:textId="0C66C666"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Спиране на лечението по други причини</w:t>
      </w:r>
    </w:p>
    <w:p w14:paraId="4C4E430F"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При пациенти, третирани с Ксенопалан в продължение на повече от 18 седмици и при които лечението е било прекъснато за повече от 3 дни, но по-малко от 4 седмици, трябва да се контролира броят на левкоцитите и АБН ежеседмично в продължение на още 6 седмици. Ако не се развие хематологично нарушение, може да се възобнови мониторирането на интервали не по-дълги от 4 седмици. Ако лечението с Ксенопалан е преустановено за 4 и повече седмици, се налага ежеседмично мониториране през следващите 18 седмици от лечението, а дозата трябва да се титрира отново (вж. точка 4.2).</w:t>
      </w:r>
    </w:p>
    <w:p w14:paraId="241BAE98" w14:textId="77777777" w:rsidR="00CF0F16" w:rsidRDefault="00CF0F16" w:rsidP="00CF0F16">
      <w:pPr>
        <w:spacing w:line="240" w:lineRule="auto"/>
        <w:rPr>
          <w:rFonts w:eastAsia="Times New Roman" w:cs="Arial"/>
          <w:b/>
          <w:bCs/>
          <w:color w:val="000000"/>
          <w:lang w:eastAsia="bg-BG"/>
        </w:rPr>
      </w:pPr>
    </w:p>
    <w:p w14:paraId="716F6772" w14:textId="72E3B174"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Други предпазни мерки</w:t>
      </w:r>
    </w:p>
    <w:p w14:paraId="59E07347" w14:textId="77777777" w:rsidR="00CF0F16" w:rsidRPr="00CF0F16" w:rsidRDefault="00CF0F16" w:rsidP="00CF0F16">
      <w:pPr>
        <w:spacing w:line="240" w:lineRule="auto"/>
        <w:rPr>
          <w:rFonts w:eastAsia="Times New Roman" w:cs="Arial"/>
        </w:rPr>
      </w:pPr>
      <w:r w:rsidRPr="00CF0F16">
        <w:rPr>
          <w:rFonts w:eastAsia="Times New Roman" w:cs="Arial"/>
          <w:color w:val="000000"/>
          <w:u w:val="single"/>
          <w:lang w:eastAsia="bg-BG"/>
        </w:rPr>
        <w:t>Този лекарствен продукт съдържа лактоза монохидрат.</w:t>
      </w:r>
    </w:p>
    <w:p w14:paraId="12B3562B" w14:textId="5BEFEDEE" w:rsidR="00CF0F16" w:rsidRPr="00CF0F16" w:rsidRDefault="00CF0F16" w:rsidP="00CF0F16">
      <w:pPr>
        <w:spacing w:line="240" w:lineRule="auto"/>
        <w:rPr>
          <w:rFonts w:eastAsia="Times New Roman" w:cs="Arial"/>
          <w:color w:val="000000"/>
          <w:lang w:val="ru-RU" w:eastAsia="bg-BG"/>
        </w:rPr>
      </w:pPr>
      <w:r w:rsidRPr="00CF0F16">
        <w:rPr>
          <w:rFonts w:eastAsia="Times New Roman" w:cs="Arial"/>
          <w:color w:val="000000"/>
          <w:lang w:eastAsia="bg-BG"/>
        </w:rPr>
        <w:t>Пациентите с редки наследствени проблеми на галактозна непоносимост,</w:t>
      </w:r>
      <w:r w:rsidRPr="00CF0F16">
        <w:rPr>
          <w:rFonts w:eastAsia="Times New Roman" w:cs="Arial"/>
          <w:color w:val="000000"/>
          <w:lang w:val="ru-RU"/>
        </w:rPr>
        <w:t xml:space="preserve"> </w:t>
      </w:r>
      <w:r w:rsidRPr="00CF0F16">
        <w:rPr>
          <w:rFonts w:eastAsia="Times New Roman" w:cs="Arial"/>
          <w:color w:val="000000"/>
          <w:lang w:val="en-US"/>
        </w:rPr>
        <w:t>Lapp</w:t>
      </w:r>
      <w:r w:rsidRPr="00CF0F16">
        <w:rPr>
          <w:rFonts w:eastAsia="Times New Roman" w:cs="Arial"/>
          <w:color w:val="000000"/>
          <w:lang w:val="ru-RU"/>
        </w:rPr>
        <w:t xml:space="preserve"> </w:t>
      </w:r>
      <w:r w:rsidRPr="00CF0F16">
        <w:rPr>
          <w:rFonts w:eastAsia="Times New Roman" w:cs="Arial"/>
          <w:color w:val="000000"/>
          <w:lang w:eastAsia="bg-BG"/>
        </w:rPr>
        <w:t>лактазен дефицит или глюкозо-галактозна малабсорбция не трябва да приемат това лекарство</w:t>
      </w:r>
      <w:r w:rsidRPr="00CF0F16">
        <w:rPr>
          <w:rFonts w:eastAsia="Times New Roman" w:cs="Arial"/>
          <w:color w:val="000000"/>
          <w:lang w:val="ru-RU" w:eastAsia="bg-BG"/>
        </w:rPr>
        <w:t>.</w:t>
      </w:r>
    </w:p>
    <w:p w14:paraId="1E87B02F" w14:textId="567EC40E" w:rsidR="00CF0F16" w:rsidRDefault="00CF0F16" w:rsidP="00CF0F16">
      <w:pPr>
        <w:spacing w:line="240" w:lineRule="auto"/>
        <w:rPr>
          <w:rFonts w:eastAsia="Times New Roman" w:cs="Arial"/>
          <w:color w:val="000000"/>
          <w:lang w:val="ru-RU" w:eastAsia="bg-BG"/>
        </w:rPr>
      </w:pPr>
    </w:p>
    <w:p w14:paraId="5D026F67" w14:textId="77777777"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lastRenderedPageBreak/>
        <w:t>Еозннофилия</w:t>
      </w:r>
    </w:p>
    <w:p w14:paraId="4178AC97"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В случай на </w:t>
      </w:r>
      <w:r w:rsidRPr="00CF0F16">
        <w:rPr>
          <w:rFonts w:eastAsia="Times New Roman" w:cs="Arial"/>
          <w:b/>
          <w:bCs/>
          <w:color w:val="000000"/>
          <w:lang w:eastAsia="bg-BG"/>
        </w:rPr>
        <w:t xml:space="preserve">еозннофилия </w:t>
      </w:r>
      <w:r w:rsidRPr="00CF0F16">
        <w:rPr>
          <w:rFonts w:eastAsia="Times New Roman" w:cs="Arial"/>
          <w:color w:val="000000"/>
          <w:lang w:eastAsia="bg-BG"/>
        </w:rPr>
        <w:t xml:space="preserve">се препоръчва спиране на лечението с клозапин, ако броят на еозинофилите се повиши над 3 </w:t>
      </w:r>
      <w:r w:rsidRPr="00CF0F16">
        <w:rPr>
          <w:rFonts w:eastAsia="Times New Roman" w:cs="Arial"/>
          <w:color w:val="000000"/>
          <w:lang w:val="ru-RU"/>
        </w:rPr>
        <w:t>000/</w:t>
      </w:r>
      <w:r w:rsidRPr="00CF0F16">
        <w:rPr>
          <w:rFonts w:eastAsia="Times New Roman" w:cs="Arial"/>
          <w:color w:val="000000"/>
          <w:lang w:val="en-US"/>
        </w:rPr>
        <w:t>mm</w:t>
      </w:r>
      <w:r w:rsidRPr="00CF0F16">
        <w:rPr>
          <w:rFonts w:eastAsia="Times New Roman" w:cs="Arial"/>
          <w:color w:val="000000"/>
          <w:vertAlign w:val="superscript"/>
          <w:lang w:val="ru-RU"/>
        </w:rPr>
        <w:t>3</w:t>
      </w:r>
      <w:r w:rsidRPr="00CF0F16">
        <w:rPr>
          <w:rFonts w:eastAsia="Times New Roman" w:cs="Arial"/>
          <w:color w:val="000000"/>
          <w:lang w:val="ru-RU"/>
        </w:rPr>
        <w:t xml:space="preserve"> (3,0</w:t>
      </w:r>
      <w:r w:rsidRPr="00CF0F16">
        <w:rPr>
          <w:rFonts w:eastAsia="Times New Roman" w:cs="Arial"/>
          <w:color w:val="000000"/>
          <w:lang w:val="en-US"/>
        </w:rPr>
        <w:t>x</w:t>
      </w:r>
      <w:r w:rsidRPr="00CF0F16">
        <w:rPr>
          <w:rFonts w:eastAsia="Times New Roman" w:cs="Arial"/>
          <w:color w:val="000000"/>
          <w:lang w:val="ru-RU"/>
        </w:rPr>
        <w:t>1</w:t>
      </w:r>
      <w:r w:rsidRPr="00CF0F16">
        <w:rPr>
          <w:rFonts w:eastAsia="Times New Roman" w:cs="Arial"/>
          <w:color w:val="000000"/>
          <w:lang w:eastAsia="bg-BG"/>
        </w:rPr>
        <w:t>0</w:t>
      </w:r>
      <w:r w:rsidRPr="00CF0F16">
        <w:rPr>
          <w:rFonts w:eastAsia="Times New Roman" w:cs="Arial"/>
          <w:color w:val="000000"/>
          <w:vertAlign w:val="superscript"/>
          <w:lang w:eastAsia="bg-BG"/>
        </w:rPr>
        <w:t>9</w:t>
      </w:r>
      <w:r w:rsidRPr="00CF0F16">
        <w:rPr>
          <w:rFonts w:eastAsia="Times New Roman" w:cs="Arial"/>
          <w:color w:val="000000"/>
          <w:lang w:eastAsia="bg-BG"/>
        </w:rPr>
        <w:t xml:space="preserve">/1). Терапията трябва да се възобнови само след понижаване броят на еозинофилите под 1 </w:t>
      </w:r>
      <w:r w:rsidRPr="00CF0F16">
        <w:rPr>
          <w:rFonts w:eastAsia="Times New Roman" w:cs="Arial"/>
          <w:color w:val="000000"/>
          <w:lang w:val="ru-RU"/>
        </w:rPr>
        <w:t>000/</w:t>
      </w:r>
      <w:r w:rsidRPr="00CF0F16">
        <w:rPr>
          <w:rFonts w:eastAsia="Times New Roman" w:cs="Arial"/>
          <w:color w:val="000000"/>
          <w:lang w:val="en-US"/>
        </w:rPr>
        <w:t>mm</w:t>
      </w:r>
      <w:r w:rsidRPr="00CF0F16">
        <w:rPr>
          <w:rFonts w:eastAsia="Times New Roman" w:cs="Arial"/>
          <w:color w:val="000000"/>
          <w:vertAlign w:val="superscript"/>
          <w:lang w:val="ru-RU"/>
        </w:rPr>
        <w:t>3</w:t>
      </w:r>
      <w:r w:rsidRPr="00CF0F16">
        <w:rPr>
          <w:rFonts w:eastAsia="Times New Roman" w:cs="Arial"/>
          <w:color w:val="000000"/>
          <w:lang w:val="ru-RU"/>
        </w:rPr>
        <w:t xml:space="preserve"> </w:t>
      </w:r>
      <w:r w:rsidRPr="00CF0F16">
        <w:rPr>
          <w:rFonts w:eastAsia="Times New Roman" w:cs="Arial"/>
          <w:color w:val="000000"/>
          <w:lang w:eastAsia="bg-BG"/>
        </w:rPr>
        <w:t>(1</w:t>
      </w:r>
      <w:r w:rsidRPr="00CF0F16">
        <w:rPr>
          <w:rFonts w:eastAsia="Times New Roman" w:cs="Arial"/>
          <w:color w:val="000000"/>
          <w:lang w:val="ru-RU"/>
        </w:rPr>
        <w:t>,0</w:t>
      </w:r>
      <w:r w:rsidRPr="00CF0F16">
        <w:rPr>
          <w:rFonts w:eastAsia="Times New Roman" w:cs="Arial"/>
          <w:color w:val="000000"/>
          <w:lang w:val="en-US"/>
        </w:rPr>
        <w:t>x</w:t>
      </w:r>
      <w:r w:rsidRPr="00CF0F16">
        <w:rPr>
          <w:rFonts w:eastAsia="Times New Roman" w:cs="Arial"/>
          <w:color w:val="000000"/>
          <w:lang w:val="ru-RU"/>
        </w:rPr>
        <w:t>1</w:t>
      </w:r>
      <w:r w:rsidRPr="00CF0F16">
        <w:rPr>
          <w:rFonts w:eastAsia="Times New Roman" w:cs="Arial"/>
          <w:color w:val="000000"/>
          <w:lang w:eastAsia="bg-BG"/>
        </w:rPr>
        <w:t>0</w:t>
      </w:r>
      <w:r w:rsidRPr="00CF0F16">
        <w:rPr>
          <w:rFonts w:eastAsia="Times New Roman" w:cs="Arial"/>
          <w:color w:val="000000"/>
          <w:vertAlign w:val="superscript"/>
          <w:lang w:eastAsia="bg-BG"/>
        </w:rPr>
        <w:t>9</w:t>
      </w:r>
      <w:r w:rsidRPr="00CF0F16">
        <w:rPr>
          <w:rFonts w:eastAsia="Times New Roman" w:cs="Arial"/>
          <w:color w:val="000000"/>
          <w:lang w:eastAsia="bg-BG"/>
        </w:rPr>
        <w:t>/1).</w:t>
      </w:r>
    </w:p>
    <w:p w14:paraId="2028BE4F" w14:textId="77777777" w:rsidR="00CF0F16" w:rsidRDefault="00CF0F16" w:rsidP="00CF0F16">
      <w:pPr>
        <w:spacing w:line="240" w:lineRule="auto"/>
        <w:rPr>
          <w:rFonts w:eastAsia="Times New Roman" w:cs="Arial"/>
          <w:b/>
          <w:bCs/>
          <w:color w:val="000000"/>
          <w:lang w:eastAsia="bg-BG"/>
        </w:rPr>
      </w:pPr>
    </w:p>
    <w:p w14:paraId="4D820574" w14:textId="33174E6F"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Тромбоцитопения</w:t>
      </w:r>
    </w:p>
    <w:p w14:paraId="101822DD"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В случай на </w:t>
      </w:r>
      <w:r w:rsidRPr="00CF0F16">
        <w:rPr>
          <w:rFonts w:eastAsia="Times New Roman" w:cs="Arial"/>
          <w:b/>
          <w:bCs/>
          <w:color w:val="000000"/>
          <w:lang w:eastAsia="bg-BG"/>
        </w:rPr>
        <w:t xml:space="preserve">тромбоцитопения </w:t>
      </w:r>
      <w:r w:rsidRPr="00CF0F16">
        <w:rPr>
          <w:rFonts w:eastAsia="Times New Roman" w:cs="Arial"/>
          <w:color w:val="000000"/>
          <w:lang w:eastAsia="bg-BG"/>
        </w:rPr>
        <w:t xml:space="preserve">се препоръчва спиране на лечението с клозапин, ако броят на тромбоцитите спадне под 50 </w:t>
      </w:r>
      <w:r w:rsidRPr="00CF0F16">
        <w:rPr>
          <w:rFonts w:eastAsia="Times New Roman" w:cs="Arial"/>
          <w:color w:val="000000"/>
          <w:lang w:val="ru-RU"/>
        </w:rPr>
        <w:t>000/</w:t>
      </w:r>
      <w:r w:rsidRPr="00CF0F16">
        <w:rPr>
          <w:rFonts w:eastAsia="Times New Roman" w:cs="Arial"/>
          <w:color w:val="000000"/>
          <w:lang w:val="en-US"/>
        </w:rPr>
        <w:t>mm</w:t>
      </w:r>
      <w:r w:rsidRPr="00CF0F16">
        <w:rPr>
          <w:rFonts w:eastAsia="Times New Roman" w:cs="Arial"/>
          <w:color w:val="000000"/>
          <w:vertAlign w:val="superscript"/>
          <w:lang w:val="ru-RU"/>
        </w:rPr>
        <w:t>3</w:t>
      </w:r>
      <w:r w:rsidRPr="00CF0F16">
        <w:rPr>
          <w:rFonts w:eastAsia="Times New Roman" w:cs="Arial"/>
          <w:color w:val="000000"/>
          <w:lang w:val="ru-RU"/>
        </w:rPr>
        <w:t xml:space="preserve"> (50</w:t>
      </w:r>
      <w:r w:rsidRPr="00CF0F16">
        <w:rPr>
          <w:rFonts w:eastAsia="Times New Roman" w:cs="Arial"/>
          <w:color w:val="000000"/>
          <w:lang w:val="en-US"/>
        </w:rPr>
        <w:t>x</w:t>
      </w:r>
      <w:r w:rsidRPr="00CF0F16">
        <w:rPr>
          <w:rFonts w:eastAsia="Times New Roman" w:cs="Arial"/>
          <w:color w:val="000000"/>
          <w:lang w:val="ru-RU"/>
        </w:rPr>
        <w:t>1</w:t>
      </w:r>
      <w:r w:rsidRPr="00CF0F16">
        <w:rPr>
          <w:rFonts w:eastAsia="Times New Roman" w:cs="Arial"/>
          <w:color w:val="000000"/>
          <w:lang w:eastAsia="bg-BG"/>
        </w:rPr>
        <w:t>0</w:t>
      </w:r>
      <w:r w:rsidRPr="00CF0F16">
        <w:rPr>
          <w:rFonts w:eastAsia="Times New Roman" w:cs="Arial"/>
          <w:color w:val="000000"/>
          <w:vertAlign w:val="superscript"/>
          <w:lang w:eastAsia="bg-BG"/>
        </w:rPr>
        <w:t>9</w:t>
      </w:r>
      <w:r w:rsidRPr="00CF0F16">
        <w:rPr>
          <w:rFonts w:eastAsia="Times New Roman" w:cs="Arial"/>
          <w:color w:val="000000"/>
          <w:lang w:eastAsia="bg-BG"/>
        </w:rPr>
        <w:t>/1).</w:t>
      </w:r>
    </w:p>
    <w:p w14:paraId="317CF4D3" w14:textId="77777777" w:rsidR="00CF0F16" w:rsidRDefault="00CF0F16" w:rsidP="00CF0F16">
      <w:pPr>
        <w:spacing w:line="240" w:lineRule="auto"/>
        <w:rPr>
          <w:rFonts w:eastAsia="Times New Roman" w:cs="Arial"/>
          <w:b/>
          <w:bCs/>
          <w:color w:val="000000"/>
          <w:lang w:eastAsia="bg-BG"/>
        </w:rPr>
      </w:pPr>
    </w:p>
    <w:p w14:paraId="08FE2519" w14:textId="5619A933"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Сърдечно-съдови нарушения</w:t>
      </w:r>
    </w:p>
    <w:p w14:paraId="18E1D506"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По време на лечението с клозапин може да възникне </w:t>
      </w:r>
      <w:r w:rsidRPr="00CF0F16">
        <w:rPr>
          <w:rFonts w:eastAsia="Times New Roman" w:cs="Arial"/>
          <w:b/>
          <w:bCs/>
          <w:color w:val="000000"/>
          <w:lang w:eastAsia="bg-BG"/>
        </w:rPr>
        <w:t xml:space="preserve">ортостатична хнпотония, </w:t>
      </w:r>
      <w:r w:rsidRPr="00CF0F16">
        <w:rPr>
          <w:rFonts w:eastAsia="Times New Roman" w:cs="Arial"/>
          <w:color w:val="000000"/>
          <w:lang w:eastAsia="bg-BG"/>
        </w:rPr>
        <w:t>със или без синкоп. В редки случаи колапсът може да е тежък и да се съпровожда от спиране на сърдечната дейност и/или дишането. Такива реакции е по-вероятно да възникнат при съвместна употреба с бензодиазепин или някое друго психотропно средство (вж. точка 4.5), и по време на първоначалното титриране във връзка с бързо увеличаване на дозата; в много редки случаи те биха могли да възникнат дори след първата доза. По тази причина пациентите, започващи лечение с клозапин изискват внимателно медицинско проследяване. Необходимо е мониториране на кръвното налягане в изправено или легнало положение през първите няколко седмици на лечението при пациенти с болест на Паркинсон.</w:t>
      </w:r>
    </w:p>
    <w:p w14:paraId="2AB60FB6"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Анализът на данните за безопасност показва, че употребата на клозапин е свързана с повишен риск от </w:t>
      </w:r>
      <w:r w:rsidRPr="00CF0F16">
        <w:rPr>
          <w:rFonts w:eastAsia="Times New Roman" w:cs="Arial"/>
          <w:b/>
          <w:bCs/>
          <w:color w:val="000000"/>
          <w:lang w:eastAsia="bg-BG"/>
        </w:rPr>
        <w:t xml:space="preserve">миокардит, </w:t>
      </w:r>
      <w:r w:rsidRPr="00CF0F16">
        <w:rPr>
          <w:rFonts w:eastAsia="Times New Roman" w:cs="Arial"/>
          <w:color w:val="000000"/>
          <w:lang w:eastAsia="bg-BG"/>
        </w:rPr>
        <w:t xml:space="preserve">предимно, но не единствено, през първите два месеца на лечението. Някои от случаите с миокардит са с фатален изход. Във връзка с употреба на клозапин се съобщава също за случаи на </w:t>
      </w:r>
      <w:r w:rsidRPr="00CF0F16">
        <w:rPr>
          <w:rFonts w:eastAsia="Times New Roman" w:cs="Arial"/>
          <w:b/>
          <w:bCs/>
          <w:color w:val="000000"/>
          <w:lang w:eastAsia="bg-BG"/>
        </w:rPr>
        <w:t xml:space="preserve">перикардит/перикарден излив </w:t>
      </w:r>
      <w:r w:rsidRPr="00CF0F16">
        <w:rPr>
          <w:rFonts w:eastAsia="Times New Roman" w:cs="Arial"/>
          <w:color w:val="000000"/>
          <w:lang w:eastAsia="bg-BG"/>
        </w:rPr>
        <w:t xml:space="preserve">и </w:t>
      </w:r>
      <w:r w:rsidRPr="00CF0F16">
        <w:rPr>
          <w:rFonts w:eastAsia="Times New Roman" w:cs="Arial"/>
          <w:b/>
          <w:bCs/>
          <w:color w:val="000000"/>
          <w:lang w:eastAsia="bg-BG"/>
        </w:rPr>
        <w:t xml:space="preserve">кардиомиопатия; </w:t>
      </w:r>
      <w:r w:rsidRPr="00CF0F16">
        <w:rPr>
          <w:rFonts w:eastAsia="Times New Roman" w:cs="Arial"/>
          <w:color w:val="000000"/>
          <w:lang w:eastAsia="bg-BG"/>
        </w:rPr>
        <w:t>някои от тях също с фатален изход. Наличие на миокардит или кардиомиопатия трябва да се подозират при пациенти, които получават персистираща тахикардия в покой, особено през първите два месеца от началото на лечението, и/или палпитации, аритмии, гръдна болка и други признаци, и симптоми на сърдечна недостатъчност (напр. необяснима умора, диспнея, тахипнея), или симптоми, които наподобяват миокарден инфаркт. Други симптоми, освен посочените по-горе, включват грипоподобни симптоми. Ако се подозират миокардит или кардиомиопатия, лечението с клозапин трябва бързо да се преустанови и пациентът незабавно да се насочи към кардиолог.</w:t>
      </w:r>
    </w:p>
    <w:p w14:paraId="39E8C56B" w14:textId="77777777" w:rsidR="00CF0F16" w:rsidRDefault="00CF0F16" w:rsidP="00CF0F16">
      <w:pPr>
        <w:spacing w:line="240" w:lineRule="auto"/>
        <w:rPr>
          <w:rFonts w:eastAsia="Times New Roman" w:cs="Arial"/>
          <w:color w:val="000000"/>
          <w:lang w:eastAsia="bg-BG"/>
        </w:rPr>
      </w:pPr>
    </w:p>
    <w:p w14:paraId="25858C5D" w14:textId="2E2E1BAF" w:rsidR="00CF0F16" w:rsidRPr="00CF0F16" w:rsidRDefault="00CF0F16" w:rsidP="00CF0F16">
      <w:pPr>
        <w:spacing w:line="240" w:lineRule="auto"/>
        <w:rPr>
          <w:rFonts w:eastAsia="Times New Roman" w:cs="Arial"/>
        </w:rPr>
      </w:pPr>
      <w:r w:rsidRPr="00CF0F16">
        <w:rPr>
          <w:rFonts w:eastAsia="Times New Roman" w:cs="Arial"/>
          <w:color w:val="000000"/>
          <w:lang w:eastAsia="bg-BG"/>
        </w:rPr>
        <w:t>Пациентите с индуцирани от клозапин миокардит или кардиомиопатия не трябва да получават повторно Ксенопалан.</w:t>
      </w:r>
    </w:p>
    <w:p w14:paraId="3BF7D834" w14:textId="77777777" w:rsidR="00CF0F16" w:rsidRDefault="00CF0F16" w:rsidP="00CF0F16">
      <w:pPr>
        <w:spacing w:line="240" w:lineRule="auto"/>
        <w:rPr>
          <w:rFonts w:eastAsia="Times New Roman" w:cs="Arial"/>
          <w:b/>
          <w:bCs/>
          <w:color w:val="000000"/>
          <w:lang w:eastAsia="bg-BG"/>
        </w:rPr>
      </w:pPr>
    </w:p>
    <w:p w14:paraId="0F669E0F" w14:textId="21C920B1"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Инфаркт на миокарда</w:t>
      </w:r>
    </w:p>
    <w:p w14:paraId="6ECA69DB"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В допълнение, има докладвани постмаркетингови съобщения за инфаркт на миокрада, който може да бъде фатален. Трудно се оценява причинно-следствената връзка, тъй като в повечето случаи сериозните сърдечни заболявания са предшествали терапията и поради наличието на приемливи алтернативни причини.</w:t>
      </w:r>
    </w:p>
    <w:p w14:paraId="077A806B" w14:textId="77777777" w:rsidR="00CF0F16" w:rsidRDefault="00CF0F16" w:rsidP="00CF0F16">
      <w:pPr>
        <w:spacing w:line="240" w:lineRule="auto"/>
        <w:rPr>
          <w:rFonts w:eastAsia="Times New Roman" w:cs="Arial"/>
          <w:b/>
          <w:bCs/>
          <w:color w:val="000000"/>
          <w:lang w:eastAsia="bg-BG"/>
        </w:rPr>
      </w:pPr>
    </w:p>
    <w:p w14:paraId="664BF08A" w14:textId="31EA603B"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 xml:space="preserve">Удължаване на </w:t>
      </w:r>
      <w:r w:rsidRPr="00CF0F16">
        <w:rPr>
          <w:rFonts w:eastAsia="Times New Roman" w:cs="Arial"/>
          <w:b/>
          <w:bCs/>
          <w:color w:val="000000"/>
          <w:lang w:val="en-US"/>
        </w:rPr>
        <w:t>QT</w:t>
      </w:r>
      <w:r w:rsidRPr="00CF0F16">
        <w:rPr>
          <w:rFonts w:eastAsia="Times New Roman" w:cs="Arial"/>
          <w:b/>
          <w:bCs/>
          <w:color w:val="000000"/>
          <w:lang w:eastAsia="bg-BG"/>
        </w:rPr>
        <w:t>-интервала</w:t>
      </w:r>
    </w:p>
    <w:p w14:paraId="0A57D340"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Както и при другите антипсихотици, се препоръчва внимателно третиране на пациентите с известно сърдечно-съдово заболяване или с фамилна анамнеза за удължен </w:t>
      </w:r>
      <w:r w:rsidRPr="00CF0F16">
        <w:rPr>
          <w:rFonts w:eastAsia="Times New Roman" w:cs="Arial"/>
          <w:color w:val="000000"/>
          <w:lang w:val="en-US"/>
        </w:rPr>
        <w:t>QT</w:t>
      </w:r>
      <w:r w:rsidRPr="00CF0F16">
        <w:rPr>
          <w:rFonts w:eastAsia="Times New Roman" w:cs="Arial"/>
          <w:color w:val="000000"/>
          <w:lang w:eastAsia="bg-BG"/>
        </w:rPr>
        <w:t>-интервал.</w:t>
      </w:r>
    </w:p>
    <w:p w14:paraId="07A83970" w14:textId="77777777" w:rsidR="00CF0F16" w:rsidRDefault="00CF0F16" w:rsidP="00CF0F16">
      <w:pPr>
        <w:spacing w:line="240" w:lineRule="auto"/>
        <w:rPr>
          <w:rFonts w:eastAsia="Times New Roman" w:cs="Arial"/>
          <w:color w:val="000000"/>
          <w:lang w:eastAsia="bg-BG"/>
        </w:rPr>
      </w:pPr>
    </w:p>
    <w:p w14:paraId="664FEE0D" w14:textId="019D3934"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Както и при другите антипсихотици, се изисква внимание когато Ксенопалан се предписва с лекарства, за които е известно че удължават </w:t>
      </w:r>
      <w:r w:rsidRPr="00CF0F16">
        <w:rPr>
          <w:rFonts w:eastAsia="Times New Roman" w:cs="Arial"/>
          <w:color w:val="000000"/>
          <w:lang w:val="en-US"/>
        </w:rPr>
        <w:t>QT</w:t>
      </w:r>
      <w:r w:rsidRPr="00CF0F16">
        <w:rPr>
          <w:rFonts w:eastAsia="Times New Roman" w:cs="Arial"/>
          <w:color w:val="000000"/>
          <w:lang w:eastAsia="bg-BG"/>
        </w:rPr>
        <w:t>-интервала.</w:t>
      </w:r>
    </w:p>
    <w:p w14:paraId="143AD454" w14:textId="77777777" w:rsidR="00CF0F16" w:rsidRDefault="00CF0F16" w:rsidP="00CF0F16">
      <w:pPr>
        <w:spacing w:line="240" w:lineRule="auto"/>
        <w:rPr>
          <w:rFonts w:eastAsia="Times New Roman" w:cs="Arial"/>
          <w:b/>
          <w:bCs/>
          <w:color w:val="000000"/>
          <w:lang w:eastAsia="bg-BG"/>
        </w:rPr>
      </w:pPr>
    </w:p>
    <w:p w14:paraId="236C6495" w14:textId="5BB04458"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lastRenderedPageBreak/>
        <w:t>Мозъчно-съдови нежелани реакции</w:t>
      </w:r>
    </w:p>
    <w:p w14:paraId="583423C7" w14:textId="105B6546" w:rsidR="00CF0F16" w:rsidRPr="00CF0F16" w:rsidRDefault="00CF0F16" w:rsidP="00CF0F16">
      <w:pPr>
        <w:spacing w:line="240" w:lineRule="auto"/>
        <w:rPr>
          <w:rFonts w:eastAsia="Times New Roman" w:cs="Arial"/>
          <w:lang w:val="ru-RU"/>
        </w:rPr>
      </w:pPr>
      <w:r w:rsidRPr="00CF0F16">
        <w:rPr>
          <w:rFonts w:eastAsia="Times New Roman" w:cs="Arial"/>
          <w:color w:val="000000"/>
          <w:lang w:eastAsia="bg-BG"/>
        </w:rPr>
        <w:t>При рандомизирани плацебо контролирани клинични проучвания при дементни случаи е някои атипични антипсихотици е установен приблизително трикратно повишен риск от мозъчносъдови нежелани реакции. Механизмът за повишаването на риска е неизвестен. Наличието на повишен риск не може да се изключи за други антипсихотици или групи</w:t>
      </w:r>
    </w:p>
    <w:p w14:paraId="15A8E5B4"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пациенти. Клозапин трябва да се използва внимателно при болни, при които е налице риск от мозъчен инсулт.</w:t>
      </w:r>
    </w:p>
    <w:p w14:paraId="19DAE5EB" w14:textId="77777777" w:rsidR="00CF0F16" w:rsidRDefault="00CF0F16" w:rsidP="00CF0F16">
      <w:pPr>
        <w:spacing w:line="240" w:lineRule="auto"/>
        <w:rPr>
          <w:rFonts w:eastAsia="Times New Roman" w:cs="Arial"/>
          <w:b/>
          <w:bCs/>
          <w:color w:val="000000"/>
          <w:lang w:eastAsia="bg-BG"/>
        </w:rPr>
      </w:pPr>
    </w:p>
    <w:p w14:paraId="0B80F04D" w14:textId="06A59893"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Риск от тромбоемболизъм</w:t>
      </w:r>
    </w:p>
    <w:p w14:paraId="6C8F7F81"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Тъй като клозапин може да бъде свързан с </w:t>
      </w:r>
      <w:r w:rsidRPr="00CF0F16">
        <w:rPr>
          <w:rFonts w:eastAsia="Times New Roman" w:cs="Arial"/>
          <w:b/>
          <w:bCs/>
          <w:color w:val="000000"/>
          <w:lang w:eastAsia="bg-BG"/>
        </w:rPr>
        <w:t xml:space="preserve">тромбоемболизъм, </w:t>
      </w:r>
      <w:r w:rsidRPr="00CF0F16">
        <w:rPr>
          <w:rFonts w:eastAsia="Times New Roman" w:cs="Arial"/>
          <w:color w:val="000000"/>
          <w:lang w:eastAsia="bg-BG"/>
        </w:rPr>
        <w:t>трябва да се избягва обездвижването на пациентите.</w:t>
      </w:r>
    </w:p>
    <w:p w14:paraId="581B6748"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При лечение с антипсихотични лекарства са отбелязани случаи на венозен тромбоемболизъм (ВТЕ). Тъй като често при пациентите, третирани с антипсихотици са налице добавени фактори за ВТЕ, преди и по време на лечението с клозапин трябва да се определят всички потенциални рискови фактори за ВТЕ и да се вземат предпазни мерки.</w:t>
      </w:r>
    </w:p>
    <w:p w14:paraId="5D56CD73" w14:textId="77777777" w:rsidR="00CF0F16" w:rsidRDefault="00CF0F16" w:rsidP="00CF0F16">
      <w:pPr>
        <w:spacing w:line="240" w:lineRule="auto"/>
        <w:rPr>
          <w:rFonts w:eastAsia="Times New Roman" w:cs="Arial"/>
          <w:b/>
          <w:bCs/>
          <w:color w:val="000000"/>
          <w:lang w:eastAsia="bg-BG"/>
        </w:rPr>
      </w:pPr>
    </w:p>
    <w:p w14:paraId="2E5612E5" w14:textId="7DB329C8"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Гърчове</w:t>
      </w:r>
    </w:p>
    <w:p w14:paraId="371F9796"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Пациентите с анамнестични данни за епилепсия трябва да бъдат внимателно проследявани по време на лечението с клозапин, тъй като има съобщения за дозовозависими гърчове. В такива случаи дозата трябва да се намали (вж. точка 4.2) и при необходимост да се започне антиконвулсивна терапия.</w:t>
      </w:r>
    </w:p>
    <w:p w14:paraId="3DBB948E" w14:textId="77777777" w:rsidR="00CF0F16" w:rsidRDefault="00CF0F16" w:rsidP="00CF0F16">
      <w:pPr>
        <w:spacing w:line="240" w:lineRule="auto"/>
        <w:rPr>
          <w:rFonts w:eastAsia="Times New Roman" w:cs="Arial"/>
          <w:b/>
          <w:bCs/>
          <w:color w:val="000000"/>
          <w:lang w:eastAsia="bg-BG"/>
        </w:rPr>
      </w:pPr>
    </w:p>
    <w:p w14:paraId="52071867" w14:textId="66148EEA"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Антихолинергнчни ефекти</w:t>
      </w:r>
    </w:p>
    <w:p w14:paraId="7540091F"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Клозапин оказва антихолинергично действие, което може да доведе до нежелани реакции в организма. Препоръчва се внимателно проследяване за </w:t>
      </w:r>
      <w:r w:rsidRPr="00CF0F16">
        <w:rPr>
          <w:rFonts w:eastAsia="Times New Roman" w:cs="Arial"/>
          <w:b/>
          <w:bCs/>
          <w:color w:val="000000"/>
          <w:lang w:eastAsia="bg-BG"/>
        </w:rPr>
        <w:t xml:space="preserve">уголемяване на простатата </w:t>
      </w:r>
      <w:r w:rsidRPr="00CF0F16">
        <w:rPr>
          <w:rFonts w:eastAsia="Times New Roman" w:cs="Arial"/>
          <w:color w:val="000000"/>
          <w:lang w:eastAsia="bg-BG"/>
        </w:rPr>
        <w:t xml:space="preserve">и </w:t>
      </w:r>
      <w:r w:rsidRPr="00CF0F16">
        <w:rPr>
          <w:rFonts w:eastAsia="Times New Roman" w:cs="Arial"/>
          <w:b/>
          <w:bCs/>
          <w:color w:val="000000"/>
          <w:lang w:eastAsia="bg-BG"/>
        </w:rPr>
        <w:t xml:space="preserve">тесноъгълна глаукома. </w:t>
      </w:r>
      <w:r w:rsidRPr="00CF0F16">
        <w:rPr>
          <w:rFonts w:eastAsia="Times New Roman" w:cs="Arial"/>
          <w:color w:val="000000"/>
          <w:lang w:eastAsia="bg-BG"/>
        </w:rPr>
        <w:t xml:space="preserve">Вероятно поради антихолинергичните свойства клозапин е свързан с различни по степен нарушения на </w:t>
      </w:r>
      <w:r w:rsidRPr="00CF0F16">
        <w:rPr>
          <w:rFonts w:eastAsia="Times New Roman" w:cs="Arial"/>
          <w:b/>
          <w:bCs/>
          <w:color w:val="000000"/>
          <w:lang w:eastAsia="bg-BG"/>
        </w:rPr>
        <w:t xml:space="preserve">чревната перисталтика, </w:t>
      </w:r>
      <w:r w:rsidRPr="00CF0F16">
        <w:rPr>
          <w:rFonts w:eastAsia="Times New Roman" w:cs="Arial"/>
          <w:color w:val="000000"/>
          <w:lang w:eastAsia="bg-BG"/>
        </w:rPr>
        <w:t xml:space="preserve">от </w:t>
      </w:r>
      <w:r w:rsidRPr="00CF0F16">
        <w:rPr>
          <w:rFonts w:eastAsia="Times New Roman" w:cs="Arial"/>
          <w:b/>
          <w:bCs/>
          <w:color w:val="000000"/>
          <w:lang w:eastAsia="bg-BG"/>
        </w:rPr>
        <w:t xml:space="preserve">констипация </w:t>
      </w:r>
      <w:r w:rsidRPr="00CF0F16">
        <w:rPr>
          <w:rFonts w:eastAsia="Times New Roman" w:cs="Arial"/>
          <w:color w:val="000000"/>
          <w:lang w:eastAsia="bg-BG"/>
        </w:rPr>
        <w:t xml:space="preserve">до </w:t>
      </w:r>
      <w:r w:rsidRPr="00CF0F16">
        <w:rPr>
          <w:rFonts w:eastAsia="Times New Roman" w:cs="Arial"/>
          <w:b/>
          <w:bCs/>
          <w:color w:val="000000"/>
          <w:lang w:eastAsia="bg-BG"/>
        </w:rPr>
        <w:t xml:space="preserve">чревна обструкция, фекално заклещване </w:t>
      </w:r>
      <w:r w:rsidRPr="00CF0F16">
        <w:rPr>
          <w:rFonts w:eastAsia="Times New Roman" w:cs="Arial"/>
          <w:color w:val="000000"/>
          <w:lang w:eastAsia="bg-BG"/>
        </w:rPr>
        <w:t xml:space="preserve">и </w:t>
      </w:r>
      <w:r w:rsidRPr="00CF0F16">
        <w:rPr>
          <w:rFonts w:eastAsia="Times New Roman" w:cs="Arial"/>
          <w:b/>
          <w:bCs/>
          <w:color w:val="000000"/>
          <w:lang w:eastAsia="bg-BG"/>
        </w:rPr>
        <w:t xml:space="preserve">паралитичен илеус </w:t>
      </w:r>
      <w:r w:rsidRPr="00CF0F16">
        <w:rPr>
          <w:rFonts w:eastAsia="Times New Roman" w:cs="Arial"/>
          <w:color w:val="000000"/>
          <w:lang w:eastAsia="bg-BG"/>
        </w:rPr>
        <w:t>(вж. точка 4.8). Рядко тези случаи имат фатален изход. Необходими са особени грижи при пациентите, които приемат едновременно други лекарства, за които е известно, че причиняват констипация (особено тези с антихолинергнчни свойства, като някои антипсихотици, антидепресанти и антипаркинсонови средства), имат анамнеза за заболяване на дебелото черво или хирургични намеси в долните етажи на корема, тъй като в тези случаи може да се обостри състоянието. Жизненоважно е констипацията да бъде диагностицирана и активно лекувана.</w:t>
      </w:r>
    </w:p>
    <w:p w14:paraId="656AB57F" w14:textId="77777777" w:rsidR="00CF0F16" w:rsidRDefault="00CF0F16" w:rsidP="00CF0F16">
      <w:pPr>
        <w:spacing w:line="240" w:lineRule="auto"/>
        <w:rPr>
          <w:rFonts w:eastAsia="Times New Roman" w:cs="Arial"/>
          <w:b/>
          <w:bCs/>
          <w:color w:val="000000"/>
          <w:lang w:eastAsia="bg-BG"/>
        </w:rPr>
      </w:pPr>
    </w:p>
    <w:p w14:paraId="34AAE512" w14:textId="603ED47D"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Повишаване на температурата</w:t>
      </w:r>
    </w:p>
    <w:p w14:paraId="1B22B24B"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По време на лечението с клозапин при пациентите са възможни </w:t>
      </w:r>
      <w:r w:rsidRPr="00CF0F16">
        <w:rPr>
          <w:rFonts w:eastAsia="Times New Roman" w:cs="Arial"/>
          <w:b/>
          <w:bCs/>
          <w:color w:val="000000"/>
          <w:lang w:eastAsia="bg-BG"/>
        </w:rPr>
        <w:t xml:space="preserve">преходни повишения </w:t>
      </w:r>
      <w:r w:rsidRPr="00CF0F16">
        <w:rPr>
          <w:rFonts w:eastAsia="Times New Roman" w:cs="Arial"/>
          <w:color w:val="000000"/>
          <w:lang w:eastAsia="bg-BG"/>
        </w:rPr>
        <w:t xml:space="preserve">на </w:t>
      </w:r>
      <w:r w:rsidRPr="00CF0F16">
        <w:rPr>
          <w:rFonts w:eastAsia="Times New Roman" w:cs="Arial"/>
          <w:b/>
          <w:bCs/>
          <w:color w:val="000000"/>
          <w:lang w:eastAsia="bg-BG"/>
        </w:rPr>
        <w:t xml:space="preserve">температурата </w:t>
      </w:r>
      <w:r w:rsidRPr="00CF0F16">
        <w:rPr>
          <w:rFonts w:eastAsia="Times New Roman" w:cs="Arial"/>
          <w:color w:val="000000"/>
          <w:lang w:eastAsia="bg-BG"/>
        </w:rPr>
        <w:t xml:space="preserve">над 38°С, най-често през първите 3 седмици от лечението. Този фебрилитет обикновено е бенигнен. В някои случаи може да бъде свързан с повишаване или понижаване на броя на левкоцитите. Пациентите с фебрилитет трябва да бъдат внимателно преценявани, за да се изключи възможността за инфекция или развитие на агранулоцигоза. При наличие на висока температура трябва да се има пред вид възможността за развитие на </w:t>
      </w:r>
      <w:r w:rsidRPr="00CF0F16">
        <w:rPr>
          <w:rFonts w:eastAsia="Times New Roman" w:cs="Arial"/>
          <w:b/>
          <w:bCs/>
          <w:color w:val="000000"/>
          <w:lang w:eastAsia="bg-BG"/>
        </w:rPr>
        <w:t>малигнен невролептичен синдром (МНС).</w:t>
      </w:r>
    </w:p>
    <w:p w14:paraId="261D10E8" w14:textId="77777777" w:rsidR="00CF0F16" w:rsidRDefault="00CF0F16" w:rsidP="00CF0F16">
      <w:pPr>
        <w:spacing w:line="240" w:lineRule="auto"/>
        <w:rPr>
          <w:rFonts w:eastAsia="Times New Roman" w:cs="Arial"/>
          <w:b/>
          <w:bCs/>
          <w:color w:val="000000"/>
          <w:lang w:eastAsia="bg-BG"/>
        </w:rPr>
      </w:pPr>
    </w:p>
    <w:p w14:paraId="1D1E970E" w14:textId="49C1AD2A"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Метаболнтнн промени</w:t>
      </w:r>
    </w:p>
    <w:p w14:paraId="3995A337"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Атипичните антипсихотици, включително клозапин, се свързват с метаболитни промени, които могат да повишат сърдечносъдовия/мозъчно-съдовия риск. Метаболитните промени мога да включват хипергликемия, дислипидемия и увеличаване на теглото. </w:t>
      </w:r>
      <w:r w:rsidRPr="00CF0F16">
        <w:rPr>
          <w:rFonts w:eastAsia="Times New Roman" w:cs="Arial"/>
          <w:color w:val="000000"/>
          <w:lang w:eastAsia="bg-BG"/>
        </w:rPr>
        <w:lastRenderedPageBreak/>
        <w:t>Всяко лекарство в групата на ангипсихотиците има специфичен профил по отношение на метаболитните промени.</w:t>
      </w:r>
    </w:p>
    <w:p w14:paraId="5AE1560F" w14:textId="77777777" w:rsidR="00CF0F16" w:rsidRDefault="00CF0F16" w:rsidP="00CF0F16">
      <w:pPr>
        <w:spacing w:line="240" w:lineRule="auto"/>
        <w:rPr>
          <w:rFonts w:eastAsia="Times New Roman" w:cs="Arial"/>
          <w:b/>
          <w:bCs/>
          <w:color w:val="000000"/>
          <w:lang w:eastAsia="bg-BG"/>
        </w:rPr>
      </w:pPr>
    </w:p>
    <w:p w14:paraId="3CA3587C" w14:textId="441E564B"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Хипергликемия</w:t>
      </w:r>
    </w:p>
    <w:p w14:paraId="4AE61F63" w14:textId="61866F47" w:rsidR="00CF0F16" w:rsidRPr="00CF0F16" w:rsidRDefault="00CF0F16" w:rsidP="00CF0F16">
      <w:pPr>
        <w:spacing w:line="240" w:lineRule="auto"/>
        <w:rPr>
          <w:rFonts w:eastAsia="Times New Roman" w:cs="Arial"/>
        </w:rPr>
      </w:pPr>
      <w:r w:rsidRPr="00CF0F16">
        <w:rPr>
          <w:rFonts w:eastAsia="Times New Roman" w:cs="Arial"/>
          <w:color w:val="000000"/>
          <w:lang w:eastAsia="bg-BG"/>
        </w:rPr>
        <w:t>Рядко се съобщава за случаи на нарушен глюкозен толеранс и/или развитие, или влошаване на съществуващ захарен диабет по време на лечение с клозапин. Механизмът на тази евентуална връзка не е изяснен. Много рядко се наблюдават случаи на тежка хипогликемия с кетоацидоза или хиперосмоларна кома при пациентите без предхождаща анамнеза за хипергликемия, някои от които са фатални. Данните от проследяването показват, че спирането на клозапин води до отзвучаване на нарушения глюкозен толеранс, а повторното въвеждане на клозапин води до повторната му поява. При пациентите, при които активното медикаментозно лечение на хипергликемията е неуспешно, трябва да се има предвид спиране на лечението с клозапин.</w:t>
      </w:r>
    </w:p>
    <w:p w14:paraId="5EA56AED" w14:textId="11AF5CFC" w:rsidR="00290557" w:rsidRDefault="00290557" w:rsidP="00290557"/>
    <w:p w14:paraId="468CFE8F"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Пациентите с установена диагноза захарен диабет, при които се започва терапия с атипични антипсихотици, трябва да се проследяват редовно за влошаване на глюкозния контрол. При пациентите с рискови фактори за захарен диабет (затлъстяване, фамилна анамнеза за захарен диабет), при които се започва терапия с атипични антипсихотици, трябва да се провеждат тестове за определяне на кръвната захар нагладно - в началото и периодично по време на лечението. При пациентите, развиващи симптоми на хипергликемия по време на лечението с атипични антипсихотици, трябва да се проведе тест за определяне на кръвната захар нагладно. В някои случаи хипергликемията отзвучава след преустановяване на лечението с атипични антипсихотици, но при някои пациенти се налага продължаване на противодиабетната терапия, независимо от прекратяване на приема на подозираното лекарство. Когато медицинското третиране на хипергликемията е неуспешно, трябва да се обмисли прекратяване на лечението с клозапин.</w:t>
      </w:r>
    </w:p>
    <w:p w14:paraId="352A76F6" w14:textId="77777777" w:rsidR="00CF0F16" w:rsidRDefault="00CF0F16" w:rsidP="00CF0F16">
      <w:pPr>
        <w:spacing w:line="240" w:lineRule="auto"/>
        <w:rPr>
          <w:rFonts w:eastAsia="Times New Roman" w:cs="Arial"/>
          <w:b/>
          <w:bCs/>
          <w:color w:val="000000"/>
          <w:lang w:eastAsia="bg-BG"/>
        </w:rPr>
      </w:pPr>
    </w:p>
    <w:p w14:paraId="2A0E8446" w14:textId="791BA8DF"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Дислипндемия</w:t>
      </w:r>
    </w:p>
    <w:p w14:paraId="09F5407C"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При пациенти, лекувани с атипични антипсихотици, включително клозапин, са наблюдавани нежелани промени в нивото на липидите. Препоръчват се клинично проследяване и първоначално и последващо периодично оценяване на липидните нива.</w:t>
      </w:r>
    </w:p>
    <w:p w14:paraId="7E052C75" w14:textId="77777777" w:rsidR="00CF0F16" w:rsidRDefault="00CF0F16" w:rsidP="00CF0F16">
      <w:pPr>
        <w:spacing w:line="240" w:lineRule="auto"/>
        <w:rPr>
          <w:rFonts w:eastAsia="Times New Roman" w:cs="Arial"/>
          <w:b/>
          <w:bCs/>
          <w:color w:val="000000"/>
          <w:lang w:eastAsia="bg-BG"/>
        </w:rPr>
      </w:pPr>
    </w:p>
    <w:p w14:paraId="20B77A5D" w14:textId="39229043"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Увеличаване на теглото</w:t>
      </w:r>
    </w:p>
    <w:p w14:paraId="39DE06CB"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При прилагането на атипични антипсихотици, включително клозапин, се наблюдава увеличаване на теглото. Препоръчва се клинично проследяване на теглото.</w:t>
      </w:r>
    </w:p>
    <w:p w14:paraId="156DE055" w14:textId="77777777" w:rsidR="00CF0F16" w:rsidRDefault="00CF0F16" w:rsidP="00CF0F16">
      <w:pPr>
        <w:spacing w:line="240" w:lineRule="auto"/>
        <w:rPr>
          <w:rFonts w:eastAsia="Times New Roman" w:cs="Arial"/>
          <w:b/>
          <w:bCs/>
          <w:color w:val="000000"/>
          <w:lang w:eastAsia="bg-BG"/>
        </w:rPr>
      </w:pPr>
    </w:p>
    <w:p w14:paraId="15B77EC1" w14:textId="278787B5"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Ребаунд ефект, рекации на отнемане</w:t>
      </w:r>
    </w:p>
    <w:p w14:paraId="3B865FE5"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Съобщава се за остри реакции на отнемане при внезапно спиране на лечението с клозапин и по тази причина се препоръчва постепенно преустановяване на приема. Ако се налага внезапно спиране (напр. поради левкопения), пациентът трябва внимателно да се наблюдава за повторна поява на психотични симптоми и симптоми, свързани с холинергичен ефект, като обилно потене, главоболие, гадене, повръщане и диария.</w:t>
      </w:r>
    </w:p>
    <w:p w14:paraId="4AE22D23" w14:textId="77777777" w:rsidR="00CF0F16" w:rsidRDefault="00CF0F16" w:rsidP="00CF0F16">
      <w:pPr>
        <w:spacing w:line="240" w:lineRule="auto"/>
        <w:rPr>
          <w:rFonts w:eastAsia="Times New Roman" w:cs="Arial"/>
          <w:color w:val="000000"/>
          <w:u w:val="single"/>
          <w:lang w:eastAsia="bg-BG"/>
        </w:rPr>
      </w:pPr>
    </w:p>
    <w:p w14:paraId="2D19AD5C" w14:textId="3343CB7C" w:rsidR="00CF0F16" w:rsidRPr="00CF0F16" w:rsidRDefault="00CF0F16" w:rsidP="00CF0F16">
      <w:pPr>
        <w:spacing w:line="240" w:lineRule="auto"/>
        <w:rPr>
          <w:rFonts w:eastAsia="Times New Roman" w:cs="Arial"/>
        </w:rPr>
      </w:pPr>
      <w:r w:rsidRPr="00CF0F16">
        <w:rPr>
          <w:rFonts w:eastAsia="Times New Roman" w:cs="Arial"/>
          <w:color w:val="000000"/>
          <w:u w:val="single"/>
          <w:lang w:eastAsia="bg-BG"/>
        </w:rPr>
        <w:t>Специални групи</w:t>
      </w:r>
    </w:p>
    <w:p w14:paraId="79E80832" w14:textId="77777777" w:rsidR="00CF0F16" w:rsidRDefault="00CF0F16" w:rsidP="00CF0F16">
      <w:pPr>
        <w:spacing w:line="240" w:lineRule="auto"/>
        <w:rPr>
          <w:rFonts w:eastAsia="Times New Roman" w:cs="Arial"/>
          <w:b/>
          <w:bCs/>
          <w:color w:val="000000"/>
          <w:lang w:eastAsia="bg-BG"/>
        </w:rPr>
      </w:pPr>
    </w:p>
    <w:p w14:paraId="4D1C5BBE" w14:textId="61EA706E"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Чернодробно увреждане</w:t>
      </w:r>
    </w:p>
    <w:p w14:paraId="7709B07B" w14:textId="77777777" w:rsidR="00CF0F16" w:rsidRDefault="00CF0F16" w:rsidP="00CF0F16">
      <w:pPr>
        <w:spacing w:line="240" w:lineRule="auto"/>
        <w:rPr>
          <w:rFonts w:eastAsia="Times New Roman" w:cs="Arial"/>
          <w:color w:val="000000"/>
          <w:lang w:eastAsia="bg-BG"/>
        </w:rPr>
      </w:pPr>
      <w:r w:rsidRPr="00CF0F16">
        <w:rPr>
          <w:rFonts w:eastAsia="Times New Roman" w:cs="Arial"/>
          <w:color w:val="000000"/>
          <w:lang w:eastAsia="bg-BG"/>
        </w:rPr>
        <w:t xml:space="preserve">При пациенти със стабилни предхождащи чернодробни заболявалия може да се провежда лечение с клозапин, но е необходимо провеждане на редовни изследвания на чернодробната функция. Изследвания на чернодробните показатели трябва да се извършват при пациенти, при които по време на лечението с клозапин се развиват </w:t>
      </w:r>
      <w:r w:rsidRPr="00CF0F16">
        <w:rPr>
          <w:rFonts w:eastAsia="Times New Roman" w:cs="Arial"/>
          <w:color w:val="000000"/>
          <w:lang w:eastAsia="bg-BG"/>
        </w:rPr>
        <w:lastRenderedPageBreak/>
        <w:t xml:space="preserve">симптоми на възможно </w:t>
      </w:r>
      <w:r w:rsidRPr="00CF0F16">
        <w:rPr>
          <w:rFonts w:eastAsia="Times New Roman" w:cs="Arial"/>
          <w:b/>
          <w:bCs/>
          <w:color w:val="000000"/>
          <w:lang w:eastAsia="bg-BG"/>
        </w:rPr>
        <w:t xml:space="preserve">нарушение на чернодробната функция, </w:t>
      </w:r>
      <w:r w:rsidRPr="00CF0F16">
        <w:rPr>
          <w:rFonts w:eastAsia="Times New Roman" w:cs="Arial"/>
          <w:color w:val="000000"/>
          <w:lang w:eastAsia="bg-BG"/>
        </w:rPr>
        <w:t xml:space="preserve">като гадене, повръщане и/или безапетитие. Ако повишението на стойностите е клинично значимо (повече от 3 пъти над горната референтна граница) или се появят симптоми на жълтеница, лечението с клозапин трябва да се прекрати. То може да се възобнови (вж. „Повторно започване на терапия” в точка 4.2) единствено, ако резултатите от тестовете за чернодробната функция са нормални. В такива случаи чернодробната функция трябва да се проследява </w:t>
      </w:r>
    </w:p>
    <w:p w14:paraId="53F86023" w14:textId="558F5701" w:rsidR="00CF0F16" w:rsidRPr="00CF0F16" w:rsidRDefault="00CF0F16" w:rsidP="00CF0F16">
      <w:pPr>
        <w:spacing w:line="240" w:lineRule="auto"/>
        <w:rPr>
          <w:rFonts w:eastAsia="Times New Roman" w:cs="Arial"/>
        </w:rPr>
      </w:pPr>
      <w:r w:rsidRPr="00CF0F16">
        <w:rPr>
          <w:rFonts w:eastAsia="Times New Roman" w:cs="Arial"/>
          <w:color w:val="000000"/>
          <w:lang w:eastAsia="bg-BG"/>
        </w:rPr>
        <w:t>внимателно след повторното включване на клозапин.</w:t>
      </w:r>
    </w:p>
    <w:p w14:paraId="09DE45CE" w14:textId="77777777" w:rsidR="00CF0F16" w:rsidRDefault="00CF0F16" w:rsidP="00CF0F16">
      <w:pPr>
        <w:spacing w:line="240" w:lineRule="auto"/>
        <w:rPr>
          <w:rFonts w:eastAsia="Times New Roman" w:cs="Arial"/>
          <w:b/>
          <w:bCs/>
          <w:color w:val="000000"/>
          <w:lang w:eastAsia="bg-BG"/>
        </w:rPr>
      </w:pPr>
    </w:p>
    <w:p w14:paraId="7A8D0FEE" w14:textId="49C446D5"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Пациенти на и над 60 години</w:t>
      </w:r>
    </w:p>
    <w:p w14:paraId="10A908E9"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Препоръчва се лечението при хора в старческа възраст да започва с по-ниска доза (вж. точка 4.2)</w:t>
      </w:r>
    </w:p>
    <w:p w14:paraId="4419B0BA" w14:textId="77777777" w:rsidR="00CF0F16" w:rsidRDefault="00CF0F16" w:rsidP="00CF0F16">
      <w:pPr>
        <w:spacing w:line="240" w:lineRule="auto"/>
        <w:rPr>
          <w:rFonts w:eastAsia="Times New Roman" w:cs="Arial"/>
          <w:color w:val="000000"/>
          <w:lang w:eastAsia="bg-BG"/>
        </w:rPr>
      </w:pPr>
    </w:p>
    <w:p w14:paraId="3FC79867" w14:textId="2F289CF2" w:rsidR="00CF0F16" w:rsidRPr="00CF0F16" w:rsidRDefault="00CF0F16" w:rsidP="00CF0F16">
      <w:pPr>
        <w:spacing w:line="240" w:lineRule="auto"/>
        <w:rPr>
          <w:rFonts w:eastAsia="Times New Roman" w:cs="Arial"/>
        </w:rPr>
      </w:pPr>
      <w:r w:rsidRPr="00CF0F16">
        <w:rPr>
          <w:rFonts w:eastAsia="Times New Roman" w:cs="Arial"/>
          <w:color w:val="000000"/>
          <w:lang w:eastAsia="bg-BG"/>
        </w:rPr>
        <w:t>При лечение с клозапин може да възникне ортостатична хипотония, а има и съобщения за тахикардия, която може да е продължителна. Хората в старческа възраст, особено тези с нарушена сърдечносъдова функция, може да са по-податливи на тези ефекти.</w:t>
      </w:r>
    </w:p>
    <w:p w14:paraId="44284AED" w14:textId="77777777" w:rsidR="00CF0F16" w:rsidRDefault="00CF0F16" w:rsidP="00CF0F16">
      <w:pPr>
        <w:spacing w:line="240" w:lineRule="auto"/>
        <w:rPr>
          <w:rFonts w:eastAsia="Times New Roman" w:cs="Arial"/>
          <w:color w:val="000000"/>
          <w:lang w:eastAsia="bg-BG"/>
        </w:rPr>
      </w:pPr>
    </w:p>
    <w:p w14:paraId="672E8560" w14:textId="289DADFB" w:rsidR="00CF0F16" w:rsidRPr="00CF0F16" w:rsidRDefault="00CF0F16" w:rsidP="00CF0F16">
      <w:pPr>
        <w:spacing w:line="240" w:lineRule="auto"/>
        <w:rPr>
          <w:rFonts w:eastAsia="Times New Roman" w:cs="Arial"/>
        </w:rPr>
      </w:pPr>
      <w:r w:rsidRPr="00CF0F16">
        <w:rPr>
          <w:rFonts w:eastAsia="Times New Roman" w:cs="Arial"/>
          <w:color w:val="000000"/>
          <w:lang w:eastAsia="bg-BG"/>
        </w:rPr>
        <w:t>Пациентите в старческа възраст може също да са особено податливи на антихолинергичните ефекти на клозапин, като задръжка на урината и констипация.</w:t>
      </w:r>
    </w:p>
    <w:p w14:paraId="2455AF06" w14:textId="77777777" w:rsidR="00CF0F16" w:rsidRDefault="00CF0F16" w:rsidP="00CF0F16">
      <w:pPr>
        <w:rPr>
          <w:rFonts w:eastAsia="Times New Roman" w:cs="Arial"/>
          <w:b/>
          <w:bCs/>
          <w:color w:val="000000"/>
          <w:lang w:eastAsia="bg-BG"/>
        </w:rPr>
      </w:pPr>
    </w:p>
    <w:p w14:paraId="0F8EF9BB" w14:textId="06282DEF" w:rsidR="00CF0F16" w:rsidRDefault="00CF0F16" w:rsidP="00CF0F16">
      <w:pPr>
        <w:rPr>
          <w:rFonts w:eastAsia="Times New Roman" w:cs="Arial"/>
          <w:b/>
          <w:bCs/>
          <w:color w:val="000000"/>
          <w:lang w:eastAsia="bg-BG"/>
        </w:rPr>
      </w:pPr>
      <w:r w:rsidRPr="00CF0F16">
        <w:rPr>
          <w:rFonts w:eastAsia="Times New Roman" w:cs="Arial"/>
          <w:b/>
          <w:bCs/>
          <w:color w:val="000000"/>
          <w:lang w:eastAsia="bg-BG"/>
        </w:rPr>
        <w:t>Повишена смъртност при пациенти в старческа възраст с деменция</w:t>
      </w:r>
    </w:p>
    <w:p w14:paraId="054D204A" w14:textId="77777777" w:rsidR="00CF0F16" w:rsidRPr="00CF0F16" w:rsidRDefault="00CF0F16" w:rsidP="00CF0F16">
      <w:pPr>
        <w:rPr>
          <w:sz w:val="24"/>
          <w:szCs w:val="24"/>
        </w:rPr>
      </w:pPr>
      <w:r w:rsidRPr="00CF0F16">
        <w:rPr>
          <w:lang w:eastAsia="bg-BG"/>
        </w:rPr>
        <w:t>Данните от две големи обзорни клинични изпитвания показват, че пациентите в старческа възраст с деменция, лекувани с антипсихотици, са с повишен риск от смърт в сравнение с тези, нелекувани с антипсихотици.</w:t>
      </w:r>
    </w:p>
    <w:p w14:paraId="2A2115F3" w14:textId="77777777" w:rsidR="00CF0F16" w:rsidRDefault="00CF0F16" w:rsidP="00CF0F16">
      <w:pPr>
        <w:rPr>
          <w:lang w:eastAsia="bg-BG"/>
        </w:rPr>
      </w:pPr>
    </w:p>
    <w:p w14:paraId="4E76D881" w14:textId="5253DDEC" w:rsidR="00CF0F16" w:rsidRDefault="00CF0F16" w:rsidP="00CF0F16">
      <w:pPr>
        <w:rPr>
          <w:lang w:eastAsia="bg-BG"/>
        </w:rPr>
      </w:pPr>
      <w:r w:rsidRPr="00CF0F16">
        <w:rPr>
          <w:lang w:eastAsia="bg-BG"/>
        </w:rPr>
        <w:t>Клозапин не е разрешен за лечение на свързани с деменция нарушения в поведението.</w:t>
      </w:r>
    </w:p>
    <w:p w14:paraId="76758DFC" w14:textId="77777777" w:rsidR="00CF0F16" w:rsidRPr="00CF0F16" w:rsidRDefault="00CF0F16" w:rsidP="00CF0F16">
      <w:pPr>
        <w:rPr>
          <w:rFonts w:cs="Arial"/>
        </w:rPr>
      </w:pPr>
    </w:p>
    <w:p w14:paraId="619DED1E" w14:textId="16D4E1ED"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FEC11CB" w14:textId="1E738AA4" w:rsidR="00CF0F16" w:rsidRDefault="00CF0F16" w:rsidP="00CF0F16"/>
    <w:p w14:paraId="27A87B26" w14:textId="77777777"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Противопоказания за едновременно приложение</w:t>
      </w:r>
    </w:p>
    <w:p w14:paraId="05891DE0"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Лекарствата, за които е известно, че притежават значителен потенциал да потиснат функцията на костния мозък, не трябва да се използват заедно с клозапин (вж. точка 4.3).</w:t>
      </w:r>
    </w:p>
    <w:p w14:paraId="438010DE" w14:textId="77777777" w:rsidR="00CF0F16" w:rsidRDefault="00CF0F16" w:rsidP="00CF0F16">
      <w:pPr>
        <w:spacing w:line="240" w:lineRule="auto"/>
        <w:rPr>
          <w:rFonts w:eastAsia="Times New Roman" w:cs="Arial"/>
          <w:color w:val="000000"/>
          <w:lang w:eastAsia="bg-BG"/>
        </w:rPr>
      </w:pPr>
    </w:p>
    <w:p w14:paraId="784BCF45" w14:textId="43879586" w:rsidR="00CF0F16" w:rsidRPr="00CF0F16" w:rsidRDefault="00CF0F16" w:rsidP="00CF0F16">
      <w:pPr>
        <w:spacing w:line="240" w:lineRule="auto"/>
        <w:rPr>
          <w:rFonts w:eastAsia="Times New Roman" w:cs="Arial"/>
        </w:rPr>
      </w:pPr>
      <w:r w:rsidRPr="00CF0F16">
        <w:rPr>
          <w:rFonts w:eastAsia="Times New Roman" w:cs="Arial"/>
          <w:color w:val="000000"/>
          <w:lang w:eastAsia="bg-BG"/>
        </w:rPr>
        <w:t>Аитипсихотичните лекарствени продукти с удължено освобождаване (които имат миелосупресивен потенциал) не трябва да се използват заедно с клозапин, тъй като не могат да се елиминират бързо от организма, когато това се налага, напр. неутропения (вж. точка 4.3).</w:t>
      </w:r>
    </w:p>
    <w:p w14:paraId="4F045F55" w14:textId="77777777" w:rsidR="00CF0F16" w:rsidRDefault="00CF0F16" w:rsidP="00CF0F16">
      <w:pPr>
        <w:spacing w:line="240" w:lineRule="auto"/>
        <w:rPr>
          <w:rFonts w:eastAsia="Times New Roman" w:cs="Arial"/>
          <w:color w:val="000000"/>
          <w:lang w:eastAsia="bg-BG"/>
        </w:rPr>
      </w:pPr>
    </w:p>
    <w:p w14:paraId="648EA1EB" w14:textId="77777777" w:rsidR="00CF0F16" w:rsidRDefault="00CF0F16" w:rsidP="00CF0F16">
      <w:pPr>
        <w:spacing w:line="240" w:lineRule="auto"/>
        <w:rPr>
          <w:rFonts w:eastAsia="Times New Roman" w:cs="Arial"/>
          <w:color w:val="000000"/>
          <w:lang w:eastAsia="bg-BG"/>
        </w:rPr>
      </w:pPr>
      <w:r w:rsidRPr="00CF0F16">
        <w:rPr>
          <w:rFonts w:eastAsia="Times New Roman" w:cs="Arial"/>
          <w:color w:val="000000"/>
          <w:lang w:eastAsia="bg-BG"/>
        </w:rPr>
        <w:t xml:space="preserve">Не трябва да се употребява алкохол заедно с клозапин поради евентуално потенциране </w:t>
      </w:r>
    </w:p>
    <w:p w14:paraId="0F5B936A" w14:textId="75CA14D8" w:rsidR="00CF0F16" w:rsidRPr="00CF0F16" w:rsidRDefault="00CF0F16" w:rsidP="00CF0F16">
      <w:pPr>
        <w:spacing w:line="240" w:lineRule="auto"/>
        <w:rPr>
          <w:rFonts w:eastAsia="Times New Roman" w:cs="Arial"/>
        </w:rPr>
      </w:pPr>
      <w:r w:rsidRPr="00CF0F16">
        <w:rPr>
          <w:rFonts w:eastAsia="Times New Roman" w:cs="Arial"/>
          <w:color w:val="000000"/>
          <w:lang w:eastAsia="bg-BG"/>
        </w:rPr>
        <w:t>на седирането.</w:t>
      </w:r>
    </w:p>
    <w:p w14:paraId="0381FEE4" w14:textId="77777777" w:rsidR="00CF0F16" w:rsidRDefault="00CF0F16" w:rsidP="00CF0F16">
      <w:pPr>
        <w:spacing w:line="240" w:lineRule="auto"/>
        <w:rPr>
          <w:rFonts w:eastAsia="Times New Roman" w:cs="Arial"/>
          <w:b/>
          <w:bCs/>
          <w:color w:val="000000"/>
          <w:lang w:eastAsia="bg-BG"/>
        </w:rPr>
      </w:pPr>
    </w:p>
    <w:p w14:paraId="4732FB09" w14:textId="4EE6B386"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Предпазни мерки, включително коригиране на дозата</w:t>
      </w:r>
    </w:p>
    <w:p w14:paraId="09D56496"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Клозапин може да усили централните ефекти на депресантите на ЦНС, като наркотици, антихистамини и бензодиазепини. Препоръчва се особено внимание при започване на лечение с клозапин при пациенти, приемащи бензодиазепини или друго психотропно лекарство. При такива пациенти е възможно наличие на повишен риск от циркулаторен колапс, който в редки случаи може да е тежък и да доведе до спиране на сърдечната дейност и/или дишането. Не е ясно дали рязкото влошаване на сърдечната дейност или дишането може да се предотвратят с промяна на дозата.</w:t>
      </w:r>
    </w:p>
    <w:p w14:paraId="28BE37A2" w14:textId="77777777" w:rsidR="00CF0F16" w:rsidRDefault="00CF0F16" w:rsidP="00CF0F16">
      <w:pPr>
        <w:spacing w:line="240" w:lineRule="auto"/>
        <w:rPr>
          <w:rFonts w:eastAsia="Times New Roman" w:cs="Arial"/>
          <w:color w:val="000000"/>
          <w:lang w:eastAsia="bg-BG"/>
        </w:rPr>
      </w:pPr>
    </w:p>
    <w:p w14:paraId="5A807993" w14:textId="2D1C10D3" w:rsidR="00CF0F16" w:rsidRPr="00CF0F16" w:rsidRDefault="00CF0F16" w:rsidP="00CF0F16">
      <w:pPr>
        <w:spacing w:line="240" w:lineRule="auto"/>
        <w:rPr>
          <w:rFonts w:eastAsia="Times New Roman" w:cs="Arial"/>
        </w:rPr>
      </w:pPr>
      <w:r w:rsidRPr="00CF0F16">
        <w:rPr>
          <w:rFonts w:eastAsia="Times New Roman" w:cs="Arial"/>
          <w:color w:val="000000"/>
          <w:lang w:eastAsia="bg-BG"/>
        </w:rPr>
        <w:t>Поради възможността за кумулиране на ефектите, особено важно е внимателно едновременно прилагане на лекарства, притежаващи антихолинергично, хипотензивно или потискащо дишането действие.</w:t>
      </w:r>
    </w:p>
    <w:p w14:paraId="6EDF6C67" w14:textId="77777777" w:rsidR="00CF0F16" w:rsidRDefault="00CF0F16" w:rsidP="00CF0F16">
      <w:pPr>
        <w:spacing w:line="240" w:lineRule="auto"/>
        <w:rPr>
          <w:rFonts w:eastAsia="Times New Roman" w:cs="Arial"/>
          <w:color w:val="000000"/>
          <w:lang w:eastAsia="bg-BG"/>
        </w:rPr>
      </w:pPr>
    </w:p>
    <w:p w14:paraId="0DC4E741" w14:textId="2469188C" w:rsidR="00CF0F16" w:rsidRPr="00CF0F16" w:rsidRDefault="00CF0F16" w:rsidP="00CF0F16">
      <w:pPr>
        <w:spacing w:line="240" w:lineRule="auto"/>
        <w:rPr>
          <w:rFonts w:eastAsia="Times New Roman" w:cs="Arial"/>
        </w:rPr>
      </w:pPr>
      <w:r w:rsidRPr="00CF0F16">
        <w:rPr>
          <w:rFonts w:eastAsia="Times New Roman" w:cs="Arial"/>
          <w:color w:val="000000"/>
          <w:lang w:eastAsia="bg-BG"/>
        </w:rPr>
        <w:t>Благодарение на анти-α-адренергичните си свойства клозапин може да намали хипертензивния ефект на норепинефрина или други средства с предимно а-адренергично действие, и да отстрани пресорния ефект на епинефрина.</w:t>
      </w:r>
    </w:p>
    <w:p w14:paraId="3E3AE59E" w14:textId="77777777" w:rsidR="00CF0F16" w:rsidRDefault="00CF0F16" w:rsidP="00CF0F16">
      <w:pPr>
        <w:spacing w:line="240" w:lineRule="auto"/>
        <w:rPr>
          <w:rFonts w:eastAsia="Times New Roman" w:cs="Arial"/>
          <w:color w:val="000000"/>
          <w:lang w:eastAsia="bg-BG"/>
        </w:rPr>
      </w:pPr>
    </w:p>
    <w:p w14:paraId="55E85CD6" w14:textId="7487AB92" w:rsidR="00CF0F16" w:rsidRDefault="00CF0F16" w:rsidP="00CF0F16">
      <w:pPr>
        <w:spacing w:line="240" w:lineRule="auto"/>
        <w:rPr>
          <w:rFonts w:eastAsia="Times New Roman" w:cs="Arial"/>
          <w:color w:val="000000"/>
          <w:lang w:eastAsia="bg-BG"/>
        </w:rPr>
      </w:pPr>
      <w:r w:rsidRPr="00CF0F16">
        <w:rPr>
          <w:rFonts w:eastAsia="Times New Roman" w:cs="Arial"/>
          <w:color w:val="000000"/>
          <w:lang w:eastAsia="bg-BG"/>
        </w:rPr>
        <w:t xml:space="preserve">Едновременното прилагане на лекарства, за които е известно, че инхибират активността на някои цитохром Р450 изоензими, може да повиши нивата на клозапин и да се наложи намаляване на неговата доза, за да се предотвратят нежеланите реакции. Това е по-важно за инхибитори на </w:t>
      </w:r>
      <w:r w:rsidRPr="00CF0F16">
        <w:rPr>
          <w:rFonts w:eastAsia="Times New Roman" w:cs="Arial"/>
          <w:color w:val="000000"/>
          <w:lang w:val="en-US"/>
        </w:rPr>
        <w:t>CYP</w:t>
      </w:r>
      <w:r w:rsidRPr="00CF0F16">
        <w:rPr>
          <w:rFonts w:eastAsia="Times New Roman" w:cs="Arial"/>
          <w:color w:val="000000"/>
          <w:lang w:val="ru-RU"/>
        </w:rPr>
        <w:t xml:space="preserve"> </w:t>
      </w:r>
      <w:r w:rsidRPr="00CF0F16">
        <w:rPr>
          <w:rFonts w:eastAsia="Times New Roman" w:cs="Arial"/>
          <w:color w:val="000000"/>
          <w:lang w:eastAsia="bg-BG"/>
        </w:rPr>
        <w:t xml:space="preserve">1А2 като кофеин (вж. по-долу) и селективните инхибитори на обратното захващане на серотонина флувоксамин и (по спорно) пароксетин. Някои от другите инхибитори на обратното захващане на серотонина, като флуоксетин и сертралин са </w:t>
      </w:r>
      <w:r w:rsidRPr="00CF0F16">
        <w:rPr>
          <w:rFonts w:eastAsia="Times New Roman" w:cs="Arial"/>
          <w:color w:val="000000"/>
          <w:lang w:val="en-US"/>
        </w:rPr>
        <w:t>CYP</w:t>
      </w:r>
      <w:r w:rsidRPr="00CF0F16">
        <w:rPr>
          <w:rFonts w:eastAsia="Times New Roman" w:cs="Arial"/>
          <w:color w:val="000000"/>
          <w:lang w:val="ru-RU"/>
        </w:rPr>
        <w:t xml:space="preserve"> 2</w:t>
      </w:r>
      <w:r w:rsidRPr="00CF0F16">
        <w:rPr>
          <w:rFonts w:eastAsia="Times New Roman" w:cs="Arial"/>
          <w:color w:val="000000"/>
          <w:lang w:val="en-US"/>
        </w:rPr>
        <w:t>D</w:t>
      </w:r>
      <w:r w:rsidRPr="00CF0F16">
        <w:rPr>
          <w:rFonts w:eastAsia="Times New Roman" w:cs="Arial"/>
          <w:color w:val="000000"/>
          <w:lang w:val="ru-RU"/>
        </w:rPr>
        <w:t xml:space="preserve">6 </w:t>
      </w:r>
      <w:r w:rsidRPr="00CF0F16">
        <w:rPr>
          <w:rFonts w:eastAsia="Times New Roman" w:cs="Arial"/>
          <w:color w:val="000000"/>
          <w:lang w:eastAsia="bg-BG"/>
        </w:rPr>
        <w:t xml:space="preserve">инхибитори и в резултат на това са по-малко вероятни съществени фармакокинетични взаимодействия с клозапин. Също така, малко вероятни са, въпреки някои съобщения, фармакологични взаимодействия с инхибитори на </w:t>
      </w:r>
      <w:r w:rsidRPr="00CF0F16">
        <w:rPr>
          <w:rFonts w:eastAsia="Times New Roman" w:cs="Arial"/>
          <w:color w:val="000000"/>
          <w:lang w:val="en-US"/>
        </w:rPr>
        <w:t>CYP</w:t>
      </w:r>
      <w:r w:rsidRPr="00CF0F16">
        <w:rPr>
          <w:rFonts w:eastAsia="Times New Roman" w:cs="Arial"/>
          <w:color w:val="000000"/>
          <w:lang w:val="ru-RU"/>
        </w:rPr>
        <w:t xml:space="preserve"> </w:t>
      </w:r>
      <w:r w:rsidRPr="00CF0F16">
        <w:rPr>
          <w:rFonts w:eastAsia="Times New Roman" w:cs="Arial"/>
          <w:color w:val="000000"/>
          <w:lang w:eastAsia="bg-BG"/>
        </w:rPr>
        <w:t>ЗА4 като азолови антимикотици, симетидин, еритромицин и протеазни инхибитори. Тъй като плазмената концентрация на клозапин се повишава от приема на кофеин и се понижава с почти 50% след 5 дневен безкофеинов период, е възможно да се наложи промяна в дозата на клозапин при промяна в навиците за прием на кофеинсъдържащи течности. В случаи на внезапно спиране на тютюнопушенето, плазмената концентрация на клозапин може да се повиши , което да доведе до увеличаване на нежеланите реакции.</w:t>
      </w:r>
    </w:p>
    <w:p w14:paraId="13CE03B1" w14:textId="61705652" w:rsidR="00CF0F16" w:rsidRDefault="00CF0F16" w:rsidP="00CF0F16">
      <w:pPr>
        <w:spacing w:line="240" w:lineRule="auto"/>
        <w:rPr>
          <w:rFonts w:eastAsia="Times New Roman" w:cs="Arial"/>
          <w:color w:val="000000"/>
          <w:lang w:eastAsia="bg-BG"/>
        </w:rPr>
      </w:pPr>
    </w:p>
    <w:p w14:paraId="7EAFE54C"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Съобщават се случаи на взаимодействие между циталопрам и клазопин, което може да повиши риска от нежелани реакции, свързани с клозапин. Естеството на това взаимодействие не е напълно изяснено.</w:t>
      </w:r>
    </w:p>
    <w:p w14:paraId="0C1AE226" w14:textId="77777777" w:rsidR="00CF0F16" w:rsidRDefault="00CF0F16" w:rsidP="00CF0F16">
      <w:pPr>
        <w:spacing w:line="240" w:lineRule="auto"/>
        <w:rPr>
          <w:rFonts w:eastAsia="Times New Roman" w:cs="Arial"/>
          <w:color w:val="000000"/>
          <w:lang w:eastAsia="bg-BG"/>
        </w:rPr>
      </w:pPr>
    </w:p>
    <w:p w14:paraId="3CFC9C4E" w14:textId="20E8553E"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Съвместното приложение с лекарства, за които е известно, че индуцират цитохром Р450 изоензимите може да понижи плазмените нива на клозапин, което да доведе до намалена ефикасност. Лекарствата, за които е известно, че индуцират активността на цитохром Р450 изоензимите и за които има съобщения, че взаимодействат с клозапин включват, напр. карбамазепин (да не се използва заедно с клозапин поради миелосупресивен потенциал), фенитоин и рифампицин. Известните индуктори на </w:t>
      </w:r>
      <w:r w:rsidRPr="00CF0F16">
        <w:rPr>
          <w:rFonts w:eastAsia="Times New Roman" w:cs="Arial"/>
          <w:color w:val="000000"/>
          <w:lang w:val="en-US"/>
        </w:rPr>
        <w:t>CYP</w:t>
      </w:r>
      <w:r w:rsidRPr="00CF0F16">
        <w:rPr>
          <w:rFonts w:eastAsia="Times New Roman" w:cs="Arial"/>
          <w:color w:val="000000"/>
          <w:lang w:eastAsia="bg-BG"/>
        </w:rPr>
        <w:t>1А2 като омепразол биха могли да доведат до понижаване нивата на клозапин. Възможността за понижена ефективност на клозапин трябва да се има предвид, когато се използва в комбинация с тези лекарства.</w:t>
      </w:r>
    </w:p>
    <w:p w14:paraId="261E0349" w14:textId="77777777" w:rsidR="00CF0F16" w:rsidRDefault="00CF0F16" w:rsidP="00CF0F16">
      <w:pPr>
        <w:spacing w:line="240" w:lineRule="auto"/>
        <w:rPr>
          <w:rFonts w:eastAsia="Times New Roman" w:cs="Arial"/>
          <w:b/>
          <w:bCs/>
          <w:color w:val="000000"/>
          <w:lang w:eastAsia="bg-BG"/>
        </w:rPr>
      </w:pPr>
    </w:p>
    <w:p w14:paraId="42053460" w14:textId="7E628F3D" w:rsidR="00CF0F16" w:rsidRPr="00CF0F16" w:rsidRDefault="00CF0F16" w:rsidP="00CF0F16">
      <w:pPr>
        <w:spacing w:line="240" w:lineRule="auto"/>
        <w:rPr>
          <w:rFonts w:eastAsia="Times New Roman" w:cs="Arial"/>
        </w:rPr>
      </w:pPr>
      <w:r w:rsidRPr="00CF0F16">
        <w:rPr>
          <w:rFonts w:eastAsia="Times New Roman" w:cs="Arial"/>
          <w:b/>
          <w:bCs/>
          <w:color w:val="000000"/>
          <w:lang w:eastAsia="bg-BG"/>
        </w:rPr>
        <w:t>Други</w:t>
      </w:r>
    </w:p>
    <w:p w14:paraId="5CB7311F" w14:textId="77777777" w:rsidR="00CF0F16" w:rsidRPr="00CF0F16" w:rsidRDefault="00CF0F16" w:rsidP="00CF0F16">
      <w:pPr>
        <w:spacing w:line="240" w:lineRule="auto"/>
        <w:rPr>
          <w:rFonts w:eastAsia="Times New Roman" w:cs="Arial"/>
        </w:rPr>
      </w:pPr>
      <w:r w:rsidRPr="00CF0F16">
        <w:rPr>
          <w:rFonts w:eastAsia="Times New Roman" w:cs="Arial"/>
          <w:color w:val="000000"/>
          <w:lang w:eastAsia="bg-BG"/>
        </w:rPr>
        <w:t>Едновременната употреба с литий или други действащи на ЦНС лекарства може да повиши риска от развитие на малигнен невролептичен синдром (МНС).</w:t>
      </w:r>
    </w:p>
    <w:p w14:paraId="48639311" w14:textId="77777777" w:rsidR="00CF0F16" w:rsidRDefault="00CF0F16" w:rsidP="00CF0F16">
      <w:pPr>
        <w:spacing w:line="240" w:lineRule="auto"/>
        <w:rPr>
          <w:rFonts w:eastAsia="Times New Roman" w:cs="Arial"/>
          <w:color w:val="000000"/>
          <w:lang w:eastAsia="bg-BG"/>
        </w:rPr>
      </w:pPr>
    </w:p>
    <w:p w14:paraId="7AE461D4" w14:textId="6870BF30" w:rsidR="00CF0F16" w:rsidRPr="00CF0F16" w:rsidRDefault="00CF0F16" w:rsidP="00CF0F16">
      <w:pPr>
        <w:spacing w:line="240" w:lineRule="auto"/>
        <w:rPr>
          <w:rFonts w:eastAsia="Times New Roman" w:cs="Arial"/>
        </w:rPr>
      </w:pPr>
      <w:r w:rsidRPr="00CF0F16">
        <w:rPr>
          <w:rFonts w:eastAsia="Times New Roman" w:cs="Arial"/>
          <w:color w:val="000000"/>
          <w:lang w:eastAsia="bg-BG"/>
        </w:rPr>
        <w:t>Съобщава се за редки, но тежки случаи на гърчове, включително начало на гърчове при пациенти без епилепсия и отделни случаи на делир, когато клозапин се прилага заедно с валпроева киселина. Вероятно, тези ефекти възникват поради фармакодинамично взаимодействие, чийто механизъм не е изяснен.</w:t>
      </w:r>
    </w:p>
    <w:p w14:paraId="3F56A5F0" w14:textId="77777777" w:rsidR="00CF0F16" w:rsidRDefault="00CF0F16" w:rsidP="00CF0F16">
      <w:pPr>
        <w:spacing w:line="240" w:lineRule="auto"/>
        <w:rPr>
          <w:rFonts w:eastAsia="Times New Roman" w:cs="Arial"/>
          <w:color w:val="000000"/>
          <w:lang w:eastAsia="bg-BG"/>
        </w:rPr>
      </w:pPr>
    </w:p>
    <w:p w14:paraId="2689ED9D" w14:textId="2F0DCBF8"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Препоръчва се повишено внимание при пациенти, които провеждат съпътстващо лечение с други лекарства, които са инхибитори или индуктори на цитохром Р450 изоензимите. </w:t>
      </w:r>
      <w:r w:rsidRPr="00CF0F16">
        <w:rPr>
          <w:rFonts w:eastAsia="Times New Roman" w:cs="Arial"/>
          <w:color w:val="000000"/>
          <w:lang w:eastAsia="bg-BG"/>
        </w:rPr>
        <w:lastRenderedPageBreak/>
        <w:t xml:space="preserve">Досега не са наблюдавани клинично значими взаимодействия с трициклични антидепресанти, фенотиазини и антиаритмични лекарства тип </w:t>
      </w:r>
      <w:r w:rsidRPr="00CF0F16">
        <w:rPr>
          <w:rFonts w:eastAsia="Times New Roman" w:cs="Arial"/>
          <w:color w:val="000000"/>
          <w:lang w:val="ru-RU"/>
        </w:rPr>
        <w:t>1</w:t>
      </w:r>
      <w:r w:rsidRPr="00CF0F16">
        <w:rPr>
          <w:rFonts w:eastAsia="Times New Roman" w:cs="Arial"/>
          <w:color w:val="000000"/>
          <w:lang w:val="en-US"/>
        </w:rPr>
        <w:t>c</w:t>
      </w:r>
      <w:r w:rsidRPr="00CF0F16">
        <w:rPr>
          <w:rFonts w:eastAsia="Times New Roman" w:cs="Arial"/>
          <w:color w:val="000000"/>
          <w:lang w:val="ru-RU"/>
        </w:rPr>
        <w:t xml:space="preserve">, </w:t>
      </w:r>
      <w:r w:rsidRPr="00CF0F16">
        <w:rPr>
          <w:rFonts w:eastAsia="Times New Roman" w:cs="Arial"/>
          <w:color w:val="000000"/>
          <w:lang w:eastAsia="bg-BG"/>
        </w:rPr>
        <w:t xml:space="preserve">за които е известно, че се свързват с цитохром Р450 </w:t>
      </w:r>
      <w:r w:rsidRPr="00CF0F16">
        <w:rPr>
          <w:rFonts w:eastAsia="Times New Roman" w:cs="Arial"/>
          <w:color w:val="000000"/>
          <w:lang w:val="ru-RU"/>
        </w:rPr>
        <w:t>2</w:t>
      </w:r>
      <w:r w:rsidRPr="00CF0F16">
        <w:rPr>
          <w:rFonts w:eastAsia="Times New Roman" w:cs="Arial"/>
          <w:color w:val="000000"/>
          <w:lang w:val="en-US"/>
        </w:rPr>
        <w:t>D</w:t>
      </w:r>
      <w:r w:rsidRPr="00CF0F16">
        <w:rPr>
          <w:rFonts w:eastAsia="Times New Roman" w:cs="Arial"/>
          <w:color w:val="000000"/>
          <w:lang w:val="ru-RU"/>
        </w:rPr>
        <w:t>6.</w:t>
      </w:r>
    </w:p>
    <w:p w14:paraId="05BCF9D8" w14:textId="77777777" w:rsidR="00CF0F16" w:rsidRDefault="00CF0F16" w:rsidP="00CF0F16">
      <w:pPr>
        <w:spacing w:line="240" w:lineRule="auto"/>
        <w:rPr>
          <w:rFonts w:eastAsia="Times New Roman" w:cs="Arial"/>
          <w:color w:val="000000"/>
          <w:lang w:eastAsia="bg-BG"/>
        </w:rPr>
      </w:pPr>
    </w:p>
    <w:p w14:paraId="146D7395" w14:textId="7A28AE8B" w:rsidR="00CF0F16" w:rsidRPr="00CF0F16" w:rsidRDefault="00CF0F16" w:rsidP="00CF0F16">
      <w:pPr>
        <w:spacing w:line="240" w:lineRule="auto"/>
        <w:rPr>
          <w:rFonts w:eastAsia="Times New Roman" w:cs="Arial"/>
        </w:rPr>
      </w:pPr>
      <w:r w:rsidRPr="00CF0F16">
        <w:rPr>
          <w:rFonts w:eastAsia="Times New Roman" w:cs="Arial"/>
          <w:color w:val="000000"/>
          <w:lang w:eastAsia="bg-BG"/>
        </w:rPr>
        <w:t xml:space="preserve">Както и при другите антипсихотици се изисква повишено внимание при предписване на клозапин с лекарства, за които е известно, че удължават </w:t>
      </w:r>
      <w:proofErr w:type="spellStart"/>
      <w:r w:rsidRPr="00CF0F16">
        <w:rPr>
          <w:rFonts w:eastAsia="Times New Roman" w:cs="Arial"/>
          <w:color w:val="000000"/>
          <w:lang w:val="en-US"/>
        </w:rPr>
        <w:t>QTc</w:t>
      </w:r>
      <w:proofErr w:type="spellEnd"/>
      <w:r w:rsidRPr="00CF0F16">
        <w:rPr>
          <w:rFonts w:eastAsia="Times New Roman" w:cs="Arial"/>
          <w:color w:val="000000"/>
          <w:lang w:val="ru-RU"/>
        </w:rPr>
        <w:t xml:space="preserve"> </w:t>
      </w:r>
      <w:r w:rsidRPr="00CF0F16">
        <w:rPr>
          <w:rFonts w:eastAsia="Times New Roman" w:cs="Arial"/>
          <w:color w:val="000000"/>
          <w:lang w:eastAsia="bg-BG"/>
        </w:rPr>
        <w:t>интервала или предизвикват електролитен дисбаланс.</w:t>
      </w:r>
    </w:p>
    <w:p w14:paraId="76D7C8C2" w14:textId="77777777" w:rsidR="00CF0F16" w:rsidRDefault="00CF0F16" w:rsidP="00CF0F16">
      <w:pPr>
        <w:spacing w:line="240" w:lineRule="auto"/>
        <w:rPr>
          <w:rFonts w:eastAsia="Times New Roman" w:cs="Arial"/>
          <w:color w:val="000000"/>
          <w:lang w:eastAsia="bg-BG"/>
        </w:rPr>
      </w:pPr>
    </w:p>
    <w:p w14:paraId="45F7E2E9" w14:textId="3DC983F3" w:rsidR="00CF0F16" w:rsidRPr="00CF0F16" w:rsidRDefault="00CF0F16" w:rsidP="00CF0F16">
      <w:pPr>
        <w:spacing w:line="240" w:lineRule="auto"/>
        <w:rPr>
          <w:rFonts w:eastAsia="Times New Roman" w:cs="Arial"/>
        </w:rPr>
      </w:pPr>
      <w:r w:rsidRPr="00CF0F16">
        <w:rPr>
          <w:rFonts w:eastAsia="Times New Roman" w:cs="Arial"/>
          <w:color w:val="000000"/>
          <w:lang w:eastAsia="bg-BG"/>
        </w:rPr>
        <w:t>В таблица 2 по-долу са представени считаните за най-важни лекарствени взаимодействия с клозапин. Този списък не е изчерпателен.</w:t>
      </w:r>
    </w:p>
    <w:p w14:paraId="0A13664B" w14:textId="77777777" w:rsidR="00CF0F16" w:rsidRDefault="00CF0F16" w:rsidP="00CF0F16">
      <w:pPr>
        <w:spacing w:line="240" w:lineRule="auto"/>
        <w:rPr>
          <w:rFonts w:eastAsia="Times New Roman" w:cs="Arial"/>
          <w:color w:val="000000"/>
          <w:lang w:eastAsia="bg-BG"/>
        </w:rPr>
      </w:pPr>
    </w:p>
    <w:p w14:paraId="51C8DEEF" w14:textId="4F3D9F41" w:rsidR="00CF0F16" w:rsidRPr="00CF0F16" w:rsidRDefault="00CF0F16" w:rsidP="00CF0F16">
      <w:pPr>
        <w:spacing w:line="240" w:lineRule="auto"/>
        <w:rPr>
          <w:rFonts w:eastAsia="Times New Roman" w:cs="Arial"/>
        </w:rPr>
      </w:pPr>
      <w:r w:rsidRPr="00CF0F16">
        <w:rPr>
          <w:rFonts w:eastAsia="Times New Roman" w:cs="Arial"/>
          <w:color w:val="000000"/>
          <w:lang w:eastAsia="bg-BG"/>
        </w:rPr>
        <w:t>Таблица 2: Справка за най-честите лекарствени взаимодействия с клозапин</w:t>
      </w:r>
    </w:p>
    <w:tbl>
      <w:tblPr>
        <w:tblStyle w:val="TableGrid"/>
        <w:tblW w:w="0" w:type="auto"/>
        <w:tblLook w:val="04A0" w:firstRow="1" w:lastRow="0" w:firstColumn="1" w:lastColumn="0" w:noHBand="0" w:noVBand="1"/>
      </w:tblPr>
      <w:tblGrid>
        <w:gridCol w:w="3113"/>
        <w:gridCol w:w="3127"/>
        <w:gridCol w:w="3110"/>
      </w:tblGrid>
      <w:tr w:rsidR="00ED234A" w14:paraId="1BBDF23F" w14:textId="77777777" w:rsidTr="00ED234A">
        <w:tc>
          <w:tcPr>
            <w:tcW w:w="3192" w:type="dxa"/>
          </w:tcPr>
          <w:p w14:paraId="20325B70" w14:textId="7DEDEEE6" w:rsidR="00ED234A" w:rsidRPr="00ED234A" w:rsidRDefault="00ED234A" w:rsidP="00ED234A">
            <w:pPr>
              <w:spacing w:line="240" w:lineRule="auto"/>
              <w:rPr>
                <w:rFonts w:eastAsia="Times New Roman" w:cs="Arial"/>
              </w:rPr>
            </w:pPr>
            <w:r w:rsidRPr="00ED234A">
              <w:rPr>
                <w:b/>
                <w:bCs/>
              </w:rPr>
              <w:t>Лекарство</w:t>
            </w:r>
          </w:p>
        </w:tc>
        <w:tc>
          <w:tcPr>
            <w:tcW w:w="3192" w:type="dxa"/>
          </w:tcPr>
          <w:p w14:paraId="46EA926E" w14:textId="2BF2E8AA" w:rsidR="00ED234A" w:rsidRPr="00ED234A" w:rsidRDefault="00ED234A" w:rsidP="00ED234A">
            <w:pPr>
              <w:spacing w:line="240" w:lineRule="auto"/>
              <w:rPr>
                <w:rFonts w:eastAsia="Times New Roman" w:cs="Arial"/>
              </w:rPr>
            </w:pPr>
            <w:r w:rsidRPr="00ED234A">
              <w:rPr>
                <w:b/>
                <w:bCs/>
              </w:rPr>
              <w:t>Взаимодействия</w:t>
            </w:r>
          </w:p>
        </w:tc>
        <w:tc>
          <w:tcPr>
            <w:tcW w:w="3192" w:type="dxa"/>
          </w:tcPr>
          <w:p w14:paraId="30006F63" w14:textId="20D48605" w:rsidR="00ED234A" w:rsidRPr="00ED234A" w:rsidRDefault="00ED234A" w:rsidP="00ED234A">
            <w:pPr>
              <w:spacing w:line="240" w:lineRule="auto"/>
              <w:rPr>
                <w:rFonts w:eastAsia="Times New Roman" w:cs="Arial"/>
              </w:rPr>
            </w:pPr>
            <w:r w:rsidRPr="00ED234A">
              <w:rPr>
                <w:b/>
                <w:bCs/>
              </w:rPr>
              <w:t>Коментари</w:t>
            </w:r>
          </w:p>
        </w:tc>
      </w:tr>
      <w:tr w:rsidR="00ED234A" w14:paraId="117B8E55" w14:textId="77777777" w:rsidTr="00ED234A">
        <w:tc>
          <w:tcPr>
            <w:tcW w:w="3192" w:type="dxa"/>
          </w:tcPr>
          <w:p w14:paraId="61032716" w14:textId="14263381" w:rsidR="00ED234A" w:rsidRPr="00ED234A" w:rsidRDefault="00ED234A" w:rsidP="00ED234A">
            <w:pPr>
              <w:spacing w:line="240" w:lineRule="auto"/>
              <w:rPr>
                <w:rFonts w:eastAsia="Times New Roman" w:cs="Arial"/>
              </w:rPr>
            </w:pPr>
            <w:r w:rsidRPr="00ED234A">
              <w:t>Лекарства, потискащи костния мозък (напр. карбамазепин, хлорамфеникол, сулфонамиди (напр. котримоксазол), пиразолонови аналгетици (напр, фенилбутазон), пенициламин, цитотоксични средства и инжекционни антипсихотици с продължително действие)</w:t>
            </w:r>
          </w:p>
        </w:tc>
        <w:tc>
          <w:tcPr>
            <w:tcW w:w="3192" w:type="dxa"/>
          </w:tcPr>
          <w:p w14:paraId="50FF6CC7" w14:textId="18928C7F" w:rsidR="00ED234A" w:rsidRPr="00ED234A" w:rsidRDefault="00ED234A" w:rsidP="00ED234A">
            <w:pPr>
              <w:spacing w:line="240" w:lineRule="auto"/>
              <w:rPr>
                <w:rFonts w:eastAsia="Times New Roman" w:cs="Arial"/>
              </w:rPr>
            </w:pPr>
            <w:r w:rsidRPr="00ED234A">
              <w:t>Повишава се рискът и/или тежестта на потискането на костния мозък</w:t>
            </w:r>
          </w:p>
        </w:tc>
        <w:tc>
          <w:tcPr>
            <w:tcW w:w="3192" w:type="dxa"/>
          </w:tcPr>
          <w:p w14:paraId="71FCFCCF" w14:textId="49249331" w:rsidR="00ED234A" w:rsidRPr="00ED234A" w:rsidRDefault="00ED234A" w:rsidP="00ED234A">
            <w:pPr>
              <w:spacing w:line="240" w:lineRule="auto"/>
              <w:rPr>
                <w:rFonts w:eastAsia="Times New Roman" w:cs="Arial"/>
              </w:rPr>
            </w:pPr>
            <w:r w:rsidRPr="00ED234A">
              <w:t xml:space="preserve">Ксенопалан </w:t>
            </w:r>
            <w:r w:rsidRPr="00ED234A">
              <w:rPr>
                <w:b/>
                <w:bCs/>
              </w:rPr>
              <w:t xml:space="preserve">не трябва да се използва </w:t>
            </w:r>
            <w:r w:rsidRPr="00ED234A">
              <w:t>заедно с други лекарства с известен потенциал за потискане функцията на костния мозък (вж. точка 4.3)</w:t>
            </w:r>
          </w:p>
        </w:tc>
      </w:tr>
      <w:tr w:rsidR="00ED234A" w14:paraId="1CEC9711" w14:textId="77777777" w:rsidTr="00ED234A">
        <w:tc>
          <w:tcPr>
            <w:tcW w:w="3192" w:type="dxa"/>
          </w:tcPr>
          <w:p w14:paraId="4C10138B" w14:textId="1B2F9B57" w:rsidR="00ED234A" w:rsidRPr="00ED234A" w:rsidRDefault="00ED234A" w:rsidP="00ED234A">
            <w:pPr>
              <w:spacing w:line="240" w:lineRule="auto"/>
              <w:rPr>
                <w:rFonts w:eastAsia="Times New Roman" w:cs="Arial"/>
              </w:rPr>
            </w:pPr>
            <w:r w:rsidRPr="00ED234A">
              <w:t>Бензодиазепини</w:t>
            </w:r>
          </w:p>
        </w:tc>
        <w:tc>
          <w:tcPr>
            <w:tcW w:w="3192" w:type="dxa"/>
          </w:tcPr>
          <w:p w14:paraId="0E5E1D78" w14:textId="77777777" w:rsidR="00ED234A" w:rsidRDefault="00ED234A" w:rsidP="00ED234A">
            <w:pPr>
              <w:spacing w:line="240" w:lineRule="auto"/>
            </w:pPr>
            <w:r w:rsidRPr="00ED234A">
              <w:t>Съвместната употреба може да повиши риска от циркулаторен колапс, което да доведе до спиране на сърдечната дейност и/или</w:t>
            </w:r>
          </w:p>
          <w:p w14:paraId="1FCA8BF9" w14:textId="4DE54328" w:rsidR="00ED234A" w:rsidRPr="00ED234A" w:rsidRDefault="00ED234A" w:rsidP="00ED234A">
            <w:pPr>
              <w:rPr>
                <w:rFonts w:eastAsia="Times New Roman" w:cs="Arial"/>
              </w:rPr>
            </w:pPr>
            <w:r>
              <w:t>дишането</w:t>
            </w:r>
          </w:p>
        </w:tc>
        <w:tc>
          <w:tcPr>
            <w:tcW w:w="3192" w:type="dxa"/>
          </w:tcPr>
          <w:p w14:paraId="6A275DB3" w14:textId="77777777" w:rsidR="00ED234A" w:rsidRPr="00ED234A" w:rsidRDefault="00ED234A" w:rsidP="00ED234A">
            <w:r w:rsidRPr="00ED234A">
              <w:t>Въпреки че честотата е ниска, се препоръчва повишено внимание при едновременна употреба на тези лекарствени</w:t>
            </w:r>
          </w:p>
          <w:p w14:paraId="38688615" w14:textId="67D132D0" w:rsidR="00ED234A" w:rsidRPr="00ED234A" w:rsidRDefault="00ED234A" w:rsidP="00ED234A">
            <w:pPr>
              <w:spacing w:line="240" w:lineRule="auto"/>
              <w:rPr>
                <w:rFonts w:eastAsia="Times New Roman" w:cs="Arial"/>
                <w:lang w:val="ru-RU"/>
              </w:rPr>
            </w:pPr>
            <w:r w:rsidRPr="00ED234A">
              <w:t>продукти. Съобщенията</w:t>
            </w:r>
            <w:r w:rsidRPr="00ED234A">
              <w:rPr>
                <w:lang w:val="ru-RU"/>
              </w:rPr>
              <w:t xml:space="preserve"> </w:t>
            </w:r>
            <w:r w:rsidRPr="00ED234A">
              <w:t>показват, че е по-вероятно потискането на дишането и колапсът да възникнат в началото на приложението на тази комбинация или при добавяне на Ксенопалан към установената схема с бензодиазепини</w:t>
            </w:r>
          </w:p>
        </w:tc>
      </w:tr>
      <w:tr w:rsidR="00ED234A" w14:paraId="647DAA56" w14:textId="77777777" w:rsidTr="00ED234A">
        <w:tc>
          <w:tcPr>
            <w:tcW w:w="3192" w:type="dxa"/>
          </w:tcPr>
          <w:p w14:paraId="3B6C2CEF" w14:textId="1B652232" w:rsidR="00ED234A" w:rsidRPr="00ED234A" w:rsidRDefault="00ED234A" w:rsidP="00ED234A">
            <w:pPr>
              <w:spacing w:line="240" w:lineRule="auto"/>
              <w:rPr>
                <w:rFonts w:eastAsia="Times New Roman" w:cs="Arial"/>
              </w:rPr>
            </w:pPr>
            <w:r w:rsidRPr="00ED234A">
              <w:t>Антихолинергични лекарства</w:t>
            </w:r>
          </w:p>
        </w:tc>
        <w:tc>
          <w:tcPr>
            <w:tcW w:w="3192" w:type="dxa"/>
          </w:tcPr>
          <w:p w14:paraId="4004AAC9" w14:textId="11DD9682" w:rsidR="00ED234A" w:rsidRPr="00ED234A" w:rsidRDefault="00ED234A" w:rsidP="00ED234A">
            <w:pPr>
              <w:spacing w:line="240" w:lineRule="auto"/>
              <w:rPr>
                <w:rFonts w:eastAsia="Times New Roman" w:cs="Arial"/>
              </w:rPr>
            </w:pPr>
            <w:r w:rsidRPr="00ED234A">
              <w:t>Ксенопалан потенцира действието на тези лекарства в резултат на кумулиране на антихолинергичните ефекти</w:t>
            </w:r>
          </w:p>
        </w:tc>
        <w:tc>
          <w:tcPr>
            <w:tcW w:w="3192" w:type="dxa"/>
            <w:vAlign w:val="bottom"/>
          </w:tcPr>
          <w:p w14:paraId="0E18B252" w14:textId="7CE3B17F" w:rsidR="00ED234A" w:rsidRPr="00ED234A" w:rsidRDefault="00ED234A" w:rsidP="00ED234A">
            <w:pPr>
              <w:spacing w:line="240" w:lineRule="auto"/>
              <w:rPr>
                <w:rFonts w:eastAsia="Times New Roman" w:cs="Arial"/>
              </w:rPr>
            </w:pPr>
            <w:r w:rsidRPr="00ED234A">
              <w:t>Да се наблюдават пациентите за антихолинергични нежелани реакции, напр. констнпация, особено при употреба с цел контрол на хиперсаливацията</w:t>
            </w:r>
          </w:p>
        </w:tc>
      </w:tr>
      <w:tr w:rsidR="00ED234A" w14:paraId="3378B758" w14:textId="77777777" w:rsidTr="00ED234A">
        <w:tc>
          <w:tcPr>
            <w:tcW w:w="3192" w:type="dxa"/>
          </w:tcPr>
          <w:p w14:paraId="43FC8813" w14:textId="461D3EC9" w:rsidR="00ED234A" w:rsidRPr="00ED234A" w:rsidRDefault="00ED234A" w:rsidP="00ED234A">
            <w:pPr>
              <w:spacing w:line="240" w:lineRule="auto"/>
              <w:rPr>
                <w:rFonts w:eastAsia="Times New Roman" w:cs="Arial"/>
              </w:rPr>
            </w:pPr>
            <w:r w:rsidRPr="00ED234A">
              <w:t>Антихипертензивни средства</w:t>
            </w:r>
          </w:p>
        </w:tc>
        <w:tc>
          <w:tcPr>
            <w:tcW w:w="3192" w:type="dxa"/>
          </w:tcPr>
          <w:p w14:paraId="49FD0AC8" w14:textId="6AFE835A" w:rsidR="00ED234A" w:rsidRPr="00ED234A" w:rsidRDefault="00ED234A" w:rsidP="00ED234A">
            <w:pPr>
              <w:spacing w:line="240" w:lineRule="auto"/>
              <w:rPr>
                <w:rFonts w:eastAsia="Times New Roman" w:cs="Arial"/>
              </w:rPr>
            </w:pPr>
            <w:r w:rsidRPr="00ED234A">
              <w:t xml:space="preserve">Ксенопалан може да потенцира хипотензивните ефекти на тези лекарства </w:t>
            </w:r>
            <w:r w:rsidRPr="00ED234A">
              <w:lastRenderedPageBreak/>
              <w:t>поради неговите симпатнкомиметични антагонистични ефекти</w:t>
            </w:r>
          </w:p>
        </w:tc>
        <w:tc>
          <w:tcPr>
            <w:tcW w:w="3192" w:type="dxa"/>
            <w:vAlign w:val="bottom"/>
          </w:tcPr>
          <w:p w14:paraId="0B93783F" w14:textId="410207D6" w:rsidR="00ED234A" w:rsidRPr="00ED234A" w:rsidRDefault="00ED234A" w:rsidP="00ED234A">
            <w:pPr>
              <w:spacing w:line="240" w:lineRule="auto"/>
              <w:rPr>
                <w:rFonts w:eastAsia="Times New Roman" w:cs="Arial"/>
              </w:rPr>
            </w:pPr>
            <w:r w:rsidRPr="00ED234A">
              <w:lastRenderedPageBreak/>
              <w:t xml:space="preserve">Препоръчва се повишено внимание при съвместно използване на Ксенопалан </w:t>
            </w:r>
            <w:r w:rsidRPr="00ED234A">
              <w:lastRenderedPageBreak/>
              <w:t>с антихипертензивни лекарства. Пациентите трябва да бъдат предупредени за риска от хипотония, особено по време на периода на начално титриране на дозата</w:t>
            </w:r>
          </w:p>
        </w:tc>
      </w:tr>
      <w:tr w:rsidR="00ED234A" w14:paraId="6FB723E6" w14:textId="77777777" w:rsidTr="00ED234A">
        <w:tc>
          <w:tcPr>
            <w:tcW w:w="3192" w:type="dxa"/>
          </w:tcPr>
          <w:p w14:paraId="391E761F" w14:textId="05F36534" w:rsidR="00ED234A" w:rsidRPr="00ED234A" w:rsidRDefault="00ED234A" w:rsidP="00ED234A">
            <w:pPr>
              <w:spacing w:line="240" w:lineRule="auto"/>
              <w:rPr>
                <w:rFonts w:eastAsia="Times New Roman" w:cs="Arial"/>
              </w:rPr>
            </w:pPr>
            <w:r w:rsidRPr="00ED234A">
              <w:lastRenderedPageBreak/>
              <w:t>Алкохол, МАО-инхибитори, депресанти на ЦНС, включително наркотици и бензодиазепини</w:t>
            </w:r>
          </w:p>
        </w:tc>
        <w:tc>
          <w:tcPr>
            <w:tcW w:w="3192" w:type="dxa"/>
          </w:tcPr>
          <w:p w14:paraId="60A66438" w14:textId="657E21CD" w:rsidR="00ED234A" w:rsidRPr="00ED234A" w:rsidRDefault="00ED234A" w:rsidP="00ED234A">
            <w:pPr>
              <w:spacing w:line="240" w:lineRule="auto"/>
              <w:rPr>
                <w:rFonts w:eastAsia="Times New Roman" w:cs="Arial"/>
              </w:rPr>
            </w:pPr>
            <w:r w:rsidRPr="00ED234A">
              <w:t>Засилени централни ефекти. Допълнително потискане на ЦНС и влияние върху познавателната способност и двигателната функция при комбинирано приложение с тези лекарства</w:t>
            </w:r>
          </w:p>
        </w:tc>
        <w:tc>
          <w:tcPr>
            <w:tcW w:w="3192" w:type="dxa"/>
            <w:vAlign w:val="bottom"/>
          </w:tcPr>
          <w:p w14:paraId="6A5F93D4" w14:textId="32E3B23B" w:rsidR="00ED234A" w:rsidRPr="00ED234A" w:rsidRDefault="00ED234A" w:rsidP="00ED234A">
            <w:pPr>
              <w:spacing w:line="240" w:lineRule="auto"/>
              <w:rPr>
                <w:rFonts w:eastAsia="Times New Roman" w:cs="Arial"/>
              </w:rPr>
            </w:pPr>
            <w:r w:rsidRPr="00ED234A">
              <w:t>Препоръчва се повишено внимание, когато Ксенопалан се използва съвместно с други средства, действащи на ЦНС. Пациентите трябва да бъдат уведомени за възможни допълнителни ефекти и предупредени да не шофират или работят с машини</w:t>
            </w:r>
          </w:p>
        </w:tc>
      </w:tr>
      <w:tr w:rsidR="00ED234A" w14:paraId="7932F858" w14:textId="77777777" w:rsidTr="00ED234A">
        <w:tc>
          <w:tcPr>
            <w:tcW w:w="3192" w:type="dxa"/>
          </w:tcPr>
          <w:p w14:paraId="5FE9205F" w14:textId="64394577" w:rsidR="00ED234A" w:rsidRPr="00ED234A" w:rsidRDefault="00ED234A" w:rsidP="00ED234A">
            <w:pPr>
              <w:spacing w:line="240" w:lineRule="auto"/>
              <w:rPr>
                <w:rFonts w:eastAsia="Times New Roman" w:cs="Arial"/>
              </w:rPr>
            </w:pPr>
            <w:r w:rsidRPr="00ED234A">
              <w:t>Лекарства, които се свързват в значителна степен с плазмените протеини (напр. варфарин и дигоксин)</w:t>
            </w:r>
          </w:p>
        </w:tc>
        <w:tc>
          <w:tcPr>
            <w:tcW w:w="3192" w:type="dxa"/>
          </w:tcPr>
          <w:p w14:paraId="0D8BB30F" w14:textId="042AE3BD" w:rsidR="00ED234A" w:rsidRPr="00ED234A" w:rsidRDefault="00ED234A" w:rsidP="00ED234A">
            <w:pPr>
              <w:spacing w:line="240" w:lineRule="auto"/>
              <w:rPr>
                <w:rFonts w:eastAsia="Times New Roman" w:cs="Arial"/>
              </w:rPr>
            </w:pPr>
            <w:r w:rsidRPr="00ED234A">
              <w:t>Ксенопалан може да причини повишаване на плазмените концентрации на тези лекарства поради изместването им от плазмените протеини</w:t>
            </w:r>
          </w:p>
        </w:tc>
        <w:tc>
          <w:tcPr>
            <w:tcW w:w="3192" w:type="dxa"/>
            <w:vAlign w:val="bottom"/>
          </w:tcPr>
          <w:p w14:paraId="4360F20F" w14:textId="7C6F86A6" w:rsidR="00ED234A" w:rsidRPr="00ED234A" w:rsidRDefault="00ED234A" w:rsidP="00ED234A">
            <w:pPr>
              <w:spacing w:line="240" w:lineRule="auto"/>
              <w:rPr>
                <w:rFonts w:eastAsia="Times New Roman" w:cs="Arial"/>
              </w:rPr>
            </w:pPr>
            <w:r w:rsidRPr="00ED234A">
              <w:t>Пациентите трябва да бъдат мониторирани за поява на нежелани реакции, свързани с тези лекарства и, ако е необходимо, да се коригират дозите на свързващото се с протеините лекарство.</w:t>
            </w:r>
          </w:p>
        </w:tc>
      </w:tr>
      <w:tr w:rsidR="00ED234A" w14:paraId="4FD1F03D" w14:textId="77777777" w:rsidTr="00ED234A">
        <w:tc>
          <w:tcPr>
            <w:tcW w:w="3192" w:type="dxa"/>
          </w:tcPr>
          <w:p w14:paraId="336E5270" w14:textId="5D8D88F6" w:rsidR="00ED234A" w:rsidRPr="00ED234A" w:rsidRDefault="00ED234A" w:rsidP="00ED234A">
            <w:pPr>
              <w:spacing w:line="240" w:lineRule="auto"/>
              <w:rPr>
                <w:rFonts w:eastAsia="Times New Roman" w:cs="Arial"/>
              </w:rPr>
            </w:pPr>
            <w:r w:rsidRPr="00ED234A">
              <w:t>Фенитоин</w:t>
            </w:r>
          </w:p>
        </w:tc>
        <w:tc>
          <w:tcPr>
            <w:tcW w:w="3192" w:type="dxa"/>
          </w:tcPr>
          <w:p w14:paraId="2A5D5FF1" w14:textId="19CC2C8C" w:rsidR="00ED234A" w:rsidRPr="00ED234A" w:rsidRDefault="00ED234A" w:rsidP="00ED234A">
            <w:pPr>
              <w:spacing w:line="240" w:lineRule="auto"/>
              <w:rPr>
                <w:rFonts w:eastAsia="Times New Roman" w:cs="Arial"/>
              </w:rPr>
            </w:pPr>
            <w:r w:rsidRPr="00ED234A">
              <w:t>Включването на фенитоин към терапевтичната схема с Ксенопалан може да причини понижение на плазмените концентрации на клозапин.</w:t>
            </w:r>
          </w:p>
        </w:tc>
        <w:tc>
          <w:tcPr>
            <w:tcW w:w="3192" w:type="dxa"/>
            <w:vAlign w:val="bottom"/>
          </w:tcPr>
          <w:p w14:paraId="5B365E71" w14:textId="48D5AEE8" w:rsidR="00ED234A" w:rsidRPr="00ED234A" w:rsidRDefault="00ED234A" w:rsidP="00ED234A">
            <w:pPr>
              <w:spacing w:line="240" w:lineRule="auto"/>
              <w:rPr>
                <w:rFonts w:eastAsia="Times New Roman" w:cs="Arial"/>
              </w:rPr>
            </w:pPr>
            <w:r w:rsidRPr="00ED234A">
              <w:t>Ако трябва да се използва фенитоин, пациентът трябва внимателно да се проследява за влошаване или възобновяване на психотичните симптоми.</w:t>
            </w:r>
          </w:p>
        </w:tc>
      </w:tr>
      <w:tr w:rsidR="00ED234A" w14:paraId="67A537A1" w14:textId="77777777" w:rsidTr="00ED234A">
        <w:tc>
          <w:tcPr>
            <w:tcW w:w="3192" w:type="dxa"/>
          </w:tcPr>
          <w:p w14:paraId="43FA302C" w14:textId="48A3CF06" w:rsidR="00ED234A" w:rsidRPr="00ED234A" w:rsidRDefault="00ED234A" w:rsidP="00ED234A">
            <w:pPr>
              <w:spacing w:line="240" w:lineRule="auto"/>
              <w:rPr>
                <w:rFonts w:eastAsia="Times New Roman" w:cs="Arial"/>
              </w:rPr>
            </w:pPr>
            <w:r w:rsidRPr="00ED234A">
              <w:t>Литий</w:t>
            </w:r>
          </w:p>
        </w:tc>
        <w:tc>
          <w:tcPr>
            <w:tcW w:w="3192" w:type="dxa"/>
            <w:vAlign w:val="bottom"/>
          </w:tcPr>
          <w:p w14:paraId="7016E3EB" w14:textId="4F4A03BA" w:rsidR="00ED234A" w:rsidRPr="00ED234A" w:rsidRDefault="00ED234A" w:rsidP="00ED234A">
            <w:pPr>
              <w:spacing w:line="240" w:lineRule="auto"/>
              <w:rPr>
                <w:rFonts w:eastAsia="Times New Roman" w:cs="Arial"/>
              </w:rPr>
            </w:pPr>
            <w:r w:rsidRPr="00ED234A">
              <w:t>Съвместната употреба може да повиши риска от развитие на малигнен невролептичен синдром (МНС)</w:t>
            </w:r>
          </w:p>
        </w:tc>
        <w:tc>
          <w:tcPr>
            <w:tcW w:w="3192" w:type="dxa"/>
          </w:tcPr>
          <w:p w14:paraId="3932A9B4" w14:textId="657DDBA6" w:rsidR="00ED234A" w:rsidRPr="00ED234A" w:rsidRDefault="00ED234A" w:rsidP="00ED234A">
            <w:pPr>
              <w:spacing w:line="240" w:lineRule="auto"/>
              <w:rPr>
                <w:rFonts w:eastAsia="Times New Roman" w:cs="Arial"/>
              </w:rPr>
            </w:pPr>
            <w:r w:rsidRPr="00ED234A">
              <w:t>Да се наблюдава за признаци и симптоми на МНС.</w:t>
            </w:r>
          </w:p>
        </w:tc>
      </w:tr>
      <w:tr w:rsidR="00ED234A" w14:paraId="2FB038EA" w14:textId="77777777" w:rsidTr="00ED234A">
        <w:tc>
          <w:tcPr>
            <w:tcW w:w="3192" w:type="dxa"/>
          </w:tcPr>
          <w:p w14:paraId="48540224" w14:textId="28604A6B" w:rsidR="00ED234A" w:rsidRPr="00ED234A" w:rsidRDefault="00ED234A" w:rsidP="00ED234A">
            <w:pPr>
              <w:spacing w:line="240" w:lineRule="auto"/>
              <w:rPr>
                <w:rFonts w:eastAsia="Times New Roman" w:cs="Arial"/>
              </w:rPr>
            </w:pPr>
            <w:r w:rsidRPr="00ED234A">
              <w:rPr>
                <w:lang w:val="en-US"/>
              </w:rPr>
              <w:t xml:space="preserve">CYP1A2 </w:t>
            </w:r>
            <w:r w:rsidRPr="00ED234A">
              <w:t>индуктори (напр. омепразол)</w:t>
            </w:r>
          </w:p>
        </w:tc>
        <w:tc>
          <w:tcPr>
            <w:tcW w:w="3192" w:type="dxa"/>
            <w:vAlign w:val="bottom"/>
          </w:tcPr>
          <w:p w14:paraId="59E2F312" w14:textId="1113BFEB" w:rsidR="00ED234A" w:rsidRPr="00ED234A" w:rsidRDefault="00ED234A" w:rsidP="00ED234A">
            <w:pPr>
              <w:spacing w:line="240" w:lineRule="auto"/>
              <w:rPr>
                <w:rFonts w:eastAsia="Times New Roman" w:cs="Arial"/>
              </w:rPr>
            </w:pPr>
            <w:r w:rsidRPr="00ED234A">
              <w:t>При едновременно приложение е възможно понижаване нивата на клозапин.</w:t>
            </w:r>
          </w:p>
        </w:tc>
        <w:tc>
          <w:tcPr>
            <w:tcW w:w="3192" w:type="dxa"/>
          </w:tcPr>
          <w:p w14:paraId="7293EB21" w14:textId="3DB65411" w:rsidR="00ED234A" w:rsidRPr="00ED234A" w:rsidRDefault="00ED234A" w:rsidP="00ED234A">
            <w:pPr>
              <w:spacing w:line="240" w:lineRule="auto"/>
              <w:rPr>
                <w:rFonts w:eastAsia="Times New Roman" w:cs="Arial"/>
              </w:rPr>
            </w:pPr>
            <w:r w:rsidRPr="00ED234A">
              <w:t>Трябва да се има предвид потенциално намаляване на</w:t>
            </w:r>
            <w:r w:rsidRPr="00ED234A">
              <w:rPr>
                <w:u w:val="single"/>
              </w:rPr>
              <w:t xml:space="preserve"> </w:t>
            </w:r>
            <w:r w:rsidRPr="00ED234A">
              <w:t>ефикасността на клозапин</w:t>
            </w:r>
          </w:p>
        </w:tc>
      </w:tr>
      <w:tr w:rsidR="00ED234A" w14:paraId="764D0B59" w14:textId="77777777" w:rsidTr="00ED234A">
        <w:tc>
          <w:tcPr>
            <w:tcW w:w="3192" w:type="dxa"/>
          </w:tcPr>
          <w:p w14:paraId="16844074" w14:textId="352D9F44" w:rsidR="00ED234A" w:rsidRPr="00ED234A" w:rsidRDefault="00ED234A" w:rsidP="00ED234A">
            <w:pPr>
              <w:rPr>
                <w:rFonts w:eastAsia="Times New Roman" w:cs="Arial"/>
              </w:rPr>
            </w:pPr>
            <w:r w:rsidRPr="00ED234A">
              <w:rPr>
                <w:lang w:val="en-US"/>
              </w:rPr>
              <w:t>CYP</w:t>
            </w:r>
            <w:r w:rsidRPr="00ED234A">
              <w:rPr>
                <w:lang w:val="ru-RU"/>
              </w:rPr>
              <w:t>1</w:t>
            </w:r>
            <w:r w:rsidRPr="00ED234A">
              <w:t>А2 инхибитори (напр.</w:t>
            </w:r>
            <w:r>
              <w:t xml:space="preserve"> флувоксамин, кофеин, ципрофлоксацин)</w:t>
            </w:r>
          </w:p>
        </w:tc>
        <w:tc>
          <w:tcPr>
            <w:tcW w:w="3192" w:type="dxa"/>
          </w:tcPr>
          <w:p w14:paraId="6AA954A4" w14:textId="1CFF1649" w:rsidR="00ED234A" w:rsidRPr="00ED234A" w:rsidRDefault="00ED234A" w:rsidP="00ED234A">
            <w:pPr>
              <w:rPr>
                <w:rFonts w:ascii="Times New Roman" w:eastAsia="Times New Roman" w:hAnsi="Times New Roman" w:cs="Times New Roman"/>
                <w:sz w:val="24"/>
                <w:szCs w:val="24"/>
              </w:rPr>
            </w:pPr>
            <w:r w:rsidRPr="00ED234A">
              <w:t>При едновременно</w:t>
            </w:r>
            <w:r w:rsidRPr="00ED234A">
              <w:rPr>
                <w:lang w:val="ru-RU"/>
              </w:rPr>
              <w:t xml:space="preserve"> </w:t>
            </w:r>
            <w:r w:rsidRPr="00ED234A">
              <w:rPr>
                <w:lang w:eastAsia="bg-BG"/>
              </w:rPr>
              <w:t>приложение е възможно повишаване нивата на клозапин.</w:t>
            </w:r>
          </w:p>
        </w:tc>
        <w:tc>
          <w:tcPr>
            <w:tcW w:w="3192" w:type="dxa"/>
          </w:tcPr>
          <w:p w14:paraId="75C6ADB6" w14:textId="77777777" w:rsidR="00ED234A" w:rsidRDefault="00ED234A" w:rsidP="00ED234A">
            <w:pPr>
              <w:spacing w:line="240" w:lineRule="auto"/>
            </w:pPr>
            <w:r w:rsidRPr="00ED234A">
              <w:t>Трябва да се има предвид</w:t>
            </w:r>
          </w:p>
          <w:p w14:paraId="4C4058C1" w14:textId="77777777" w:rsidR="00ED234A" w:rsidRPr="00ED234A" w:rsidRDefault="00ED234A" w:rsidP="00ED234A">
            <w:pPr>
              <w:rPr>
                <w:sz w:val="24"/>
                <w:szCs w:val="24"/>
              </w:rPr>
            </w:pPr>
            <w:r w:rsidRPr="00ED234A">
              <w:rPr>
                <w:lang w:eastAsia="bg-BG"/>
              </w:rPr>
              <w:t>възможността за увеличаване на нежелани реакции.</w:t>
            </w:r>
          </w:p>
          <w:p w14:paraId="7D2101C0" w14:textId="5B99D4A7" w:rsidR="00ED234A" w:rsidRPr="00ED234A" w:rsidRDefault="00ED234A" w:rsidP="00ED234A">
            <w:pPr>
              <w:rPr>
                <w:rFonts w:cs="Arial"/>
              </w:rPr>
            </w:pPr>
            <w:r w:rsidRPr="00ED234A">
              <w:rPr>
                <w:lang w:eastAsia="bg-BG"/>
              </w:rPr>
              <w:t xml:space="preserve">Необходимо е също така внимателно преустановяване на </w:t>
            </w:r>
            <w:r w:rsidRPr="00ED234A">
              <w:rPr>
                <w:lang w:eastAsia="bg-BG"/>
              </w:rPr>
              <w:lastRenderedPageBreak/>
              <w:t xml:space="preserve">употребата на едновременно приеманите </w:t>
            </w:r>
            <w:r w:rsidRPr="00ED234A">
              <w:rPr>
                <w:lang w:val="en-US"/>
              </w:rPr>
              <w:t>CYP</w:t>
            </w:r>
            <w:r w:rsidRPr="00ED234A">
              <w:rPr>
                <w:lang w:val="ru-RU"/>
              </w:rPr>
              <w:t>1</w:t>
            </w:r>
            <w:r w:rsidRPr="00ED234A">
              <w:rPr>
                <w:lang w:val="en-US"/>
              </w:rPr>
              <w:t>A</w:t>
            </w:r>
            <w:r w:rsidRPr="00ED234A">
              <w:rPr>
                <w:lang w:val="ru-RU"/>
              </w:rPr>
              <w:t xml:space="preserve">2 </w:t>
            </w:r>
            <w:r w:rsidRPr="00ED234A">
              <w:rPr>
                <w:lang w:eastAsia="bg-BG"/>
              </w:rPr>
              <w:t xml:space="preserve">инхибитори, поради намаляване нивата на </w:t>
            </w:r>
            <w:r w:rsidRPr="00ED234A">
              <w:rPr>
                <w:u w:val="single"/>
                <w:lang w:eastAsia="bg-BG"/>
              </w:rPr>
              <w:t>клозапин.</w:t>
            </w:r>
          </w:p>
        </w:tc>
      </w:tr>
    </w:tbl>
    <w:p w14:paraId="2DAC6A65" w14:textId="77777777" w:rsidR="00CF0F16" w:rsidRPr="00CF0F16" w:rsidRDefault="00CF0F16" w:rsidP="00CF0F16">
      <w:pPr>
        <w:spacing w:line="240" w:lineRule="auto"/>
        <w:rPr>
          <w:rFonts w:eastAsia="Times New Roman" w:cs="Arial"/>
        </w:rPr>
      </w:pPr>
    </w:p>
    <w:p w14:paraId="519A6CA6" w14:textId="77777777" w:rsidR="00CF0F16" w:rsidRPr="00CF0F16" w:rsidRDefault="00CF0F16" w:rsidP="00CF0F16"/>
    <w:p w14:paraId="394A7584" w14:textId="37800421" w:rsidR="004F498A" w:rsidRDefault="002C50EE" w:rsidP="004A448E">
      <w:pPr>
        <w:pStyle w:val="Heading2"/>
      </w:pPr>
      <w:r>
        <w:t>4.6. Фертилитет, бременност и кърмене</w:t>
      </w:r>
    </w:p>
    <w:p w14:paraId="452B2A53" w14:textId="24037ECE" w:rsidR="00ED234A" w:rsidRDefault="00ED234A" w:rsidP="00ED234A"/>
    <w:p w14:paraId="480F36B8" w14:textId="77777777" w:rsidR="00ED234A" w:rsidRPr="00ED234A" w:rsidRDefault="00ED234A" w:rsidP="00ED234A">
      <w:pPr>
        <w:pStyle w:val="Heading3"/>
        <w:rPr>
          <w:rFonts w:eastAsia="Times New Roman"/>
          <w:b/>
        </w:rPr>
      </w:pPr>
      <w:r w:rsidRPr="00ED234A">
        <w:rPr>
          <w:rFonts w:eastAsia="Times New Roman"/>
          <w:b/>
          <w:lang w:eastAsia="bg-BG"/>
        </w:rPr>
        <w:t>Бременност</w:t>
      </w:r>
    </w:p>
    <w:p w14:paraId="0AB2F927"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Има ограничени клинични данни от употребата на клозапин при бременни жени.</w:t>
      </w:r>
    </w:p>
    <w:p w14:paraId="0F0D0B83"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Проучванията при животни не показват преки или непреки вредни ефекти, свързани с бременността, ембрионално/феталното развитие, раждането или постнаталното развитие (вж. точка 5.3).</w:t>
      </w:r>
    </w:p>
    <w:p w14:paraId="542C9956" w14:textId="77777777" w:rsidR="00ED234A" w:rsidRDefault="00ED234A" w:rsidP="00ED234A">
      <w:pPr>
        <w:spacing w:line="240" w:lineRule="auto"/>
        <w:rPr>
          <w:rFonts w:eastAsia="Times New Roman" w:cs="Arial"/>
          <w:color w:val="000000"/>
          <w:lang w:eastAsia="bg-BG"/>
        </w:rPr>
      </w:pPr>
    </w:p>
    <w:p w14:paraId="027F58DD" w14:textId="1FC498F4" w:rsidR="00ED234A" w:rsidRPr="00ED234A" w:rsidRDefault="00ED234A" w:rsidP="00ED234A">
      <w:pPr>
        <w:spacing w:line="240" w:lineRule="auto"/>
        <w:rPr>
          <w:rFonts w:eastAsia="Times New Roman" w:cs="Arial"/>
        </w:rPr>
      </w:pPr>
      <w:r w:rsidRPr="00ED234A">
        <w:rPr>
          <w:rFonts w:eastAsia="Times New Roman" w:cs="Arial"/>
          <w:color w:val="000000"/>
          <w:lang w:eastAsia="bg-BG"/>
        </w:rPr>
        <w:t>При новородени, които са били изложени на действието на антипсихотични лекарства (включително клозапин) по време на третия триместьр от бременността на майката, съществува риск от екстрапирамидни симптоми и/или симптоми на отнемане след раждане, които могат да варират по тежест и продължителност. Има съобщения за възбуда, хипертония, хипотония, тремор, сънливост, респираторен дистрес или нарушение на храненето. Тези новородени трябва да бъдат наблюдавани внимателно.</w:t>
      </w:r>
    </w:p>
    <w:p w14:paraId="740B77C9" w14:textId="77777777" w:rsidR="00ED234A" w:rsidRDefault="00ED234A" w:rsidP="00ED234A">
      <w:pPr>
        <w:spacing w:line="240" w:lineRule="auto"/>
        <w:rPr>
          <w:rFonts w:eastAsia="Times New Roman" w:cs="Arial"/>
          <w:color w:val="000000"/>
          <w:lang w:eastAsia="bg-BG"/>
        </w:rPr>
      </w:pPr>
    </w:p>
    <w:p w14:paraId="6A80D992" w14:textId="4E036A22" w:rsidR="00ED234A" w:rsidRPr="00ED234A" w:rsidRDefault="00ED234A" w:rsidP="00ED234A">
      <w:pPr>
        <w:spacing w:line="240" w:lineRule="auto"/>
        <w:rPr>
          <w:rFonts w:eastAsia="Times New Roman" w:cs="Arial"/>
        </w:rPr>
      </w:pPr>
      <w:r w:rsidRPr="00ED234A">
        <w:rPr>
          <w:rFonts w:eastAsia="Times New Roman" w:cs="Arial"/>
          <w:color w:val="000000"/>
          <w:lang w:eastAsia="bg-BG"/>
        </w:rPr>
        <w:t>Необходимо е повишено внимание при предписване на бременни жени.</w:t>
      </w:r>
    </w:p>
    <w:p w14:paraId="3A5DCF40" w14:textId="77777777" w:rsidR="00ED234A" w:rsidRDefault="00ED234A" w:rsidP="00ED234A">
      <w:pPr>
        <w:spacing w:line="240" w:lineRule="auto"/>
        <w:rPr>
          <w:rFonts w:eastAsia="Times New Roman" w:cs="Arial"/>
          <w:b/>
          <w:bCs/>
          <w:color w:val="000000"/>
          <w:lang w:eastAsia="bg-BG"/>
        </w:rPr>
      </w:pPr>
    </w:p>
    <w:p w14:paraId="6C279439" w14:textId="76FF4743" w:rsidR="00ED234A" w:rsidRPr="00ED234A" w:rsidRDefault="00ED234A" w:rsidP="00ED234A">
      <w:pPr>
        <w:pStyle w:val="Heading3"/>
        <w:rPr>
          <w:rFonts w:eastAsia="Times New Roman"/>
          <w:b/>
        </w:rPr>
      </w:pPr>
      <w:r w:rsidRPr="00ED234A">
        <w:rPr>
          <w:rFonts w:eastAsia="Times New Roman"/>
          <w:b/>
          <w:lang w:eastAsia="bg-BG"/>
        </w:rPr>
        <w:t>Кърмене</w:t>
      </w:r>
    </w:p>
    <w:p w14:paraId="456E4BEA"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Проучванията при животни предполагат, че клозапин се екскретира в кърмата и оказва влияние върху кърмачето; по тази причина, майките, приемащи клозапин не трябва да кърмят.</w:t>
      </w:r>
    </w:p>
    <w:p w14:paraId="4AC5F711" w14:textId="77777777" w:rsidR="00ED234A" w:rsidRDefault="00ED234A" w:rsidP="00ED234A">
      <w:pPr>
        <w:spacing w:line="240" w:lineRule="auto"/>
        <w:rPr>
          <w:rFonts w:eastAsia="Times New Roman" w:cs="Arial"/>
          <w:b/>
          <w:bCs/>
          <w:color w:val="000000"/>
          <w:lang w:eastAsia="bg-BG"/>
        </w:rPr>
      </w:pPr>
    </w:p>
    <w:p w14:paraId="33631791" w14:textId="3BE4921B"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Жени с детероден потенциал</w:t>
      </w:r>
    </w:p>
    <w:p w14:paraId="7B8BDB0E"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Възможно е възвръщане на редовната менструация в резултат на преминаване от лечение с други антипсихотици към терапия с клозапин. По тази причина трябва да се осигурят адекватни мерки за контрацепция при жени с детероден потенциал.</w:t>
      </w:r>
    </w:p>
    <w:p w14:paraId="352477B5" w14:textId="77777777" w:rsidR="00ED234A" w:rsidRPr="00ED234A" w:rsidRDefault="00ED234A" w:rsidP="00ED234A"/>
    <w:p w14:paraId="064DF1DE" w14:textId="27A4182D" w:rsidR="00CF77F7" w:rsidRDefault="002C50EE" w:rsidP="004A448E">
      <w:pPr>
        <w:pStyle w:val="Heading2"/>
      </w:pPr>
      <w:r>
        <w:t>4.7. Ефекти върху способността за шофиране и работа с машини</w:t>
      </w:r>
    </w:p>
    <w:p w14:paraId="5D403762" w14:textId="03999DEC" w:rsidR="00ED234A" w:rsidRDefault="00ED234A" w:rsidP="00ED234A"/>
    <w:p w14:paraId="69E82905" w14:textId="77777777" w:rsidR="00ED234A" w:rsidRPr="00ED234A" w:rsidRDefault="00ED234A" w:rsidP="00ED234A">
      <w:pPr>
        <w:rPr>
          <w:sz w:val="24"/>
          <w:szCs w:val="24"/>
        </w:rPr>
      </w:pPr>
      <w:r w:rsidRPr="00ED234A">
        <w:rPr>
          <w:lang w:eastAsia="bg-BG"/>
        </w:rPr>
        <w:t>Поради способността на клозапин да предизвиква седиране и да понижава прага на гърчовете, трябва да се избягват дейности като шофиране или работа с машини, особено в началните седмици на лечението.</w:t>
      </w:r>
    </w:p>
    <w:p w14:paraId="374C08C1" w14:textId="77777777" w:rsidR="00ED234A" w:rsidRPr="00ED234A" w:rsidRDefault="00ED234A" w:rsidP="00ED234A"/>
    <w:p w14:paraId="37A3FD9F" w14:textId="0A7A83E7" w:rsidR="00CF77F7" w:rsidRDefault="002C50EE" w:rsidP="004A448E">
      <w:pPr>
        <w:pStyle w:val="Heading2"/>
      </w:pPr>
      <w:r>
        <w:t>4.8. Нежелани лекарствени реакции</w:t>
      </w:r>
    </w:p>
    <w:p w14:paraId="1922FBA7" w14:textId="6E1CFB20" w:rsidR="00ED234A" w:rsidRDefault="00ED234A" w:rsidP="00ED234A"/>
    <w:p w14:paraId="37E11C0B" w14:textId="77777777" w:rsidR="00ED234A" w:rsidRPr="00ED234A" w:rsidRDefault="00ED234A" w:rsidP="00ED234A">
      <w:pPr>
        <w:spacing w:line="240" w:lineRule="auto"/>
        <w:rPr>
          <w:rFonts w:eastAsia="Times New Roman" w:cs="Arial"/>
        </w:rPr>
      </w:pPr>
      <w:r w:rsidRPr="00ED234A">
        <w:rPr>
          <w:rFonts w:eastAsia="Times New Roman" w:cs="Arial"/>
          <w:color w:val="000000"/>
          <w:u w:val="single"/>
          <w:lang w:eastAsia="bg-BG"/>
        </w:rPr>
        <w:t>Обобщение на профила на безопасност</w:t>
      </w:r>
    </w:p>
    <w:p w14:paraId="68DAE313" w14:textId="0A3D735C" w:rsidR="00ED234A" w:rsidRPr="00ED234A" w:rsidRDefault="00ED234A" w:rsidP="00ED234A">
      <w:pPr>
        <w:rPr>
          <w:rFonts w:eastAsia="Times New Roman" w:cs="Arial"/>
          <w:color w:val="000000"/>
          <w:lang w:eastAsia="bg-BG"/>
        </w:rPr>
      </w:pPr>
      <w:r w:rsidRPr="00ED234A">
        <w:rPr>
          <w:rFonts w:eastAsia="Times New Roman" w:cs="Arial"/>
          <w:color w:val="000000"/>
          <w:lang w:eastAsia="bg-BG"/>
        </w:rPr>
        <w:t xml:space="preserve">В по-толямата си част профилът на нежеланите реакции на клозапин е предсказуем, като се изхожда от фармакологичните му свойства. Важно изключение е тенденцията да предизвиква агранулоцитоза. (вж. точка 4.4). Поради този риск употребата му се ограничава до случаи на резистентна на лечение шизофрения и психоза, възникваща в </w:t>
      </w:r>
      <w:r w:rsidRPr="00ED234A">
        <w:rPr>
          <w:rFonts w:eastAsia="Times New Roman" w:cs="Arial"/>
          <w:color w:val="000000"/>
          <w:lang w:eastAsia="bg-BG"/>
        </w:rPr>
        <w:lastRenderedPageBreak/>
        <w:t>хода на болестта на Паркинсон, когато стандартното лечение е неуспешно. Макар и мониторирането на кръвните показатели да е основна част от грижите за пациентите приемащи клозапин, лекарят трябва да знае за останалите редки, но тежки нежелани реакции, които могат да се диагностицират в ранните етапи единствено чрез внимателно наблюдение и разпитване на пациента, за да се предотвратят морбидността и смъртността.</w:t>
      </w:r>
    </w:p>
    <w:p w14:paraId="727F4638" w14:textId="17B5BC38" w:rsidR="00ED234A" w:rsidRPr="00ED234A" w:rsidRDefault="00ED234A" w:rsidP="00ED234A">
      <w:pPr>
        <w:rPr>
          <w:rFonts w:eastAsia="Times New Roman" w:cs="Arial"/>
          <w:color w:val="000000"/>
          <w:lang w:eastAsia="bg-BG"/>
        </w:rPr>
      </w:pPr>
    </w:p>
    <w:p w14:paraId="1BFAE698" w14:textId="77777777" w:rsidR="00ED234A" w:rsidRDefault="00ED234A" w:rsidP="00ED234A">
      <w:pPr>
        <w:spacing w:line="240" w:lineRule="auto"/>
        <w:rPr>
          <w:rFonts w:eastAsia="Times New Roman" w:cs="Arial"/>
          <w:color w:val="000000"/>
          <w:lang w:eastAsia="bg-BG"/>
        </w:rPr>
      </w:pPr>
    </w:p>
    <w:p w14:paraId="66A67A45" w14:textId="7DA41D09" w:rsidR="00ED234A" w:rsidRPr="00ED234A" w:rsidRDefault="00ED234A" w:rsidP="00ED234A">
      <w:pPr>
        <w:spacing w:line="240" w:lineRule="auto"/>
        <w:rPr>
          <w:rFonts w:eastAsia="Times New Roman" w:cs="Arial"/>
        </w:rPr>
      </w:pPr>
      <w:r w:rsidRPr="00ED234A">
        <w:rPr>
          <w:rFonts w:eastAsia="Times New Roman" w:cs="Arial"/>
          <w:color w:val="000000"/>
          <w:lang w:eastAsia="bg-BG"/>
        </w:rPr>
        <w:t>Най-сериозните нежелани реакции при клозапин са агранулоцитоза, гърчове, сърдечно-съдови ефекти и втрисане (вж. точка 4.4).</w:t>
      </w:r>
    </w:p>
    <w:p w14:paraId="1BAD98B6" w14:textId="4AAF3EE6" w:rsidR="00ED234A" w:rsidRPr="00ED234A" w:rsidRDefault="00ED234A" w:rsidP="00ED234A">
      <w:pPr>
        <w:spacing w:line="240" w:lineRule="auto"/>
        <w:rPr>
          <w:rFonts w:eastAsia="Times New Roman" w:cs="Arial"/>
        </w:rPr>
      </w:pPr>
      <w:r w:rsidRPr="00ED234A">
        <w:rPr>
          <w:rFonts w:eastAsia="Times New Roman" w:cs="Arial"/>
          <w:color w:val="000000"/>
          <w:lang w:eastAsia="bg-BG"/>
        </w:rPr>
        <w:t>Най-честите нежелани реакции са сънливост/седация, замаяност, тахикардия, констипация и хиперсаливация.</w:t>
      </w:r>
    </w:p>
    <w:p w14:paraId="4568899E" w14:textId="77777777" w:rsidR="00ED234A" w:rsidRDefault="00ED234A" w:rsidP="00ED234A">
      <w:pPr>
        <w:spacing w:line="240" w:lineRule="auto"/>
        <w:rPr>
          <w:rFonts w:eastAsia="Times New Roman" w:cs="Arial"/>
          <w:color w:val="000000"/>
          <w:lang w:eastAsia="bg-BG"/>
        </w:rPr>
      </w:pPr>
    </w:p>
    <w:p w14:paraId="6DC84A51" w14:textId="400CC82F" w:rsidR="00ED234A" w:rsidRPr="00ED234A" w:rsidRDefault="00ED234A" w:rsidP="00ED234A">
      <w:pPr>
        <w:spacing w:line="240" w:lineRule="auto"/>
        <w:rPr>
          <w:rFonts w:eastAsia="Times New Roman" w:cs="Arial"/>
        </w:rPr>
      </w:pPr>
      <w:r w:rsidRPr="00ED234A">
        <w:rPr>
          <w:rFonts w:eastAsia="Times New Roman" w:cs="Arial"/>
          <w:color w:val="000000"/>
          <w:lang w:eastAsia="bg-BG"/>
        </w:rPr>
        <w:t>Данните показват вариращ процент на пациенти, лекувани с клозапин, които са прекъснали участието в клиничните изпитвания поради нежелано събитие (от 7,1 до 15,6%), като са включени само тези, които логично могат да се свържат с клозапин. По-честите причини за прекъсване на участието в клиничните изпитвания са били левкопения, сънливост, замаяност (изключвайки вертиго) и психотично разстройство.</w:t>
      </w:r>
    </w:p>
    <w:p w14:paraId="456FBF69" w14:textId="77777777" w:rsidR="00ED234A" w:rsidRDefault="00ED234A" w:rsidP="00ED234A">
      <w:pPr>
        <w:spacing w:line="240" w:lineRule="auto"/>
        <w:rPr>
          <w:rFonts w:eastAsia="Times New Roman" w:cs="Arial"/>
          <w:b/>
          <w:bCs/>
          <w:color w:val="000000"/>
          <w:lang w:eastAsia="bg-BG"/>
        </w:rPr>
      </w:pPr>
    </w:p>
    <w:p w14:paraId="37D7FB37" w14:textId="5674445E"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Нарушения на кръвта и лимфната система</w:t>
      </w:r>
    </w:p>
    <w:p w14:paraId="73CD3522"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Гранулоцитопенията и агранулоцитоза са риск, присъщ на лечението с клозапин. Въпреки че обикновено агранулоцитозата е обратима при спиране на лечението, тя може да доведе до сепсис и да се окаже фатална. Тъй като се налага незабавно спиране на лекарството, за да се предотврати развитието на животозастрашаваща агранулоцитоза, проследяването на броя на левкоцитите е задължително (вж. точка 4.4). В таблица 3 по-долу е обобщена определената честота на агранулоцитозата за всеки период от лечението с клозапин.</w:t>
      </w:r>
    </w:p>
    <w:p w14:paraId="39FC7B80" w14:textId="77777777" w:rsidR="00ED234A" w:rsidRDefault="00ED234A" w:rsidP="00ED234A">
      <w:pPr>
        <w:spacing w:line="240" w:lineRule="auto"/>
        <w:rPr>
          <w:rFonts w:eastAsia="Times New Roman" w:cs="Arial"/>
          <w:b/>
          <w:bCs/>
          <w:color w:val="000000"/>
          <w:lang w:eastAsia="bg-BG"/>
        </w:rPr>
      </w:pPr>
    </w:p>
    <w:p w14:paraId="227C567C" w14:textId="6B0F033F"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Таблица 3: Определена честота на агранулоцитозата</w:t>
      </w:r>
      <w:r w:rsidRPr="00ED234A">
        <w:rPr>
          <w:rFonts w:eastAsia="Times New Roman" w:cs="Arial"/>
          <w:b/>
          <w:bCs/>
          <w:color w:val="000000"/>
          <w:vertAlign w:val="superscript"/>
          <w:lang w:eastAsia="bg-BG"/>
        </w:rPr>
        <w:t>1</w:t>
      </w:r>
    </w:p>
    <w:tbl>
      <w:tblPr>
        <w:tblStyle w:val="TableGrid"/>
        <w:tblW w:w="0" w:type="auto"/>
        <w:tblLook w:val="04A0" w:firstRow="1" w:lastRow="0" w:firstColumn="1" w:lastColumn="0" w:noHBand="0" w:noVBand="1"/>
      </w:tblPr>
      <w:tblGrid>
        <w:gridCol w:w="4659"/>
        <w:gridCol w:w="4691"/>
      </w:tblGrid>
      <w:tr w:rsidR="00ED234A" w14:paraId="4E1DACFC" w14:textId="77777777" w:rsidTr="00ED234A">
        <w:tc>
          <w:tcPr>
            <w:tcW w:w="4788" w:type="dxa"/>
          </w:tcPr>
          <w:p w14:paraId="219DF498" w14:textId="4C329431" w:rsidR="00ED234A" w:rsidRPr="00ED234A" w:rsidRDefault="00ED234A" w:rsidP="00ED234A">
            <w:r w:rsidRPr="00ED234A">
              <w:rPr>
                <w:bCs/>
              </w:rPr>
              <w:t>Лечебен период</w:t>
            </w:r>
          </w:p>
        </w:tc>
        <w:tc>
          <w:tcPr>
            <w:tcW w:w="4788" w:type="dxa"/>
          </w:tcPr>
          <w:p w14:paraId="43BD3EC4" w14:textId="4B6BFFD4" w:rsidR="00ED234A" w:rsidRPr="00ED234A" w:rsidRDefault="00ED234A" w:rsidP="00ED234A">
            <w:r w:rsidRPr="00ED234A">
              <w:rPr>
                <w:bCs/>
              </w:rPr>
              <w:t>Честота на агранулоцитозата на 100 000 пациенто-седмици</w:t>
            </w:r>
            <w:r w:rsidRPr="00ED234A">
              <w:rPr>
                <w:bCs/>
                <w:vertAlign w:val="superscript"/>
              </w:rPr>
              <w:t>2</w:t>
            </w:r>
            <w:r w:rsidRPr="00ED234A">
              <w:rPr>
                <w:bCs/>
              </w:rPr>
              <w:t xml:space="preserve"> на наблюдение</w:t>
            </w:r>
          </w:p>
        </w:tc>
      </w:tr>
      <w:tr w:rsidR="00ED234A" w14:paraId="793C0DF2" w14:textId="77777777" w:rsidTr="00ED234A">
        <w:tc>
          <w:tcPr>
            <w:tcW w:w="4788" w:type="dxa"/>
          </w:tcPr>
          <w:p w14:paraId="638219D5" w14:textId="094254AA" w:rsidR="00ED234A" w:rsidRPr="00ED234A" w:rsidRDefault="00ED234A" w:rsidP="00ED234A">
            <w:r w:rsidRPr="00ED234A">
              <w:rPr>
                <w:bCs/>
              </w:rPr>
              <w:t>Седмици 0-18</w:t>
            </w:r>
          </w:p>
        </w:tc>
        <w:tc>
          <w:tcPr>
            <w:tcW w:w="4788" w:type="dxa"/>
          </w:tcPr>
          <w:p w14:paraId="1125FBDD" w14:textId="50B6BFC5" w:rsidR="00ED234A" w:rsidRPr="00ED234A" w:rsidRDefault="00ED234A" w:rsidP="00ED234A">
            <w:r w:rsidRPr="00ED234A">
              <w:rPr>
                <w:bCs/>
              </w:rPr>
              <w:t>32,0</w:t>
            </w:r>
          </w:p>
        </w:tc>
      </w:tr>
      <w:tr w:rsidR="00ED234A" w14:paraId="1E277AD7" w14:textId="77777777" w:rsidTr="00ED234A">
        <w:tc>
          <w:tcPr>
            <w:tcW w:w="4788" w:type="dxa"/>
          </w:tcPr>
          <w:p w14:paraId="0FEFF3C1" w14:textId="0DE7C362" w:rsidR="00ED234A" w:rsidRPr="00ED234A" w:rsidRDefault="00ED234A" w:rsidP="00ED234A">
            <w:r w:rsidRPr="00ED234A">
              <w:rPr>
                <w:bCs/>
              </w:rPr>
              <w:t>Седмици 19-52</w:t>
            </w:r>
          </w:p>
        </w:tc>
        <w:tc>
          <w:tcPr>
            <w:tcW w:w="4788" w:type="dxa"/>
          </w:tcPr>
          <w:p w14:paraId="0366E9E4" w14:textId="0F3F3FC6" w:rsidR="00ED234A" w:rsidRPr="00ED234A" w:rsidRDefault="00ED234A" w:rsidP="00ED234A">
            <w:r w:rsidRPr="00ED234A">
              <w:rPr>
                <w:bCs/>
              </w:rPr>
              <w:t>23</w:t>
            </w:r>
          </w:p>
        </w:tc>
      </w:tr>
      <w:tr w:rsidR="00ED234A" w14:paraId="38225536" w14:textId="77777777" w:rsidTr="00ED234A">
        <w:tc>
          <w:tcPr>
            <w:tcW w:w="4788" w:type="dxa"/>
          </w:tcPr>
          <w:p w14:paraId="6BA0479F" w14:textId="087E591D" w:rsidR="00ED234A" w:rsidRPr="00ED234A" w:rsidRDefault="00ED234A" w:rsidP="00ED234A">
            <w:r w:rsidRPr="00ED234A">
              <w:rPr>
                <w:bCs/>
              </w:rPr>
              <w:t>Седмици 53 и по-нататък</w:t>
            </w:r>
          </w:p>
        </w:tc>
        <w:tc>
          <w:tcPr>
            <w:tcW w:w="4788" w:type="dxa"/>
          </w:tcPr>
          <w:p w14:paraId="7EE87D78" w14:textId="722D5A44" w:rsidR="00ED234A" w:rsidRPr="00ED234A" w:rsidRDefault="00ED234A" w:rsidP="00ED234A">
            <w:r w:rsidRPr="00ED234A">
              <w:rPr>
                <w:bCs/>
              </w:rPr>
              <w:t>13</w:t>
            </w:r>
          </w:p>
        </w:tc>
      </w:tr>
    </w:tbl>
    <w:p w14:paraId="1836950D" w14:textId="14321513" w:rsidR="00ED234A" w:rsidRPr="00ED234A" w:rsidRDefault="00ED234A" w:rsidP="00ED234A">
      <w:pPr>
        <w:spacing w:line="240" w:lineRule="auto"/>
        <w:rPr>
          <w:rFonts w:eastAsia="Times New Roman" w:cs="Arial"/>
        </w:rPr>
      </w:pPr>
      <w:r w:rsidRPr="00ED234A">
        <w:rPr>
          <w:rFonts w:eastAsia="Times New Roman" w:cs="Arial"/>
          <w:color w:val="000000"/>
          <w:vertAlign w:val="superscript"/>
          <w:lang w:eastAsia="bg-BG"/>
        </w:rPr>
        <w:t>1</w:t>
      </w:r>
      <w:r w:rsidRPr="00ED234A">
        <w:rPr>
          <w:rFonts w:eastAsia="Times New Roman" w:cs="Arial"/>
          <w:color w:val="000000"/>
          <w:lang w:eastAsia="bg-BG"/>
        </w:rPr>
        <w:t xml:space="preserve">По данни от регистъра на преживяемостга на Британската службата за мониториране на пациенти, лекувани с </w:t>
      </w:r>
      <w:proofErr w:type="spellStart"/>
      <w:r w:rsidRPr="00ED234A">
        <w:rPr>
          <w:rFonts w:eastAsia="Times New Roman" w:cs="Arial"/>
          <w:color w:val="000000"/>
          <w:lang w:val="en-US"/>
        </w:rPr>
        <w:t>Clozaril</w:t>
      </w:r>
      <w:proofErr w:type="spellEnd"/>
      <w:r w:rsidRPr="00ED234A">
        <w:rPr>
          <w:rFonts w:eastAsia="Times New Roman" w:cs="Arial"/>
          <w:color w:val="000000"/>
          <w:lang w:val="ru-RU"/>
        </w:rPr>
        <w:t xml:space="preserve"> (</w:t>
      </w:r>
      <w:r w:rsidRPr="00ED234A">
        <w:rPr>
          <w:rFonts w:eastAsia="Times New Roman" w:cs="Arial"/>
          <w:color w:val="000000"/>
          <w:lang w:val="en-US"/>
        </w:rPr>
        <w:t>UK</w:t>
      </w:r>
      <w:r w:rsidRPr="00ED234A">
        <w:rPr>
          <w:rFonts w:eastAsia="Times New Roman" w:cs="Arial"/>
          <w:color w:val="000000"/>
          <w:lang w:val="ru-RU"/>
        </w:rPr>
        <w:t xml:space="preserve"> </w:t>
      </w:r>
      <w:proofErr w:type="spellStart"/>
      <w:r w:rsidRPr="00ED234A">
        <w:rPr>
          <w:rFonts w:eastAsia="Times New Roman" w:cs="Arial"/>
          <w:color w:val="000000"/>
          <w:lang w:val="en-US"/>
        </w:rPr>
        <w:t>Clozaril</w:t>
      </w:r>
      <w:proofErr w:type="spellEnd"/>
      <w:r w:rsidRPr="00ED234A">
        <w:rPr>
          <w:rFonts w:eastAsia="Times New Roman" w:cs="Arial"/>
          <w:color w:val="000000"/>
          <w:lang w:val="ru-RU"/>
        </w:rPr>
        <w:t xml:space="preserve"> </w:t>
      </w:r>
      <w:r w:rsidRPr="00ED234A">
        <w:rPr>
          <w:rFonts w:eastAsia="Times New Roman" w:cs="Arial"/>
          <w:color w:val="000000"/>
          <w:lang w:val="en-US"/>
        </w:rPr>
        <w:t>Patient</w:t>
      </w:r>
      <w:r w:rsidRPr="00ED234A">
        <w:rPr>
          <w:rFonts w:eastAsia="Times New Roman" w:cs="Arial"/>
          <w:color w:val="000000"/>
          <w:lang w:val="ru-RU"/>
        </w:rPr>
        <w:t xml:space="preserve"> </w:t>
      </w:r>
      <w:r w:rsidRPr="00ED234A">
        <w:rPr>
          <w:rFonts w:eastAsia="Times New Roman" w:cs="Arial"/>
          <w:color w:val="000000"/>
          <w:lang w:val="en-US"/>
        </w:rPr>
        <w:t>Monitoring</w:t>
      </w:r>
      <w:r w:rsidRPr="00ED234A">
        <w:rPr>
          <w:rFonts w:eastAsia="Times New Roman" w:cs="Arial"/>
          <w:color w:val="000000"/>
          <w:lang w:val="ru-RU"/>
        </w:rPr>
        <w:t xml:space="preserve"> </w:t>
      </w:r>
      <w:r w:rsidRPr="00ED234A">
        <w:rPr>
          <w:rFonts w:eastAsia="Times New Roman" w:cs="Arial"/>
          <w:color w:val="000000"/>
          <w:lang w:val="en-US"/>
        </w:rPr>
        <w:t>Service</w:t>
      </w:r>
      <w:r w:rsidRPr="00ED234A">
        <w:rPr>
          <w:rFonts w:eastAsia="Times New Roman" w:cs="Arial"/>
          <w:color w:val="000000"/>
          <w:lang w:val="ru-RU"/>
        </w:rPr>
        <w:t xml:space="preserve">) </w:t>
      </w:r>
      <w:r w:rsidRPr="00ED234A">
        <w:rPr>
          <w:rFonts w:eastAsia="Times New Roman" w:cs="Arial"/>
          <w:color w:val="000000"/>
          <w:lang w:eastAsia="bg-BG"/>
        </w:rPr>
        <w:t xml:space="preserve">между </w:t>
      </w:r>
      <w:r w:rsidRPr="00ED234A">
        <w:rPr>
          <w:rFonts w:eastAsia="Times New Roman" w:cs="Arial"/>
          <w:color w:val="000000"/>
          <w:lang w:val="ru-RU"/>
        </w:rPr>
        <w:t xml:space="preserve">1989 </w:t>
      </w:r>
      <w:r w:rsidRPr="00ED234A">
        <w:rPr>
          <w:rFonts w:eastAsia="Times New Roman" w:cs="Arial"/>
          <w:color w:val="000000"/>
          <w:lang w:eastAsia="bg-BG"/>
        </w:rPr>
        <w:t xml:space="preserve">и </w:t>
      </w:r>
      <w:r w:rsidRPr="00ED234A">
        <w:rPr>
          <w:rFonts w:eastAsia="Times New Roman" w:cs="Arial"/>
          <w:color w:val="000000"/>
          <w:lang w:val="ru-RU"/>
        </w:rPr>
        <w:t xml:space="preserve">2001 </w:t>
      </w:r>
      <w:r w:rsidRPr="00ED234A">
        <w:rPr>
          <w:rFonts w:eastAsia="Times New Roman" w:cs="Arial"/>
          <w:color w:val="000000"/>
          <w:lang w:eastAsia="bg-BG"/>
        </w:rPr>
        <w:t>г.</w:t>
      </w:r>
    </w:p>
    <w:p w14:paraId="0100DFDB" w14:textId="37E50266" w:rsidR="00ED234A" w:rsidRPr="00ED234A" w:rsidRDefault="00ED234A" w:rsidP="00ED234A">
      <w:pPr>
        <w:spacing w:line="240" w:lineRule="auto"/>
        <w:rPr>
          <w:rFonts w:eastAsia="Times New Roman" w:cs="Arial"/>
        </w:rPr>
      </w:pPr>
      <w:r w:rsidRPr="00ED234A">
        <w:rPr>
          <w:rFonts w:eastAsia="Times New Roman" w:cs="Arial"/>
          <w:color w:val="000000"/>
          <w:vertAlign w:val="superscript"/>
          <w:lang w:val="ru-RU"/>
        </w:rPr>
        <w:t>2</w:t>
      </w:r>
      <w:r w:rsidRPr="00ED234A">
        <w:rPr>
          <w:rFonts w:eastAsia="Times New Roman" w:cs="Arial"/>
          <w:color w:val="000000"/>
          <w:lang w:eastAsia="bg-BG"/>
        </w:rPr>
        <w:t>Пациенто-време е сумата от отделните единици за време, през които пациентите от регистъра са получавали клозапин преди да развият агранулоцитоза. Например, 100 000 пациенто-седмици могат да се наблюдават при 1 000 пациента, които са били в регистъра в продължение на 500 седмици (200*х500=100 000) преди да развият агранулоцитоза.</w:t>
      </w:r>
    </w:p>
    <w:p w14:paraId="3F316A57" w14:textId="77777777" w:rsidR="00ED234A" w:rsidRDefault="00ED234A" w:rsidP="00ED234A">
      <w:pPr>
        <w:spacing w:line="240" w:lineRule="auto"/>
        <w:rPr>
          <w:rFonts w:eastAsia="Times New Roman" w:cs="Arial"/>
          <w:color w:val="000000"/>
          <w:lang w:eastAsia="bg-BG"/>
        </w:rPr>
      </w:pPr>
    </w:p>
    <w:p w14:paraId="199876A7" w14:textId="605F32EC" w:rsidR="00ED234A" w:rsidRPr="00ED234A" w:rsidRDefault="00ED234A" w:rsidP="00ED234A">
      <w:pPr>
        <w:spacing w:line="240" w:lineRule="auto"/>
        <w:rPr>
          <w:rFonts w:eastAsia="Times New Roman" w:cs="Arial"/>
        </w:rPr>
      </w:pPr>
      <w:r w:rsidRPr="00ED234A">
        <w:rPr>
          <w:rFonts w:eastAsia="Times New Roman" w:cs="Arial"/>
          <w:color w:val="000000"/>
          <w:lang w:eastAsia="bg-BG"/>
        </w:rPr>
        <w:t xml:space="preserve">Кумулативната честота на агранулоцитозата по данни от регистъра на преживяемостга на Британската службата за мониториране на пациенти, лекувани с </w:t>
      </w:r>
      <w:proofErr w:type="spellStart"/>
      <w:r w:rsidRPr="00ED234A">
        <w:rPr>
          <w:rFonts w:eastAsia="Times New Roman" w:cs="Arial"/>
          <w:color w:val="000000"/>
          <w:lang w:val="en-US"/>
        </w:rPr>
        <w:t>Clozaril</w:t>
      </w:r>
      <w:proofErr w:type="spellEnd"/>
      <w:r w:rsidRPr="00ED234A">
        <w:rPr>
          <w:rFonts w:eastAsia="Times New Roman" w:cs="Arial"/>
          <w:color w:val="000000"/>
          <w:lang w:val="ru-RU"/>
        </w:rPr>
        <w:t xml:space="preserve"> (</w:t>
      </w:r>
      <w:r w:rsidRPr="00ED234A">
        <w:rPr>
          <w:rFonts w:eastAsia="Times New Roman" w:cs="Arial"/>
          <w:color w:val="000000"/>
          <w:lang w:val="en-US"/>
        </w:rPr>
        <w:t>UK</w:t>
      </w:r>
      <w:r w:rsidRPr="00ED234A">
        <w:rPr>
          <w:rFonts w:eastAsia="Times New Roman" w:cs="Arial"/>
          <w:color w:val="000000"/>
          <w:lang w:val="ru-RU"/>
        </w:rPr>
        <w:t xml:space="preserve"> </w:t>
      </w:r>
      <w:proofErr w:type="spellStart"/>
      <w:r w:rsidRPr="00ED234A">
        <w:rPr>
          <w:rFonts w:eastAsia="Times New Roman" w:cs="Arial"/>
          <w:color w:val="000000"/>
          <w:lang w:val="en-US"/>
        </w:rPr>
        <w:t>Clozaril</w:t>
      </w:r>
      <w:proofErr w:type="spellEnd"/>
      <w:r w:rsidRPr="00ED234A">
        <w:rPr>
          <w:rFonts w:eastAsia="Times New Roman" w:cs="Arial"/>
          <w:color w:val="000000"/>
          <w:lang w:val="ru-RU"/>
        </w:rPr>
        <w:t xml:space="preserve"> </w:t>
      </w:r>
      <w:r w:rsidRPr="00ED234A">
        <w:rPr>
          <w:rFonts w:eastAsia="Times New Roman" w:cs="Arial"/>
          <w:color w:val="000000"/>
          <w:lang w:val="en-US"/>
        </w:rPr>
        <w:t>Patient</w:t>
      </w:r>
      <w:r w:rsidRPr="00ED234A">
        <w:rPr>
          <w:rFonts w:eastAsia="Times New Roman" w:cs="Arial"/>
          <w:color w:val="000000"/>
          <w:lang w:val="ru-RU"/>
        </w:rPr>
        <w:t xml:space="preserve"> </w:t>
      </w:r>
      <w:r w:rsidRPr="00ED234A">
        <w:rPr>
          <w:rFonts w:eastAsia="Times New Roman" w:cs="Arial"/>
          <w:color w:val="000000"/>
          <w:lang w:val="en-US"/>
        </w:rPr>
        <w:t>Monitoring</w:t>
      </w:r>
      <w:r w:rsidRPr="00ED234A">
        <w:rPr>
          <w:rFonts w:eastAsia="Times New Roman" w:cs="Arial"/>
          <w:color w:val="000000"/>
          <w:lang w:val="ru-RU"/>
        </w:rPr>
        <w:t xml:space="preserve"> </w:t>
      </w:r>
      <w:r w:rsidRPr="00ED234A">
        <w:rPr>
          <w:rFonts w:eastAsia="Times New Roman" w:cs="Arial"/>
          <w:color w:val="000000"/>
          <w:lang w:val="en-US"/>
        </w:rPr>
        <w:t>Service</w:t>
      </w:r>
      <w:r w:rsidRPr="00ED234A">
        <w:rPr>
          <w:rFonts w:eastAsia="Times New Roman" w:cs="Arial"/>
          <w:color w:val="000000"/>
          <w:lang w:val="ru-RU"/>
        </w:rPr>
        <w:t xml:space="preserve">) (0-11,6 </w:t>
      </w:r>
      <w:r w:rsidRPr="00ED234A">
        <w:rPr>
          <w:rFonts w:eastAsia="Times New Roman" w:cs="Arial"/>
          <w:color w:val="000000"/>
          <w:lang w:eastAsia="bg-BG"/>
        </w:rPr>
        <w:t xml:space="preserve">години между </w:t>
      </w:r>
      <w:r w:rsidRPr="00ED234A">
        <w:rPr>
          <w:rFonts w:eastAsia="Times New Roman" w:cs="Arial"/>
          <w:color w:val="000000"/>
          <w:lang w:val="ru-RU"/>
        </w:rPr>
        <w:t xml:space="preserve">1989 </w:t>
      </w:r>
      <w:r w:rsidRPr="00ED234A">
        <w:rPr>
          <w:rFonts w:eastAsia="Times New Roman" w:cs="Arial"/>
          <w:color w:val="000000"/>
          <w:lang w:eastAsia="bg-BG"/>
        </w:rPr>
        <w:t xml:space="preserve">и </w:t>
      </w:r>
      <w:r w:rsidRPr="00ED234A">
        <w:rPr>
          <w:rFonts w:eastAsia="Times New Roman" w:cs="Arial"/>
          <w:color w:val="000000"/>
          <w:lang w:val="ru-RU"/>
        </w:rPr>
        <w:t xml:space="preserve">2001 </w:t>
      </w:r>
      <w:r w:rsidRPr="00ED234A">
        <w:rPr>
          <w:rFonts w:eastAsia="Times New Roman" w:cs="Arial"/>
          <w:color w:val="000000"/>
          <w:lang w:eastAsia="bg-BG"/>
        </w:rPr>
        <w:t>г.) е 0,78%. Повечето случаи (приблизително 70%) възникват през първите 18 седмици от лечението.</w:t>
      </w:r>
    </w:p>
    <w:p w14:paraId="7A7F157F" w14:textId="77777777" w:rsidR="00ED234A" w:rsidRDefault="00ED234A" w:rsidP="00ED234A">
      <w:pPr>
        <w:spacing w:line="240" w:lineRule="auto"/>
        <w:rPr>
          <w:rFonts w:eastAsia="Times New Roman" w:cs="Arial"/>
          <w:b/>
          <w:bCs/>
          <w:color w:val="000000"/>
          <w:lang w:eastAsia="bg-BG"/>
        </w:rPr>
      </w:pPr>
    </w:p>
    <w:p w14:paraId="090CB0F3" w14:textId="65C966F1"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Нарушения на метаболизма и храненето</w:t>
      </w:r>
    </w:p>
    <w:p w14:paraId="46ED15CF"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 xml:space="preserve">Рядко се съобщава за нарушен глюкозен толеранс и/или развитие, или влошаване на захарен диабет при лечение с клозапин. В много редки случаи се съобщава за тежка хипергликемия, понякога водеща до кетоацидоза/хиперосмоларна кома при пациенти на </w:t>
      </w:r>
      <w:r w:rsidRPr="00ED234A">
        <w:rPr>
          <w:rFonts w:eastAsia="Times New Roman" w:cs="Arial"/>
          <w:color w:val="000000"/>
          <w:lang w:eastAsia="bg-BG"/>
        </w:rPr>
        <w:lastRenderedPageBreak/>
        <w:t>лечение с клозапин без предхождаща анамнеза за хипергликемия.При повечето пациенти нивата на кръвната захар се нормализират след спиране приема на клозапин, а в малък брой случаи хипергликемията се възобновява след повторно започване на лечение. Въпреки че при повечето пациенти са били налице рискови фактори за инсулино независим захарен диабет, хипергликемия е отбелязана и при пациенти без известни рискови фактори (вж. точка 4.4).</w:t>
      </w:r>
    </w:p>
    <w:p w14:paraId="61498AF5" w14:textId="77777777" w:rsidR="00ED234A" w:rsidRDefault="00ED234A" w:rsidP="00ED234A">
      <w:pPr>
        <w:spacing w:line="240" w:lineRule="auto"/>
        <w:rPr>
          <w:rFonts w:eastAsia="Times New Roman" w:cs="Arial"/>
          <w:b/>
          <w:bCs/>
          <w:color w:val="000000"/>
          <w:lang w:eastAsia="bg-BG"/>
        </w:rPr>
      </w:pPr>
    </w:p>
    <w:p w14:paraId="106A78E3" w14:textId="7868A331"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Нарушения на нервната система</w:t>
      </w:r>
    </w:p>
    <w:p w14:paraId="5FAC4D9E"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Най-честите нежелани реакции включват сънливост/седиране и замаяност.</w:t>
      </w:r>
    </w:p>
    <w:p w14:paraId="7B111B6E" w14:textId="77777777" w:rsidR="00ED234A" w:rsidRDefault="00ED234A" w:rsidP="00ED234A">
      <w:pPr>
        <w:spacing w:line="240" w:lineRule="auto"/>
        <w:rPr>
          <w:rFonts w:eastAsia="Times New Roman" w:cs="Arial"/>
          <w:color w:val="000000"/>
          <w:lang w:eastAsia="bg-BG"/>
        </w:rPr>
      </w:pPr>
    </w:p>
    <w:p w14:paraId="73864043" w14:textId="77777777" w:rsidR="00ED234A" w:rsidRPr="00ED234A" w:rsidRDefault="00ED234A" w:rsidP="00ED234A">
      <w:pPr>
        <w:rPr>
          <w:rFonts w:eastAsia="Times New Roman" w:cs="Arial"/>
        </w:rPr>
      </w:pPr>
      <w:r w:rsidRPr="00ED234A">
        <w:rPr>
          <w:rFonts w:eastAsia="Times New Roman" w:cs="Arial"/>
          <w:color w:val="000000"/>
          <w:lang w:eastAsia="bg-BG"/>
        </w:rPr>
        <w:t>Клозапин може да причини ЕЕГ промени, включително поява на комплекси от зъбци и вълни</w:t>
      </w:r>
      <w:r w:rsidRPr="00ED234A">
        <w:rPr>
          <w:rFonts w:eastAsia="Times New Roman" w:cs="Arial"/>
          <w:color w:val="000000"/>
          <w:lang w:val="ru-RU" w:eastAsia="bg-BG"/>
        </w:rPr>
        <w:t>.</w:t>
      </w:r>
      <w:r w:rsidRPr="00ED234A">
        <w:rPr>
          <w:rFonts w:eastAsia="Times New Roman" w:cs="Arial"/>
          <w:lang w:val="ru-RU"/>
        </w:rPr>
        <w:t xml:space="preserve"> </w:t>
      </w:r>
      <w:r w:rsidRPr="00ED234A">
        <w:rPr>
          <w:rFonts w:eastAsia="Times New Roman" w:cs="Arial"/>
          <w:color w:val="000000"/>
          <w:lang w:eastAsia="bg-BG"/>
        </w:rPr>
        <w:t>Той понижава гърчовия праг по дозозависим механизъм и може да предизвика миоклонични или генерализирани гърчове. По-голяма е вероятността за поява на тези симптоми при бързо</w:t>
      </w:r>
      <w:r w:rsidRPr="00ED234A">
        <w:rPr>
          <w:rFonts w:eastAsia="Times New Roman" w:cs="Arial"/>
          <w:color w:val="000000"/>
          <w:lang w:val="ru-RU" w:eastAsia="bg-BG"/>
        </w:rPr>
        <w:t xml:space="preserve"> </w:t>
      </w:r>
      <w:r w:rsidRPr="00ED234A">
        <w:rPr>
          <w:rFonts w:eastAsia="Times New Roman" w:cs="Arial"/>
          <w:color w:val="000000"/>
          <w:lang w:eastAsia="bg-BG"/>
        </w:rPr>
        <w:t>повишаване на дозата и при пациенти с предхождаща епилепсия. В такива случаи дозата трябва да се понижи и, ако е необходимо, да се започне антиконвулсивно лечение. Трябва да се избягва прилагане на карбамазепин, поради неговия потенциал за потискане функцията на костния мозък, а за останалите антиконвулсивни лекарства трябва да се има предвид възможността за фармакокинетични взаимодействия. В редки случаи, пациентите лекувани с клозапин могат да изпаднат в делир.</w:t>
      </w:r>
    </w:p>
    <w:p w14:paraId="39A05BDE" w14:textId="77777777" w:rsidR="00ED234A" w:rsidRDefault="00ED234A" w:rsidP="00ED234A">
      <w:pPr>
        <w:spacing w:line="240" w:lineRule="auto"/>
        <w:rPr>
          <w:rFonts w:eastAsia="Times New Roman" w:cs="Arial"/>
          <w:color w:val="000000"/>
          <w:lang w:eastAsia="bg-BG"/>
        </w:rPr>
      </w:pPr>
    </w:p>
    <w:p w14:paraId="005C43E1" w14:textId="3F9E5E9C" w:rsidR="00ED234A" w:rsidRPr="00ED234A" w:rsidRDefault="00ED234A" w:rsidP="00ED234A">
      <w:pPr>
        <w:spacing w:line="240" w:lineRule="auto"/>
        <w:rPr>
          <w:rFonts w:eastAsia="Times New Roman" w:cs="Arial"/>
        </w:rPr>
      </w:pPr>
      <w:r w:rsidRPr="00ED234A">
        <w:rPr>
          <w:rFonts w:eastAsia="Times New Roman" w:cs="Arial"/>
          <w:color w:val="000000"/>
          <w:lang w:eastAsia="bg-BG"/>
        </w:rPr>
        <w:t>Много рядко се съобщава за случаи на късна дискинезия при пациенти на лечение с клозапин, които са били лекувани с други антипсихотични лекарства. Пациентите, при които е отбелязана късна дискинезия при лечение с други антипсихотици са получили подобрение по време на терапията с клозапин.</w:t>
      </w:r>
    </w:p>
    <w:p w14:paraId="57B06582" w14:textId="77777777" w:rsidR="00ED234A" w:rsidRDefault="00ED234A" w:rsidP="00ED234A">
      <w:pPr>
        <w:spacing w:line="240" w:lineRule="auto"/>
        <w:rPr>
          <w:rFonts w:eastAsia="Times New Roman" w:cs="Arial"/>
          <w:b/>
          <w:bCs/>
          <w:color w:val="000000"/>
          <w:lang w:eastAsia="bg-BG"/>
        </w:rPr>
      </w:pPr>
    </w:p>
    <w:p w14:paraId="6EA4B3D3" w14:textId="57F11B47"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Сърдечни нарушения</w:t>
      </w:r>
    </w:p>
    <w:p w14:paraId="3F93A27C"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Може да се появят тахикардия и ортостатична хипотония с или без синкоп, особено през първите седмици на лечението. Честотата и тежестта на хипотонията зависят от скоростта и степента на увеличаване при титриране на дозата. При лечение с клозапин се съобщава за циркулаторен колапс в резултат на тежка хипотония, свързана по-специално с агресивно титриране на дозата, с възможни тежки последствия като спиране на сърдечната дейност или дишането.</w:t>
      </w:r>
    </w:p>
    <w:p w14:paraId="3203A5C5" w14:textId="77777777" w:rsidR="00ED234A" w:rsidRDefault="00ED234A" w:rsidP="00ED234A">
      <w:pPr>
        <w:spacing w:line="240" w:lineRule="auto"/>
        <w:rPr>
          <w:rFonts w:eastAsia="Times New Roman" w:cs="Arial"/>
          <w:color w:val="000000"/>
          <w:lang w:eastAsia="bg-BG"/>
        </w:rPr>
      </w:pPr>
    </w:p>
    <w:p w14:paraId="1DCD4870" w14:textId="25330997" w:rsidR="00ED234A" w:rsidRPr="00ED234A" w:rsidRDefault="00ED234A" w:rsidP="00ED234A">
      <w:pPr>
        <w:spacing w:line="240" w:lineRule="auto"/>
        <w:rPr>
          <w:rFonts w:eastAsia="Times New Roman" w:cs="Arial"/>
        </w:rPr>
      </w:pPr>
      <w:r w:rsidRPr="00ED234A">
        <w:rPr>
          <w:rFonts w:eastAsia="Times New Roman" w:cs="Arial"/>
          <w:color w:val="000000"/>
          <w:lang w:eastAsia="bg-BG"/>
        </w:rPr>
        <w:t xml:space="preserve">Малка част от лекуваните с клозапин пациенти получават ЕКГ промени, сходни с тези, наблюдавани при други антипсихотични средства, включително депресия на </w:t>
      </w:r>
      <w:r w:rsidRPr="00ED234A">
        <w:rPr>
          <w:rFonts w:eastAsia="Times New Roman" w:cs="Arial"/>
          <w:color w:val="000000"/>
          <w:lang w:val="en-US"/>
        </w:rPr>
        <w:t>S</w:t>
      </w:r>
      <w:r w:rsidRPr="00ED234A">
        <w:rPr>
          <w:rFonts w:eastAsia="Times New Roman" w:cs="Arial"/>
          <w:color w:val="000000"/>
          <w:lang w:val="ru-RU"/>
        </w:rPr>
        <w:t>-</w:t>
      </w:r>
      <w:r w:rsidRPr="00ED234A">
        <w:rPr>
          <w:rFonts w:eastAsia="Times New Roman" w:cs="Arial"/>
          <w:color w:val="000000"/>
          <w:lang w:val="en-US"/>
        </w:rPr>
        <w:t>T</w:t>
      </w:r>
      <w:r w:rsidRPr="00ED234A">
        <w:rPr>
          <w:rFonts w:eastAsia="Times New Roman" w:cs="Arial"/>
          <w:color w:val="000000"/>
          <w:lang w:val="ru-RU"/>
        </w:rPr>
        <w:t xml:space="preserve"> </w:t>
      </w:r>
      <w:r w:rsidRPr="00ED234A">
        <w:rPr>
          <w:rFonts w:eastAsia="Times New Roman" w:cs="Arial"/>
          <w:color w:val="000000"/>
          <w:lang w:eastAsia="bg-BG"/>
        </w:rPr>
        <w:t>сегмента и поява на плоски, или обърнати Т вълни, които се нормализират след преустановяване приема на клозапин. Клиничното значение на тези прояви не е ясно. На тези отклонения трябва обаче да се обърне внимание, тъй като са наблюдавани при пациенти с миокардит.</w:t>
      </w:r>
    </w:p>
    <w:p w14:paraId="53EF5B76" w14:textId="77777777" w:rsidR="00ED234A" w:rsidRDefault="00ED234A" w:rsidP="00ED234A">
      <w:pPr>
        <w:spacing w:line="240" w:lineRule="auto"/>
        <w:rPr>
          <w:rFonts w:eastAsia="Times New Roman" w:cs="Arial"/>
          <w:color w:val="000000"/>
          <w:lang w:eastAsia="bg-BG"/>
        </w:rPr>
      </w:pPr>
    </w:p>
    <w:p w14:paraId="6760BEE9" w14:textId="50FB4E15" w:rsidR="00ED234A" w:rsidRPr="00ED234A" w:rsidRDefault="00ED234A" w:rsidP="00ED234A">
      <w:pPr>
        <w:spacing w:line="240" w:lineRule="auto"/>
        <w:rPr>
          <w:rFonts w:eastAsia="Times New Roman" w:cs="Arial"/>
        </w:rPr>
      </w:pPr>
      <w:r w:rsidRPr="00ED234A">
        <w:rPr>
          <w:rFonts w:eastAsia="Times New Roman" w:cs="Arial"/>
          <w:color w:val="000000"/>
          <w:lang w:eastAsia="bg-BG"/>
        </w:rPr>
        <w:t>Съобщава се за изолирани случаи на сърдечни аритмии, перикардит/перикардни изливи и миокардит, някои от които с фатален изход. Повечето от случаите на миокардит възникват през първите 2 месеца след започване на лечението с клозапин. По принцип кардиомиопатия се развива по-късно в хода на лечението.</w:t>
      </w:r>
    </w:p>
    <w:p w14:paraId="0161575A" w14:textId="77777777" w:rsidR="00ED234A" w:rsidRDefault="00ED234A" w:rsidP="00ED234A">
      <w:pPr>
        <w:spacing w:line="240" w:lineRule="auto"/>
        <w:rPr>
          <w:rFonts w:eastAsia="Times New Roman" w:cs="Arial"/>
          <w:color w:val="000000"/>
          <w:lang w:eastAsia="bg-BG"/>
        </w:rPr>
      </w:pPr>
    </w:p>
    <w:p w14:paraId="0588E2C4" w14:textId="2094A3EC" w:rsidR="00ED234A" w:rsidRPr="00ED234A" w:rsidRDefault="00ED234A" w:rsidP="00ED234A">
      <w:pPr>
        <w:spacing w:line="240" w:lineRule="auto"/>
        <w:rPr>
          <w:rFonts w:eastAsia="Times New Roman" w:cs="Arial"/>
        </w:rPr>
      </w:pPr>
      <w:r w:rsidRPr="00ED234A">
        <w:rPr>
          <w:rFonts w:eastAsia="Times New Roman" w:cs="Arial"/>
          <w:color w:val="000000"/>
          <w:lang w:eastAsia="bg-BG"/>
        </w:rPr>
        <w:t>При някои случаи на миокардит (приблизително 14%) и перикардит/перикарден излив се съобщава и за поява на еозинофилия; не е известно, обаче, дали еозинофилията предсказва надеждно развитието на кардит.</w:t>
      </w:r>
    </w:p>
    <w:p w14:paraId="2F5FAB30" w14:textId="77777777" w:rsidR="00ED234A" w:rsidRDefault="00ED234A" w:rsidP="00ED234A">
      <w:pPr>
        <w:spacing w:line="240" w:lineRule="auto"/>
        <w:rPr>
          <w:rFonts w:eastAsia="Times New Roman" w:cs="Arial"/>
          <w:color w:val="000000"/>
          <w:lang w:eastAsia="bg-BG"/>
        </w:rPr>
      </w:pPr>
    </w:p>
    <w:p w14:paraId="6F701ED1" w14:textId="0E60B72B" w:rsidR="00ED234A" w:rsidRPr="00ED234A" w:rsidRDefault="00ED234A" w:rsidP="00ED234A">
      <w:pPr>
        <w:spacing w:line="240" w:lineRule="auto"/>
        <w:rPr>
          <w:rFonts w:eastAsia="Times New Roman" w:cs="Arial"/>
        </w:rPr>
      </w:pPr>
      <w:r w:rsidRPr="00ED234A">
        <w:rPr>
          <w:rFonts w:eastAsia="Times New Roman" w:cs="Arial"/>
          <w:color w:val="000000"/>
          <w:lang w:eastAsia="bg-BG"/>
        </w:rPr>
        <w:lastRenderedPageBreak/>
        <w:t>Признаците и симптомите на миокардит или кардиомиопатия включват персистираща тахикардия в покой, палпитации, аритмии, гръдна болка и други признаци и симптоми на сърдечна недостатъчност (напр. необяснима умора, диспнея, тахипнея), или симптоми, които наподобяват миокарден инфаркт. Други симптоми, които могат да са налице в допълнение на горните включват грипоподобни симптоми.</w:t>
      </w:r>
    </w:p>
    <w:p w14:paraId="53312978" w14:textId="77777777" w:rsidR="00ED234A" w:rsidRDefault="00ED234A" w:rsidP="00ED234A">
      <w:pPr>
        <w:spacing w:line="240" w:lineRule="auto"/>
        <w:rPr>
          <w:rFonts w:eastAsia="Times New Roman" w:cs="Arial"/>
          <w:color w:val="000000"/>
          <w:lang w:eastAsia="bg-BG"/>
        </w:rPr>
      </w:pPr>
    </w:p>
    <w:p w14:paraId="3B5B18CF" w14:textId="0437291E" w:rsidR="00ED234A" w:rsidRPr="00ED234A" w:rsidRDefault="00ED234A" w:rsidP="00ED234A">
      <w:pPr>
        <w:spacing w:line="240" w:lineRule="auto"/>
        <w:rPr>
          <w:rFonts w:eastAsia="Times New Roman" w:cs="Arial"/>
        </w:rPr>
      </w:pPr>
      <w:r w:rsidRPr="00ED234A">
        <w:rPr>
          <w:rFonts w:eastAsia="Times New Roman" w:cs="Arial"/>
          <w:color w:val="000000"/>
          <w:lang w:eastAsia="bg-BG"/>
        </w:rPr>
        <w:t>Известни са случаи на внезапна, необяснена смърт сред психиатрични пациенти, получаващи конвенционални антипсихотични лекарства, както и сред нелекувани психиатрични пациенти. Много рядко се съобщава за подобни смъртни случаи при пациенти, третирани с клозапин.</w:t>
      </w:r>
    </w:p>
    <w:p w14:paraId="3DAEABCF" w14:textId="77777777" w:rsidR="00ED234A" w:rsidRDefault="00ED234A" w:rsidP="00ED234A">
      <w:pPr>
        <w:spacing w:line="240" w:lineRule="auto"/>
        <w:rPr>
          <w:rFonts w:eastAsia="Times New Roman" w:cs="Arial"/>
          <w:b/>
          <w:bCs/>
          <w:color w:val="000000"/>
          <w:lang w:eastAsia="bg-BG"/>
        </w:rPr>
      </w:pPr>
    </w:p>
    <w:p w14:paraId="30D391CB" w14:textId="2010C051"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Съдови нарушения</w:t>
      </w:r>
    </w:p>
    <w:p w14:paraId="3F8CF55C"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Съобщава се за редки случаи на тромбоемболизъм.</w:t>
      </w:r>
    </w:p>
    <w:p w14:paraId="7167FABD" w14:textId="77777777" w:rsidR="00ED234A" w:rsidRDefault="00ED234A" w:rsidP="00ED234A">
      <w:pPr>
        <w:spacing w:line="240" w:lineRule="auto"/>
        <w:rPr>
          <w:rFonts w:eastAsia="Times New Roman" w:cs="Arial"/>
          <w:color w:val="000000"/>
          <w:lang w:eastAsia="bg-BG"/>
        </w:rPr>
      </w:pPr>
    </w:p>
    <w:p w14:paraId="1DAD9162" w14:textId="7101E981" w:rsidR="00ED234A" w:rsidRPr="00ED234A" w:rsidRDefault="00ED234A" w:rsidP="00ED234A">
      <w:pPr>
        <w:spacing w:line="240" w:lineRule="auto"/>
        <w:rPr>
          <w:rFonts w:eastAsia="Times New Roman" w:cs="Arial"/>
        </w:rPr>
      </w:pPr>
      <w:r w:rsidRPr="00ED234A">
        <w:rPr>
          <w:rFonts w:eastAsia="Times New Roman" w:cs="Arial"/>
          <w:color w:val="000000"/>
          <w:lang w:eastAsia="bg-BG"/>
        </w:rPr>
        <w:t>При употреба на антипсихотични средства се отбелязват случаи на венозен тромбоемболизъм, включително белодробен емболизъм и дълбока венозна тромбоза - с неизвестна честота.</w:t>
      </w:r>
    </w:p>
    <w:p w14:paraId="6C3F2A4F" w14:textId="77777777" w:rsidR="00ED234A" w:rsidRDefault="00ED234A" w:rsidP="00ED234A">
      <w:pPr>
        <w:spacing w:line="240" w:lineRule="auto"/>
        <w:rPr>
          <w:rFonts w:eastAsia="Times New Roman" w:cs="Arial"/>
          <w:b/>
          <w:bCs/>
          <w:color w:val="000000"/>
          <w:lang w:eastAsia="bg-BG"/>
        </w:rPr>
      </w:pPr>
    </w:p>
    <w:p w14:paraId="26AF109B" w14:textId="3D0B0EAF"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Респираторни, гръдни и медиастинални нарушения</w:t>
      </w:r>
    </w:p>
    <w:p w14:paraId="2A6C6B7D" w14:textId="251CC009" w:rsidR="00ED234A" w:rsidRPr="00ED234A" w:rsidRDefault="00ED234A" w:rsidP="00ED234A">
      <w:pPr>
        <w:spacing w:line="240" w:lineRule="auto"/>
        <w:rPr>
          <w:rFonts w:eastAsia="Times New Roman" w:cs="Arial"/>
          <w:lang w:val="ru-RU"/>
        </w:rPr>
      </w:pPr>
      <w:r w:rsidRPr="00ED234A">
        <w:rPr>
          <w:rFonts w:eastAsia="Times New Roman" w:cs="Arial"/>
          <w:color w:val="000000"/>
          <w:lang w:eastAsia="bg-BG"/>
        </w:rPr>
        <w:t>Много рядко възникват потискане или спиране на дишането, с или без циркулаторен колапс (вж. точки 4.4 и 4.5).</w:t>
      </w:r>
    </w:p>
    <w:p w14:paraId="32027D25" w14:textId="4E4717A1" w:rsidR="00ED234A" w:rsidRDefault="00ED234A" w:rsidP="00ED234A"/>
    <w:p w14:paraId="16EE827E" w14:textId="77777777"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Стомашно-чревни нарушения</w:t>
      </w:r>
    </w:p>
    <w:p w14:paraId="5710C8CE"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Много често се наблюдават запек и хиперсаливация, а често гадене и повръщане. Много рядко може да се развие илеус (вж, точка 4.4). В редки случаи лечението с клозапин може да е свързано с дисфагия. Може да се стигне до аспирация на приетата храна при пациенти с дисфагия или вследствие на остро предозиране.</w:t>
      </w:r>
    </w:p>
    <w:p w14:paraId="3A5388F7" w14:textId="77777777" w:rsidR="00ED234A" w:rsidRDefault="00ED234A" w:rsidP="00ED234A">
      <w:pPr>
        <w:spacing w:line="240" w:lineRule="auto"/>
        <w:rPr>
          <w:rFonts w:eastAsia="Times New Roman" w:cs="Arial"/>
          <w:b/>
          <w:bCs/>
          <w:color w:val="000000"/>
          <w:lang w:eastAsia="bg-BG"/>
        </w:rPr>
      </w:pPr>
    </w:p>
    <w:p w14:paraId="39F4670B" w14:textId="5C9AD112"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Хепатобилиарни нарушения</w:t>
      </w:r>
    </w:p>
    <w:p w14:paraId="7021F386"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Възможна е поява на преходни, асимптомни повишения на чернодробните ензими и рядко хепатит и холестатична жълтеница. Много рядко се съобщава за фулминантна чернодробна некроза. При поява на жълтеница, лечението с клозапин трябва да се преустанови (вж. точка 4.4). В редки случаи се съобщава за остър панкреатит.</w:t>
      </w:r>
    </w:p>
    <w:p w14:paraId="4F90804B" w14:textId="77777777" w:rsidR="00ED234A" w:rsidRDefault="00ED234A" w:rsidP="00ED234A">
      <w:pPr>
        <w:spacing w:line="240" w:lineRule="auto"/>
        <w:rPr>
          <w:rFonts w:eastAsia="Times New Roman" w:cs="Arial"/>
          <w:b/>
          <w:bCs/>
          <w:color w:val="000000"/>
          <w:lang w:eastAsia="bg-BG"/>
        </w:rPr>
      </w:pPr>
    </w:p>
    <w:p w14:paraId="61885669" w14:textId="31BA3503"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Нарушения на бъбреците и пикочните пътища</w:t>
      </w:r>
    </w:p>
    <w:p w14:paraId="4667E85D"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Съобщава се за единични случаи на остър интерстициален нефрит, свързан с лечението с клозапин.</w:t>
      </w:r>
    </w:p>
    <w:p w14:paraId="2B9F6AA4" w14:textId="77777777" w:rsidR="00ED234A" w:rsidRDefault="00ED234A" w:rsidP="00ED234A">
      <w:pPr>
        <w:spacing w:line="240" w:lineRule="auto"/>
        <w:rPr>
          <w:rFonts w:eastAsia="Times New Roman" w:cs="Arial"/>
          <w:b/>
          <w:bCs/>
          <w:color w:val="000000"/>
          <w:lang w:eastAsia="bg-BG"/>
        </w:rPr>
      </w:pPr>
    </w:p>
    <w:p w14:paraId="1B4A190B" w14:textId="75968CAB"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Нарушения на възпроизводителната система и гърдата</w:t>
      </w:r>
    </w:p>
    <w:p w14:paraId="04AF8BFF"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Има много редки съобщения за случаи на приапизъм.</w:t>
      </w:r>
    </w:p>
    <w:p w14:paraId="0CDCB2B8" w14:textId="77777777" w:rsidR="00ED234A" w:rsidRDefault="00ED234A" w:rsidP="00ED234A">
      <w:pPr>
        <w:spacing w:line="240" w:lineRule="auto"/>
        <w:rPr>
          <w:rFonts w:eastAsia="Times New Roman" w:cs="Arial"/>
          <w:b/>
          <w:bCs/>
          <w:color w:val="000000"/>
          <w:lang w:eastAsia="bg-BG"/>
        </w:rPr>
      </w:pPr>
    </w:p>
    <w:p w14:paraId="5D9A76AC" w14:textId="1DCAEC6C"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t>Общи нарушения</w:t>
      </w:r>
    </w:p>
    <w:p w14:paraId="09C797CD" w14:textId="77777777" w:rsidR="00ED234A" w:rsidRPr="00ED234A" w:rsidRDefault="00ED234A" w:rsidP="00ED234A">
      <w:pPr>
        <w:spacing w:line="240" w:lineRule="auto"/>
        <w:rPr>
          <w:rFonts w:eastAsia="Times New Roman" w:cs="Arial"/>
        </w:rPr>
      </w:pPr>
      <w:r w:rsidRPr="00ED234A">
        <w:rPr>
          <w:rFonts w:eastAsia="Times New Roman" w:cs="Arial"/>
          <w:color w:val="000000"/>
          <w:lang w:eastAsia="bg-BG"/>
        </w:rPr>
        <w:t>Съобщава се за случаи на малигнен невролептичен синдром (МНС) при пациенти, получаващи клозапин самостоятелно или в комбинация с литий, или други действащи на ЦНС лекарства.</w:t>
      </w:r>
    </w:p>
    <w:p w14:paraId="4B73F894" w14:textId="77777777" w:rsidR="00ED234A" w:rsidRDefault="00ED234A" w:rsidP="00ED234A">
      <w:pPr>
        <w:spacing w:line="240" w:lineRule="auto"/>
        <w:rPr>
          <w:rFonts w:eastAsia="Times New Roman" w:cs="Arial"/>
          <w:color w:val="000000"/>
          <w:lang w:eastAsia="bg-BG"/>
        </w:rPr>
      </w:pPr>
    </w:p>
    <w:p w14:paraId="49175BDA" w14:textId="09C0FB43" w:rsidR="00ED234A" w:rsidRPr="00ED234A" w:rsidRDefault="00ED234A" w:rsidP="00ED234A">
      <w:pPr>
        <w:spacing w:line="240" w:lineRule="auto"/>
        <w:rPr>
          <w:rFonts w:eastAsia="Times New Roman" w:cs="Arial"/>
        </w:rPr>
      </w:pPr>
      <w:r w:rsidRPr="00ED234A">
        <w:rPr>
          <w:rFonts w:eastAsia="Times New Roman" w:cs="Arial"/>
          <w:color w:val="000000"/>
          <w:lang w:eastAsia="bg-BG"/>
        </w:rPr>
        <w:t>Съобщава се за остри реакции при спиране на лечението (вж. точка 4.4).</w:t>
      </w:r>
    </w:p>
    <w:p w14:paraId="0FCDBACF" w14:textId="77777777" w:rsidR="00ED234A" w:rsidRDefault="00ED234A" w:rsidP="00ED234A">
      <w:pPr>
        <w:spacing w:line="240" w:lineRule="auto"/>
        <w:rPr>
          <w:rFonts w:eastAsia="Times New Roman" w:cs="Arial"/>
          <w:color w:val="000000"/>
          <w:lang w:eastAsia="bg-BG"/>
        </w:rPr>
      </w:pPr>
    </w:p>
    <w:p w14:paraId="202BA5DF" w14:textId="3B142B4B" w:rsidR="00ED234A" w:rsidRPr="00ED234A" w:rsidRDefault="00ED234A" w:rsidP="00ED234A">
      <w:pPr>
        <w:spacing w:line="240" w:lineRule="auto"/>
        <w:rPr>
          <w:rFonts w:eastAsia="Times New Roman" w:cs="Arial"/>
        </w:rPr>
      </w:pPr>
      <w:r w:rsidRPr="00ED234A">
        <w:rPr>
          <w:rFonts w:eastAsia="Times New Roman" w:cs="Arial"/>
          <w:color w:val="000000"/>
          <w:lang w:eastAsia="bg-BG"/>
        </w:rPr>
        <w:t>В таблицата по-долу (Таблица 4) са обобщени нежеланите реакции, събрани от спонтанни съобщения и по време на клинични проучвания.</w:t>
      </w:r>
    </w:p>
    <w:p w14:paraId="0984D143" w14:textId="77777777" w:rsidR="00ED234A" w:rsidRDefault="00ED234A" w:rsidP="00ED234A">
      <w:pPr>
        <w:spacing w:line="240" w:lineRule="auto"/>
        <w:rPr>
          <w:rFonts w:eastAsia="Times New Roman" w:cs="Arial"/>
          <w:b/>
          <w:bCs/>
          <w:color w:val="000000"/>
          <w:lang w:eastAsia="bg-BG"/>
        </w:rPr>
      </w:pPr>
    </w:p>
    <w:p w14:paraId="45871029" w14:textId="62845384" w:rsidR="00ED234A" w:rsidRPr="00ED234A" w:rsidRDefault="00ED234A" w:rsidP="00ED234A">
      <w:pPr>
        <w:spacing w:line="240" w:lineRule="auto"/>
        <w:rPr>
          <w:rFonts w:eastAsia="Times New Roman" w:cs="Arial"/>
        </w:rPr>
      </w:pPr>
      <w:r w:rsidRPr="00ED234A">
        <w:rPr>
          <w:rFonts w:eastAsia="Times New Roman" w:cs="Arial"/>
          <w:b/>
          <w:bCs/>
          <w:color w:val="000000"/>
          <w:lang w:eastAsia="bg-BG"/>
        </w:rPr>
        <w:lastRenderedPageBreak/>
        <w:t xml:space="preserve">Таблица 4: </w:t>
      </w:r>
      <w:r w:rsidRPr="00ED234A">
        <w:rPr>
          <w:rFonts w:eastAsia="Times New Roman" w:cs="Arial"/>
          <w:color w:val="000000"/>
          <w:lang w:eastAsia="bg-BG"/>
        </w:rPr>
        <w:t>Оценка на честотата на възникващи по време на лечението нежелани реакции от спонтанни съобщения и съобщения по време на клинични проучвания.</w:t>
      </w:r>
    </w:p>
    <w:p w14:paraId="6983DEEA" w14:textId="475CB6CE" w:rsidR="00ED234A" w:rsidRDefault="00ED234A" w:rsidP="00ED234A">
      <w:pPr>
        <w:spacing w:line="240" w:lineRule="auto"/>
        <w:rPr>
          <w:rFonts w:eastAsia="Times New Roman" w:cs="Arial"/>
          <w:color w:val="000000"/>
          <w:lang w:eastAsia="bg-BG"/>
        </w:rPr>
      </w:pPr>
      <w:r w:rsidRPr="00ED234A">
        <w:rPr>
          <w:rFonts w:eastAsia="Times New Roman" w:cs="Arial"/>
          <w:color w:val="000000"/>
          <w:lang w:eastAsia="bg-BG"/>
        </w:rPr>
        <w:t>Нежеланите реакции са групирани по честота, като е използвана следната конвенция: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tbl>
      <w:tblPr>
        <w:tblStyle w:val="TableGrid"/>
        <w:tblW w:w="0" w:type="auto"/>
        <w:tblLook w:val="04A0" w:firstRow="1" w:lastRow="0" w:firstColumn="1" w:lastColumn="0" w:noHBand="0" w:noVBand="1"/>
      </w:tblPr>
      <w:tblGrid>
        <w:gridCol w:w="9350"/>
      </w:tblGrid>
      <w:tr w:rsidR="00ED234A" w14:paraId="7BB28922" w14:textId="77777777" w:rsidTr="00ED234A">
        <w:tc>
          <w:tcPr>
            <w:tcW w:w="9576" w:type="dxa"/>
          </w:tcPr>
          <w:p w14:paraId="53746F7A" w14:textId="77777777" w:rsidR="00ED234A" w:rsidRPr="00ED234A" w:rsidRDefault="00ED234A" w:rsidP="00ED234A">
            <w:r w:rsidRPr="00ED234A">
              <w:rPr>
                <w:b/>
                <w:bCs/>
              </w:rPr>
              <w:t>Нарушения на кръвта и лимфната система</w:t>
            </w:r>
          </w:p>
          <w:p w14:paraId="34E57BE7" w14:textId="77777777" w:rsidR="00ED234A" w:rsidRPr="00ED234A" w:rsidRDefault="00ED234A" w:rsidP="00ED234A">
            <w:r w:rsidRPr="00ED234A">
              <w:t>Чести:</w:t>
            </w:r>
            <w:r w:rsidRPr="00ED234A">
              <w:tab/>
              <w:t>левкопения/понижен левкоцитен брой/неутропения, еозинофилия</w:t>
            </w:r>
          </w:p>
          <w:p w14:paraId="62CF2BED" w14:textId="77777777" w:rsidR="00ED234A" w:rsidRPr="00ED234A" w:rsidRDefault="00ED234A" w:rsidP="00ED234A">
            <w:r w:rsidRPr="00ED234A">
              <w:t>левкоцитоза</w:t>
            </w:r>
          </w:p>
          <w:p w14:paraId="40D5093A" w14:textId="6AD09C2F" w:rsidR="00ED234A" w:rsidRPr="00ED234A" w:rsidRDefault="00ED234A" w:rsidP="00ED234A">
            <w:r>
              <w:t xml:space="preserve">Нечести: </w:t>
            </w:r>
            <w:r w:rsidRPr="00ED234A">
              <w:t>агранулоцитоза</w:t>
            </w:r>
          </w:p>
          <w:p w14:paraId="47CFBFA6" w14:textId="77777777" w:rsidR="00ED234A" w:rsidRPr="00ED234A" w:rsidRDefault="00ED234A" w:rsidP="00ED234A">
            <w:r w:rsidRPr="00ED234A">
              <w:t>Редки:</w:t>
            </w:r>
            <w:r w:rsidRPr="00ED234A">
              <w:tab/>
              <w:t>анемия</w:t>
            </w:r>
          </w:p>
          <w:p w14:paraId="6AF95EB0" w14:textId="07F82B62" w:rsidR="00ED234A" w:rsidRPr="00ED234A" w:rsidRDefault="00ED234A" w:rsidP="00ED234A">
            <w:pPr>
              <w:spacing w:line="240" w:lineRule="auto"/>
              <w:rPr>
                <w:rFonts w:eastAsia="Times New Roman" w:cs="Arial"/>
              </w:rPr>
            </w:pPr>
            <w:r w:rsidRPr="00ED234A">
              <w:t>Много редки:</w:t>
            </w:r>
            <w:r w:rsidRPr="00ED234A">
              <w:tab/>
              <w:t>тромбоцитопения, тромбоцитемия</w:t>
            </w:r>
          </w:p>
        </w:tc>
      </w:tr>
      <w:tr w:rsidR="00ED234A" w14:paraId="45E7DEB6" w14:textId="77777777" w:rsidTr="00ED234A">
        <w:tc>
          <w:tcPr>
            <w:tcW w:w="9576" w:type="dxa"/>
            <w:vAlign w:val="center"/>
          </w:tcPr>
          <w:p w14:paraId="56A50D8A" w14:textId="77777777" w:rsidR="00ED234A" w:rsidRPr="00ED234A" w:rsidRDefault="00ED234A" w:rsidP="00ED234A">
            <w:r w:rsidRPr="00ED234A">
              <w:rPr>
                <w:b/>
                <w:bCs/>
              </w:rPr>
              <w:t>Нарушения на метаболизма и храненето:</w:t>
            </w:r>
          </w:p>
          <w:p w14:paraId="15055727" w14:textId="77777777" w:rsidR="00ED234A" w:rsidRPr="00ED234A" w:rsidRDefault="00ED234A" w:rsidP="00ED234A">
            <w:r w:rsidRPr="00ED234A">
              <w:t>Чести:</w:t>
            </w:r>
            <w:r w:rsidRPr="00ED234A">
              <w:tab/>
              <w:t>наддаване на тегло</w:t>
            </w:r>
          </w:p>
          <w:p w14:paraId="08ED3BDA" w14:textId="77777777" w:rsidR="00ED234A" w:rsidRPr="00ED234A" w:rsidRDefault="00ED234A" w:rsidP="00ED234A">
            <w:r w:rsidRPr="00ED234A">
              <w:t>Редки:</w:t>
            </w:r>
            <w:r w:rsidRPr="00ED234A">
              <w:tab/>
              <w:t>нарушен глюкозен толеранс, захарен диабет</w:t>
            </w:r>
          </w:p>
          <w:p w14:paraId="101DD504" w14:textId="77777777" w:rsidR="00ED234A" w:rsidRPr="00ED234A" w:rsidRDefault="00ED234A" w:rsidP="00ED234A">
            <w:r w:rsidRPr="00ED234A">
              <w:t>Много редки:</w:t>
            </w:r>
            <w:r w:rsidRPr="00ED234A">
              <w:tab/>
              <w:t>кетоацидоза, хиперосмоларна кома, тежка хипергликемия,</w:t>
            </w:r>
          </w:p>
          <w:p w14:paraId="0B43DFA8" w14:textId="6381C47B" w:rsidR="00ED234A" w:rsidRPr="00ED234A" w:rsidRDefault="00ED234A" w:rsidP="00ED234A">
            <w:pPr>
              <w:spacing w:line="240" w:lineRule="auto"/>
              <w:rPr>
                <w:rFonts w:eastAsia="Times New Roman" w:cs="Arial"/>
              </w:rPr>
            </w:pPr>
            <w:r w:rsidRPr="00ED234A">
              <w:t>хипетриглицеридемия, хиперхолестеролемия</w:t>
            </w:r>
          </w:p>
        </w:tc>
      </w:tr>
      <w:tr w:rsidR="00ED234A" w14:paraId="2240AEF2" w14:textId="77777777" w:rsidTr="00ED234A">
        <w:tc>
          <w:tcPr>
            <w:tcW w:w="9576" w:type="dxa"/>
            <w:vAlign w:val="center"/>
          </w:tcPr>
          <w:p w14:paraId="045B8E36" w14:textId="77777777" w:rsidR="00ED234A" w:rsidRPr="00ED234A" w:rsidRDefault="00ED234A" w:rsidP="00ED234A">
            <w:r w:rsidRPr="00ED234A">
              <w:rPr>
                <w:b/>
                <w:bCs/>
              </w:rPr>
              <w:t>Психични нарушения</w:t>
            </w:r>
          </w:p>
          <w:p w14:paraId="476B53D5" w14:textId="77777777" w:rsidR="00ED234A" w:rsidRPr="00ED234A" w:rsidRDefault="00ED234A" w:rsidP="00ED234A">
            <w:r w:rsidRPr="00ED234A">
              <w:t>Чести:</w:t>
            </w:r>
            <w:r w:rsidRPr="00ED234A">
              <w:tab/>
              <w:t>дизартрия</w:t>
            </w:r>
          </w:p>
          <w:p w14:paraId="7B7BDE47" w14:textId="2628A452" w:rsidR="00ED234A" w:rsidRPr="00ED234A" w:rsidRDefault="00033031" w:rsidP="00ED234A">
            <w:r>
              <w:t xml:space="preserve">Нечести: </w:t>
            </w:r>
            <w:r w:rsidR="00ED234A" w:rsidRPr="00ED234A">
              <w:t>дисфемия</w:t>
            </w:r>
          </w:p>
          <w:p w14:paraId="6B57CC2C" w14:textId="7B431BF0" w:rsidR="00ED234A" w:rsidRPr="00ED234A" w:rsidRDefault="00ED234A" w:rsidP="00ED234A">
            <w:pPr>
              <w:spacing w:line="240" w:lineRule="auto"/>
              <w:rPr>
                <w:rFonts w:eastAsia="Times New Roman" w:cs="Arial"/>
              </w:rPr>
            </w:pPr>
            <w:r w:rsidRPr="00ED234A">
              <w:t>Редки:</w:t>
            </w:r>
            <w:r w:rsidRPr="00ED234A">
              <w:tab/>
              <w:t>безпокойст</w:t>
            </w:r>
            <w:r w:rsidR="00033031">
              <w:t xml:space="preserve">во, </w:t>
            </w:r>
            <w:r w:rsidRPr="00ED234A">
              <w:t>състояние на възбуда</w:t>
            </w:r>
          </w:p>
        </w:tc>
      </w:tr>
      <w:tr w:rsidR="00ED234A" w14:paraId="383B6216" w14:textId="77777777" w:rsidTr="00ED234A">
        <w:tc>
          <w:tcPr>
            <w:tcW w:w="9576" w:type="dxa"/>
            <w:vAlign w:val="bottom"/>
          </w:tcPr>
          <w:p w14:paraId="7E256D2D" w14:textId="77777777" w:rsidR="00ED234A" w:rsidRPr="00ED234A" w:rsidRDefault="00ED234A" w:rsidP="00ED234A">
            <w:r w:rsidRPr="00ED234A">
              <w:rPr>
                <w:b/>
                <w:bCs/>
              </w:rPr>
              <w:t>Нарушения на нервната система</w:t>
            </w:r>
          </w:p>
          <w:p w14:paraId="38425CC4" w14:textId="77777777" w:rsidR="00ED234A" w:rsidRDefault="00ED234A" w:rsidP="00ED234A">
            <w:pPr>
              <w:spacing w:line="240" w:lineRule="auto"/>
            </w:pPr>
            <w:r w:rsidRPr="00ED234A">
              <w:t>Много чести:</w:t>
            </w:r>
            <w:r w:rsidRPr="00ED234A">
              <w:tab/>
              <w:t>сънливост/седиране, замаяност</w:t>
            </w:r>
          </w:p>
          <w:p w14:paraId="4D2F9063" w14:textId="77777777" w:rsidR="00033031" w:rsidRPr="00033031" w:rsidRDefault="00033031" w:rsidP="00033031">
            <w:pPr>
              <w:rPr>
                <w:sz w:val="24"/>
                <w:szCs w:val="24"/>
              </w:rPr>
            </w:pPr>
            <w:r w:rsidRPr="00033031">
              <w:rPr>
                <w:lang w:eastAsia="bg-BG"/>
              </w:rPr>
              <w:t>Чести:</w:t>
            </w:r>
            <w:r w:rsidRPr="00033031">
              <w:rPr>
                <w:lang w:eastAsia="bg-BG"/>
              </w:rPr>
              <w:tab/>
              <w:t>замъглено зрение, главоболие, тремор, ригидност, акатизия,</w:t>
            </w:r>
          </w:p>
          <w:p w14:paraId="34C30546" w14:textId="77777777" w:rsidR="00033031" w:rsidRPr="00033031" w:rsidRDefault="00033031" w:rsidP="00033031">
            <w:pPr>
              <w:rPr>
                <w:sz w:val="24"/>
                <w:szCs w:val="24"/>
              </w:rPr>
            </w:pPr>
            <w:r w:rsidRPr="00033031">
              <w:rPr>
                <w:lang w:eastAsia="bg-BG"/>
              </w:rPr>
              <w:t>екстрапирамидни симптоми, припадъци/гьрчове/ миоклонуси</w:t>
            </w:r>
          </w:p>
          <w:p w14:paraId="38AE2A11" w14:textId="293EDAF8" w:rsidR="00033031" w:rsidRPr="00033031" w:rsidRDefault="00033031" w:rsidP="00033031">
            <w:pPr>
              <w:rPr>
                <w:sz w:val="24"/>
                <w:szCs w:val="24"/>
              </w:rPr>
            </w:pPr>
            <w:r>
              <w:rPr>
                <w:lang w:eastAsia="bg-BG"/>
              </w:rPr>
              <w:t xml:space="preserve">Нечести: </w:t>
            </w:r>
            <w:r w:rsidRPr="00033031">
              <w:rPr>
                <w:lang w:eastAsia="bg-BG"/>
              </w:rPr>
              <w:t>малигнен невролептичен синдром</w:t>
            </w:r>
          </w:p>
          <w:p w14:paraId="0C90ADA3" w14:textId="77777777" w:rsidR="00033031" w:rsidRPr="00033031" w:rsidRDefault="00033031" w:rsidP="00033031">
            <w:pPr>
              <w:rPr>
                <w:sz w:val="24"/>
                <w:szCs w:val="24"/>
              </w:rPr>
            </w:pPr>
            <w:r w:rsidRPr="00033031">
              <w:rPr>
                <w:lang w:eastAsia="bg-BG"/>
              </w:rPr>
              <w:t>Редки:</w:t>
            </w:r>
            <w:r w:rsidRPr="00033031">
              <w:rPr>
                <w:lang w:eastAsia="bg-BG"/>
              </w:rPr>
              <w:tab/>
              <w:t>обърканост, делир</w:t>
            </w:r>
          </w:p>
          <w:p w14:paraId="2562096D" w14:textId="77777777" w:rsidR="00033031" w:rsidRPr="00033031" w:rsidRDefault="00033031" w:rsidP="00033031">
            <w:pPr>
              <w:rPr>
                <w:sz w:val="24"/>
                <w:szCs w:val="24"/>
              </w:rPr>
            </w:pPr>
            <w:r w:rsidRPr="00033031">
              <w:rPr>
                <w:lang w:eastAsia="bg-BG"/>
              </w:rPr>
              <w:t>Много редки:</w:t>
            </w:r>
            <w:r w:rsidRPr="00033031">
              <w:rPr>
                <w:lang w:eastAsia="bg-BG"/>
              </w:rPr>
              <w:tab/>
              <w:t>тардивна дискинезия, обсесивно-компулсивни симптоми</w:t>
            </w:r>
          </w:p>
          <w:p w14:paraId="2684303D" w14:textId="69A62EA3" w:rsidR="00033031" w:rsidRPr="00033031" w:rsidRDefault="00033031" w:rsidP="00033031">
            <w:pPr>
              <w:rPr>
                <w:sz w:val="24"/>
                <w:szCs w:val="24"/>
              </w:rPr>
            </w:pPr>
            <w:r w:rsidRPr="00033031">
              <w:rPr>
                <w:lang w:eastAsia="bg-BG"/>
              </w:rPr>
              <w:t>С неизвестна честота: холинергичен синдром (след рязко отнемане)*, промени в ЕЕГ*</w:t>
            </w:r>
          </w:p>
        </w:tc>
      </w:tr>
      <w:tr w:rsidR="00033031" w14:paraId="70F82641" w14:textId="77777777" w:rsidTr="00E16EC9">
        <w:tc>
          <w:tcPr>
            <w:tcW w:w="9576" w:type="dxa"/>
            <w:vAlign w:val="center"/>
          </w:tcPr>
          <w:p w14:paraId="61AE1394" w14:textId="77777777" w:rsidR="00033031" w:rsidRPr="00033031" w:rsidRDefault="00033031" w:rsidP="00033031">
            <w:r w:rsidRPr="00033031">
              <w:rPr>
                <w:b/>
                <w:bCs/>
              </w:rPr>
              <w:t>Нарушения на очите</w:t>
            </w:r>
          </w:p>
          <w:p w14:paraId="592EBC3C" w14:textId="6E31F74B" w:rsidR="00033031" w:rsidRPr="00033031" w:rsidRDefault="00033031" w:rsidP="00033031">
            <w:pPr>
              <w:spacing w:line="240" w:lineRule="auto"/>
              <w:rPr>
                <w:rFonts w:eastAsia="Times New Roman" w:cs="Arial"/>
              </w:rPr>
            </w:pPr>
            <w:r w:rsidRPr="00033031">
              <w:t>Чести:</w:t>
            </w:r>
            <w:r w:rsidRPr="00033031">
              <w:tab/>
              <w:t>замъглено виждане</w:t>
            </w:r>
          </w:p>
        </w:tc>
      </w:tr>
      <w:tr w:rsidR="00033031" w14:paraId="1435591B" w14:textId="77777777" w:rsidTr="00E16EC9">
        <w:tc>
          <w:tcPr>
            <w:tcW w:w="9576" w:type="dxa"/>
            <w:vAlign w:val="center"/>
          </w:tcPr>
          <w:p w14:paraId="0DE8F2FB" w14:textId="77777777" w:rsidR="00033031" w:rsidRPr="00033031" w:rsidRDefault="00033031" w:rsidP="00033031">
            <w:r w:rsidRPr="00033031">
              <w:rPr>
                <w:b/>
                <w:bCs/>
              </w:rPr>
              <w:t>Сърдечни нарушения</w:t>
            </w:r>
          </w:p>
          <w:p w14:paraId="3CBE4F0A" w14:textId="77777777" w:rsidR="00033031" w:rsidRPr="00033031" w:rsidRDefault="00033031" w:rsidP="00033031">
            <w:r w:rsidRPr="00033031">
              <w:t>Много чести:</w:t>
            </w:r>
            <w:r w:rsidRPr="00033031">
              <w:tab/>
              <w:t>тахикардия</w:t>
            </w:r>
          </w:p>
          <w:p w14:paraId="6BEB13E3" w14:textId="77777777" w:rsidR="00033031" w:rsidRPr="00033031" w:rsidRDefault="00033031" w:rsidP="00033031">
            <w:r w:rsidRPr="00033031">
              <w:t>Чести:</w:t>
            </w:r>
            <w:r w:rsidRPr="00033031">
              <w:tab/>
              <w:t>ЕКГ промени</w:t>
            </w:r>
          </w:p>
          <w:p w14:paraId="3466E2D4" w14:textId="77777777" w:rsidR="00033031" w:rsidRPr="00033031" w:rsidRDefault="00033031" w:rsidP="00033031">
            <w:r w:rsidRPr="00033031">
              <w:t>Редки:</w:t>
            </w:r>
            <w:r w:rsidRPr="00033031">
              <w:tab/>
              <w:t>циркулаторен колапс, аритмии, миокардит,</w:t>
            </w:r>
          </w:p>
          <w:p w14:paraId="6A18A020" w14:textId="77777777" w:rsidR="00033031" w:rsidRPr="00033031" w:rsidRDefault="00033031" w:rsidP="00033031">
            <w:r w:rsidRPr="00033031">
              <w:t>перикардит/перикарден излив</w:t>
            </w:r>
          </w:p>
          <w:p w14:paraId="4DC3E5E8" w14:textId="77777777" w:rsidR="00033031" w:rsidRPr="00033031" w:rsidRDefault="00033031" w:rsidP="00033031">
            <w:r w:rsidRPr="00033031">
              <w:t>Много редки:</w:t>
            </w:r>
            <w:r w:rsidRPr="00033031">
              <w:tab/>
              <w:t>кардиомиопатия, спиране на сърдечната дейност</w:t>
            </w:r>
          </w:p>
          <w:p w14:paraId="7AE0915B" w14:textId="6F57DFE7" w:rsidR="00033031" w:rsidRPr="00033031" w:rsidRDefault="00033031" w:rsidP="00033031">
            <w:pPr>
              <w:spacing w:line="240" w:lineRule="auto"/>
              <w:rPr>
                <w:rFonts w:eastAsia="Times New Roman" w:cs="Arial"/>
              </w:rPr>
            </w:pPr>
            <w:r w:rsidRPr="00033031">
              <w:t>С неизвестна честота: миокарден инфаркт (може да е фатален)*, болка в гръдния кош/ангина пекторис*</w:t>
            </w:r>
          </w:p>
        </w:tc>
      </w:tr>
      <w:tr w:rsidR="00033031" w14:paraId="1566B773" w14:textId="77777777" w:rsidTr="00E16EC9">
        <w:tc>
          <w:tcPr>
            <w:tcW w:w="9576" w:type="dxa"/>
            <w:vAlign w:val="center"/>
          </w:tcPr>
          <w:p w14:paraId="19358CF8" w14:textId="77777777" w:rsidR="00033031" w:rsidRPr="00033031" w:rsidRDefault="00033031" w:rsidP="00033031">
            <w:r w:rsidRPr="00033031">
              <w:rPr>
                <w:b/>
                <w:bCs/>
              </w:rPr>
              <w:t>Съдови нарушения</w:t>
            </w:r>
          </w:p>
          <w:p w14:paraId="366DB6DF" w14:textId="77777777" w:rsidR="00033031" w:rsidRPr="00033031" w:rsidRDefault="00033031" w:rsidP="00033031">
            <w:r w:rsidRPr="00033031">
              <w:t>Чести:</w:t>
            </w:r>
            <w:r w:rsidRPr="00033031">
              <w:tab/>
              <w:t>хипертония, ортостатична хипотония, синкоп</w:t>
            </w:r>
          </w:p>
          <w:p w14:paraId="2A0D6C5E" w14:textId="77777777" w:rsidR="00033031" w:rsidRPr="00033031" w:rsidRDefault="00033031" w:rsidP="00033031">
            <w:r w:rsidRPr="00033031">
              <w:t>Редки:</w:t>
            </w:r>
            <w:r w:rsidRPr="00033031">
              <w:tab/>
              <w:t>тромбоемболизъм</w:t>
            </w:r>
          </w:p>
          <w:p w14:paraId="60032671" w14:textId="06656C74" w:rsidR="00033031" w:rsidRPr="00033031" w:rsidRDefault="00033031" w:rsidP="00033031">
            <w:r w:rsidRPr="00033031">
              <w:t>С неизв</w:t>
            </w:r>
            <w:r>
              <w:t xml:space="preserve">естна честота: </w:t>
            </w:r>
            <w:r w:rsidRPr="00033031">
              <w:t>венозен тромбоемболизъм (включително белодробен</w:t>
            </w:r>
          </w:p>
          <w:p w14:paraId="5DA81CD3" w14:textId="73E6A426" w:rsidR="00033031" w:rsidRPr="00033031" w:rsidRDefault="00033031" w:rsidP="00033031">
            <w:pPr>
              <w:spacing w:line="240" w:lineRule="auto"/>
              <w:rPr>
                <w:rFonts w:eastAsia="Times New Roman" w:cs="Arial"/>
              </w:rPr>
            </w:pPr>
            <w:r w:rsidRPr="00033031">
              <w:t>емболизъм и дълбока венозна тромбоза)</w:t>
            </w:r>
          </w:p>
        </w:tc>
      </w:tr>
      <w:tr w:rsidR="00033031" w14:paraId="16756025" w14:textId="77777777" w:rsidTr="00E16EC9">
        <w:tc>
          <w:tcPr>
            <w:tcW w:w="9576" w:type="dxa"/>
            <w:vAlign w:val="center"/>
          </w:tcPr>
          <w:p w14:paraId="7234439B" w14:textId="77777777" w:rsidR="00033031" w:rsidRPr="00033031" w:rsidRDefault="00033031" w:rsidP="00033031">
            <w:r w:rsidRPr="00033031">
              <w:rPr>
                <w:b/>
                <w:bCs/>
              </w:rPr>
              <w:t>Респираторни, гръдни и медиастинални нарушения</w:t>
            </w:r>
          </w:p>
          <w:p w14:paraId="5A12909C" w14:textId="77777777" w:rsidR="00033031" w:rsidRPr="00033031" w:rsidRDefault="00033031" w:rsidP="00033031">
            <w:r w:rsidRPr="00033031">
              <w:t>Редки:</w:t>
            </w:r>
            <w:r w:rsidRPr="00033031">
              <w:tab/>
              <w:t>аспирация на приетата храна, пневмония и инфекции на долните</w:t>
            </w:r>
          </w:p>
          <w:p w14:paraId="1542A1E4" w14:textId="77777777" w:rsidR="00033031" w:rsidRPr="00033031" w:rsidRDefault="00033031" w:rsidP="00033031">
            <w:r w:rsidRPr="00033031">
              <w:t>дихателни пътища, които могат да бъдат фатални</w:t>
            </w:r>
          </w:p>
          <w:p w14:paraId="38496CEA" w14:textId="77777777" w:rsidR="00033031" w:rsidRPr="00033031" w:rsidRDefault="00033031" w:rsidP="00033031">
            <w:r w:rsidRPr="00033031">
              <w:t>Много редки:</w:t>
            </w:r>
            <w:r w:rsidRPr="00033031">
              <w:tab/>
              <w:t>потискане/спиране на дишането</w:t>
            </w:r>
          </w:p>
          <w:p w14:paraId="209886BA" w14:textId="73E4129D" w:rsidR="00033031" w:rsidRPr="00033031" w:rsidRDefault="00033031" w:rsidP="00033031">
            <w:pPr>
              <w:spacing w:line="240" w:lineRule="auto"/>
              <w:rPr>
                <w:rFonts w:eastAsia="Times New Roman" w:cs="Arial"/>
              </w:rPr>
            </w:pPr>
            <w:r w:rsidRPr="00033031">
              <w:lastRenderedPageBreak/>
              <w:t>С неизвестна честота:</w:t>
            </w:r>
            <w:r w:rsidRPr="00033031">
              <w:tab/>
              <w:t>назална конгестия*</w:t>
            </w:r>
          </w:p>
        </w:tc>
      </w:tr>
      <w:tr w:rsidR="00033031" w14:paraId="110423ED" w14:textId="77777777" w:rsidTr="00E16EC9">
        <w:tc>
          <w:tcPr>
            <w:tcW w:w="9576" w:type="dxa"/>
            <w:vAlign w:val="center"/>
          </w:tcPr>
          <w:p w14:paraId="0FAB076D" w14:textId="77777777" w:rsidR="00033031" w:rsidRPr="00033031" w:rsidRDefault="00033031" w:rsidP="00033031">
            <w:r w:rsidRPr="00033031">
              <w:rPr>
                <w:b/>
                <w:bCs/>
              </w:rPr>
              <w:lastRenderedPageBreak/>
              <w:t>Стомашно-чревни нарушения</w:t>
            </w:r>
          </w:p>
          <w:p w14:paraId="2F4893C6" w14:textId="77777777" w:rsidR="00033031" w:rsidRPr="00033031" w:rsidRDefault="00033031" w:rsidP="00033031">
            <w:r w:rsidRPr="00033031">
              <w:t>Много чести:</w:t>
            </w:r>
            <w:r w:rsidRPr="00033031">
              <w:tab/>
              <w:t>запек, хиперсаливация</w:t>
            </w:r>
          </w:p>
          <w:p w14:paraId="0E59EF18" w14:textId="77777777" w:rsidR="00033031" w:rsidRPr="00033031" w:rsidRDefault="00033031" w:rsidP="00033031">
            <w:r w:rsidRPr="00033031">
              <w:t>Чести:</w:t>
            </w:r>
            <w:r w:rsidRPr="00033031">
              <w:tab/>
              <w:t>гадене, повръщане, безапетитие, сухота в устата</w:t>
            </w:r>
          </w:p>
          <w:p w14:paraId="2B362F3B" w14:textId="77777777" w:rsidR="00033031" w:rsidRPr="00033031" w:rsidRDefault="00033031" w:rsidP="00033031">
            <w:r w:rsidRPr="00033031">
              <w:t>Редки:</w:t>
            </w:r>
            <w:r w:rsidRPr="00033031">
              <w:tab/>
              <w:t>дисфагия</w:t>
            </w:r>
          </w:p>
          <w:p w14:paraId="58BEB729" w14:textId="77777777" w:rsidR="00033031" w:rsidRPr="00033031" w:rsidRDefault="00033031" w:rsidP="00033031">
            <w:r w:rsidRPr="00033031">
              <w:t>Много редки:</w:t>
            </w:r>
            <w:r w:rsidRPr="00033031">
              <w:tab/>
              <w:t>уголемяване на паротидната жлеза, чревна обструкция/</w:t>
            </w:r>
          </w:p>
          <w:p w14:paraId="278579BC" w14:textId="77777777" w:rsidR="00033031" w:rsidRPr="00033031" w:rsidRDefault="00033031" w:rsidP="00033031">
            <w:r w:rsidRPr="00033031">
              <w:t>паралитичен илеус/фекална обструкция</w:t>
            </w:r>
          </w:p>
          <w:p w14:paraId="2FF6255D" w14:textId="469BF2F8" w:rsidR="00033031" w:rsidRPr="00033031" w:rsidRDefault="00033031" w:rsidP="00033031">
            <w:pPr>
              <w:spacing w:line="240" w:lineRule="auto"/>
              <w:rPr>
                <w:rFonts w:eastAsia="Times New Roman" w:cs="Arial"/>
              </w:rPr>
            </w:pPr>
            <w:r w:rsidRPr="00033031">
              <w:t>С неизвестна честота: диария*, стомашен дискомфорт/киселини/диспепсия*, мегаколон, интестинален инфаркт, интестинална перфорация</w:t>
            </w:r>
          </w:p>
        </w:tc>
      </w:tr>
      <w:tr w:rsidR="00033031" w14:paraId="29775FA1" w14:textId="77777777" w:rsidTr="00E16EC9">
        <w:tc>
          <w:tcPr>
            <w:tcW w:w="9576" w:type="dxa"/>
            <w:vAlign w:val="center"/>
          </w:tcPr>
          <w:p w14:paraId="67C4ED7B" w14:textId="77777777" w:rsidR="00033031" w:rsidRPr="00033031" w:rsidRDefault="00033031" w:rsidP="00033031">
            <w:r w:rsidRPr="00033031">
              <w:rPr>
                <w:b/>
                <w:bCs/>
              </w:rPr>
              <w:t>Хепатобилиарни нарушения</w:t>
            </w:r>
          </w:p>
          <w:p w14:paraId="08D77C47" w14:textId="77777777" w:rsidR="00033031" w:rsidRPr="00033031" w:rsidRDefault="00033031" w:rsidP="00033031">
            <w:r w:rsidRPr="00033031">
              <w:t>Чести:</w:t>
            </w:r>
            <w:r w:rsidRPr="00033031">
              <w:tab/>
              <w:t>повишени чернодробни ензими</w:t>
            </w:r>
          </w:p>
          <w:p w14:paraId="4DC7552F" w14:textId="77777777" w:rsidR="00033031" w:rsidRPr="00033031" w:rsidRDefault="00033031" w:rsidP="00033031">
            <w:r w:rsidRPr="00033031">
              <w:t>Редки:</w:t>
            </w:r>
            <w:r w:rsidRPr="00033031">
              <w:tab/>
              <w:t>хепатит, холестатична жълтеница, панкреатит</w:t>
            </w:r>
          </w:p>
          <w:p w14:paraId="66E2E4FB" w14:textId="731BB80C" w:rsidR="00033031" w:rsidRPr="00033031" w:rsidRDefault="00033031" w:rsidP="00033031">
            <w:pPr>
              <w:spacing w:line="240" w:lineRule="auto"/>
              <w:rPr>
                <w:rFonts w:eastAsia="Times New Roman" w:cs="Arial"/>
              </w:rPr>
            </w:pPr>
            <w:r w:rsidRPr="00033031">
              <w:t>Много редки:</w:t>
            </w:r>
            <w:r w:rsidRPr="00033031">
              <w:tab/>
              <w:t>фулминантна чернодробна цироза</w:t>
            </w:r>
          </w:p>
        </w:tc>
      </w:tr>
      <w:tr w:rsidR="00033031" w14:paraId="03FFA285" w14:textId="77777777" w:rsidTr="00E16EC9">
        <w:tc>
          <w:tcPr>
            <w:tcW w:w="9576" w:type="dxa"/>
            <w:vAlign w:val="center"/>
          </w:tcPr>
          <w:p w14:paraId="0970AB9C" w14:textId="77777777" w:rsidR="00033031" w:rsidRPr="00033031" w:rsidRDefault="00033031" w:rsidP="00033031">
            <w:r w:rsidRPr="00033031">
              <w:rPr>
                <w:b/>
                <w:bCs/>
              </w:rPr>
              <w:t>Нарушения на кожата н подкожната тъкан</w:t>
            </w:r>
          </w:p>
          <w:p w14:paraId="639C7349" w14:textId="42742DE7" w:rsidR="00033031" w:rsidRPr="00033031" w:rsidRDefault="00033031" w:rsidP="00033031">
            <w:pPr>
              <w:spacing w:line="240" w:lineRule="auto"/>
              <w:rPr>
                <w:rFonts w:eastAsia="Times New Roman" w:cs="Arial"/>
              </w:rPr>
            </w:pPr>
            <w:r w:rsidRPr="00033031">
              <w:t>Много редки:</w:t>
            </w:r>
            <w:r w:rsidRPr="00033031">
              <w:tab/>
              <w:t>кожни реакции</w:t>
            </w:r>
          </w:p>
        </w:tc>
      </w:tr>
      <w:tr w:rsidR="00033031" w14:paraId="0C6F5313" w14:textId="77777777" w:rsidTr="00E16EC9">
        <w:tc>
          <w:tcPr>
            <w:tcW w:w="9576" w:type="dxa"/>
            <w:vAlign w:val="bottom"/>
          </w:tcPr>
          <w:p w14:paraId="7E11D387" w14:textId="77777777" w:rsidR="00033031" w:rsidRPr="00033031" w:rsidRDefault="00033031" w:rsidP="00033031">
            <w:r w:rsidRPr="00033031">
              <w:rPr>
                <w:b/>
                <w:bCs/>
              </w:rPr>
              <w:t>Мускулно-скелетни нарушения</w:t>
            </w:r>
          </w:p>
          <w:p w14:paraId="010A8A7B" w14:textId="0CECCF5E" w:rsidR="00033031" w:rsidRPr="00033031" w:rsidRDefault="00033031" w:rsidP="00033031">
            <w:pPr>
              <w:spacing w:line="240" w:lineRule="auto"/>
              <w:rPr>
                <w:rFonts w:eastAsia="Times New Roman" w:cs="Arial"/>
              </w:rPr>
            </w:pPr>
            <w:r w:rsidRPr="00033031">
              <w:t>С неизвестна честота: мускулна слабост*, мускулни спазми*, мускулна болка*</w:t>
            </w:r>
          </w:p>
        </w:tc>
      </w:tr>
      <w:tr w:rsidR="00033031" w14:paraId="1ED6B1D0" w14:textId="77777777" w:rsidTr="00E16EC9">
        <w:tc>
          <w:tcPr>
            <w:tcW w:w="9576" w:type="dxa"/>
            <w:vAlign w:val="bottom"/>
          </w:tcPr>
          <w:p w14:paraId="73DBFD39" w14:textId="77777777" w:rsidR="00033031" w:rsidRPr="00033031" w:rsidRDefault="00033031" w:rsidP="00033031">
            <w:r w:rsidRPr="00033031">
              <w:rPr>
                <w:b/>
                <w:bCs/>
              </w:rPr>
              <w:t>Нарушения на бъбреците и пикочните пътища</w:t>
            </w:r>
          </w:p>
          <w:p w14:paraId="598E56C3" w14:textId="77777777" w:rsidR="00033031" w:rsidRPr="00033031" w:rsidRDefault="00033031" w:rsidP="00033031">
            <w:r w:rsidRPr="00033031">
              <w:t>Чести:</w:t>
            </w:r>
            <w:r w:rsidRPr="00033031">
              <w:tab/>
              <w:t>инконтиненция на урината, ретенция на урината</w:t>
            </w:r>
          </w:p>
          <w:p w14:paraId="682059F6" w14:textId="77777777" w:rsidR="00033031" w:rsidRDefault="00033031" w:rsidP="00033031">
            <w:pPr>
              <w:spacing w:line="240" w:lineRule="auto"/>
            </w:pPr>
            <w:r w:rsidRPr="00033031">
              <w:t>Много редки:</w:t>
            </w:r>
            <w:r w:rsidRPr="00033031">
              <w:tab/>
              <w:t>интерстициален нефрит</w:t>
            </w:r>
          </w:p>
          <w:p w14:paraId="25D2B0D5" w14:textId="7EE5A4DA" w:rsidR="00033031" w:rsidRPr="00033031" w:rsidRDefault="00033031" w:rsidP="00033031">
            <w:pPr>
              <w:rPr>
                <w:sz w:val="24"/>
                <w:szCs w:val="24"/>
              </w:rPr>
            </w:pPr>
            <w:r w:rsidRPr="00033031">
              <w:rPr>
                <w:lang w:eastAsia="bg-BG"/>
              </w:rPr>
              <w:t>С неизвестна честота: бъбречна недостатъчност*</w:t>
            </w:r>
          </w:p>
        </w:tc>
      </w:tr>
      <w:tr w:rsidR="00033031" w14:paraId="43775BD1" w14:textId="77777777" w:rsidTr="00ED234A">
        <w:tc>
          <w:tcPr>
            <w:tcW w:w="9576" w:type="dxa"/>
          </w:tcPr>
          <w:p w14:paraId="7EADFA90" w14:textId="77777777" w:rsidR="00033031" w:rsidRPr="00033031" w:rsidRDefault="00033031" w:rsidP="00033031">
            <w:r w:rsidRPr="00033031">
              <w:rPr>
                <w:b/>
                <w:bCs/>
              </w:rPr>
              <w:t>Бременност, пуерпериум и перинатални условия</w:t>
            </w:r>
          </w:p>
          <w:p w14:paraId="2D702CE7" w14:textId="7372573A" w:rsidR="00033031" w:rsidRPr="00033031" w:rsidRDefault="00033031" w:rsidP="00033031">
            <w:pPr>
              <w:spacing w:line="240" w:lineRule="auto"/>
              <w:rPr>
                <w:rFonts w:eastAsia="Times New Roman" w:cs="Arial"/>
              </w:rPr>
            </w:pPr>
            <w:r w:rsidRPr="00033031">
              <w:t>С неизвестна честота: синдром на отнемане у новороденото (вж. точка 4.6)</w:t>
            </w:r>
          </w:p>
        </w:tc>
      </w:tr>
      <w:tr w:rsidR="00033031" w14:paraId="05F1822B" w14:textId="77777777" w:rsidTr="00ED234A">
        <w:tc>
          <w:tcPr>
            <w:tcW w:w="9576" w:type="dxa"/>
          </w:tcPr>
          <w:p w14:paraId="04894216" w14:textId="77777777" w:rsidR="00033031" w:rsidRPr="00033031" w:rsidRDefault="00033031" w:rsidP="00033031">
            <w:r w:rsidRPr="00033031">
              <w:rPr>
                <w:b/>
                <w:bCs/>
              </w:rPr>
              <w:t>Нарушения на възпроизводителната система и гърдата</w:t>
            </w:r>
          </w:p>
          <w:p w14:paraId="550A4478" w14:textId="20B8FCC4" w:rsidR="00033031" w:rsidRPr="00033031" w:rsidRDefault="00033031" w:rsidP="00033031">
            <w:pPr>
              <w:spacing w:line="240" w:lineRule="auto"/>
              <w:rPr>
                <w:rFonts w:eastAsia="Times New Roman" w:cs="Arial"/>
              </w:rPr>
            </w:pPr>
            <w:r w:rsidRPr="00033031">
              <w:t>Много редки:</w:t>
            </w:r>
            <w:r w:rsidRPr="00033031">
              <w:tab/>
              <w:t>приапизъм</w:t>
            </w:r>
          </w:p>
        </w:tc>
      </w:tr>
      <w:tr w:rsidR="00033031" w14:paraId="3F1348A2" w14:textId="77777777" w:rsidTr="00ED234A">
        <w:tc>
          <w:tcPr>
            <w:tcW w:w="9576" w:type="dxa"/>
          </w:tcPr>
          <w:p w14:paraId="73C5BC93" w14:textId="77777777" w:rsidR="00033031" w:rsidRPr="00033031" w:rsidRDefault="00033031" w:rsidP="00033031">
            <w:r w:rsidRPr="00033031">
              <w:rPr>
                <w:b/>
                <w:bCs/>
              </w:rPr>
              <w:t>Общи нарушения и нарушения на мястото на приложение</w:t>
            </w:r>
          </w:p>
          <w:p w14:paraId="03E03749" w14:textId="77777777" w:rsidR="00033031" w:rsidRPr="00033031" w:rsidRDefault="00033031" w:rsidP="00033031">
            <w:r w:rsidRPr="00033031">
              <w:t>Чести:</w:t>
            </w:r>
            <w:r w:rsidRPr="00033031">
              <w:tab/>
              <w:t>умора, фебрилитет, доброкачествена хипертермия, нарушено</w:t>
            </w:r>
          </w:p>
          <w:p w14:paraId="4BB5A3F1" w14:textId="77777777" w:rsidR="00033031" w:rsidRPr="00033031" w:rsidRDefault="00033031" w:rsidP="00033031">
            <w:r w:rsidRPr="00033031">
              <w:t>потоотделяне/регулация на температурата</w:t>
            </w:r>
          </w:p>
          <w:p w14:paraId="1D1B658B" w14:textId="125F25C7" w:rsidR="00033031" w:rsidRPr="00033031" w:rsidRDefault="00033031" w:rsidP="00033031">
            <w:pPr>
              <w:spacing w:line="240" w:lineRule="auto"/>
              <w:rPr>
                <w:rFonts w:eastAsia="Times New Roman" w:cs="Arial"/>
              </w:rPr>
            </w:pPr>
            <w:r w:rsidRPr="00033031">
              <w:t>Много редки:</w:t>
            </w:r>
            <w:r w:rsidRPr="00033031">
              <w:tab/>
              <w:t>внезапна необяснима смърт</w:t>
            </w:r>
          </w:p>
        </w:tc>
      </w:tr>
      <w:tr w:rsidR="00033031" w14:paraId="733F9086" w14:textId="77777777" w:rsidTr="00ED234A">
        <w:tc>
          <w:tcPr>
            <w:tcW w:w="9576" w:type="dxa"/>
          </w:tcPr>
          <w:p w14:paraId="6738F2DF" w14:textId="77777777" w:rsidR="00033031" w:rsidRPr="00033031" w:rsidRDefault="00033031" w:rsidP="00033031">
            <w:r w:rsidRPr="00033031">
              <w:rPr>
                <w:b/>
                <w:bCs/>
              </w:rPr>
              <w:t>Изследвания</w:t>
            </w:r>
          </w:p>
          <w:p w14:paraId="61D63F19" w14:textId="0ECA3BF7" w:rsidR="00033031" w:rsidRPr="00033031" w:rsidRDefault="00033031" w:rsidP="00033031">
            <w:pPr>
              <w:spacing w:line="240" w:lineRule="auto"/>
              <w:rPr>
                <w:rFonts w:eastAsia="Times New Roman" w:cs="Arial"/>
              </w:rPr>
            </w:pPr>
            <w:r w:rsidRPr="00033031">
              <w:t>Редки:</w:t>
            </w:r>
            <w:r w:rsidRPr="00033031">
              <w:tab/>
              <w:t>повишаване на СРК</w:t>
            </w:r>
          </w:p>
        </w:tc>
      </w:tr>
    </w:tbl>
    <w:p w14:paraId="27D05EFE" w14:textId="52BB88EC" w:rsidR="00033031" w:rsidRPr="00033031" w:rsidRDefault="00033031" w:rsidP="00033031">
      <w:pPr>
        <w:spacing w:line="240" w:lineRule="auto"/>
        <w:rPr>
          <w:rFonts w:eastAsia="Times New Roman" w:cs="Arial"/>
        </w:rPr>
      </w:pPr>
      <w:r w:rsidRPr="00033031">
        <w:rPr>
          <w:rFonts w:eastAsia="Times New Roman" w:cs="Arial"/>
          <w:color w:val="000000"/>
          <w:lang w:eastAsia="bg-BG"/>
        </w:rPr>
        <w:t>*Нежелани лекарствени реакции, съобщени по време на постмаркетинговия период чрез спонтанни съобщения и случаи, описани в литературата.</w:t>
      </w:r>
    </w:p>
    <w:p w14:paraId="6E08C4E6" w14:textId="77777777" w:rsidR="00033031" w:rsidRPr="00033031" w:rsidRDefault="00033031" w:rsidP="00033031">
      <w:pPr>
        <w:spacing w:line="240" w:lineRule="auto"/>
        <w:rPr>
          <w:rFonts w:eastAsia="Times New Roman" w:cs="Arial"/>
          <w:color w:val="000000"/>
          <w:lang w:eastAsia="bg-BG"/>
        </w:rPr>
      </w:pPr>
    </w:p>
    <w:p w14:paraId="7FD90039" w14:textId="2040B913" w:rsidR="00033031" w:rsidRPr="00033031" w:rsidRDefault="00033031" w:rsidP="00033031">
      <w:pPr>
        <w:spacing w:line="240" w:lineRule="auto"/>
        <w:rPr>
          <w:rFonts w:eastAsia="Times New Roman" w:cs="Arial"/>
        </w:rPr>
      </w:pPr>
      <w:r w:rsidRPr="00033031">
        <w:rPr>
          <w:rFonts w:eastAsia="Times New Roman" w:cs="Arial"/>
          <w:color w:val="000000"/>
          <w:lang w:eastAsia="bg-BG"/>
        </w:rPr>
        <w:t xml:space="preserve">Много рядко е наблюдавано удължаване на </w:t>
      </w:r>
      <w:r w:rsidRPr="00033031">
        <w:rPr>
          <w:rFonts w:eastAsia="Times New Roman" w:cs="Arial"/>
          <w:color w:val="000000"/>
          <w:lang w:val="en-US"/>
        </w:rPr>
        <w:t>QT</w:t>
      </w:r>
      <w:r w:rsidRPr="00033031">
        <w:rPr>
          <w:rFonts w:eastAsia="Times New Roman" w:cs="Arial"/>
          <w:color w:val="000000"/>
          <w:lang w:eastAsia="bg-BG"/>
        </w:rPr>
        <w:t xml:space="preserve">-интервала, което може да бъде свързано с </w:t>
      </w:r>
      <w:proofErr w:type="spellStart"/>
      <w:r w:rsidRPr="00033031">
        <w:rPr>
          <w:rFonts w:eastAsia="Times New Roman" w:cs="Arial"/>
          <w:color w:val="000000"/>
          <w:lang w:val="en-US"/>
        </w:rPr>
        <w:t>Torsades</w:t>
      </w:r>
      <w:proofErr w:type="spellEnd"/>
      <w:r w:rsidRPr="00033031">
        <w:rPr>
          <w:rFonts w:eastAsia="Times New Roman" w:cs="Arial"/>
          <w:color w:val="000000"/>
          <w:lang w:val="ru-RU"/>
        </w:rPr>
        <w:t xml:space="preserve"> </w:t>
      </w:r>
      <w:r w:rsidRPr="00033031">
        <w:rPr>
          <w:rFonts w:eastAsia="Times New Roman" w:cs="Arial"/>
          <w:color w:val="000000"/>
          <w:lang w:val="en-US"/>
        </w:rPr>
        <w:t>De</w:t>
      </w:r>
      <w:r w:rsidRPr="00033031">
        <w:rPr>
          <w:rFonts w:eastAsia="Times New Roman" w:cs="Arial"/>
          <w:color w:val="000000"/>
          <w:lang w:val="ru-RU"/>
        </w:rPr>
        <w:t xml:space="preserve"> </w:t>
      </w:r>
      <w:r w:rsidRPr="00033031">
        <w:rPr>
          <w:rFonts w:eastAsia="Times New Roman" w:cs="Arial"/>
          <w:color w:val="000000"/>
          <w:lang w:val="en-US"/>
        </w:rPr>
        <w:t>Pointes</w:t>
      </w:r>
      <w:r w:rsidRPr="00033031">
        <w:rPr>
          <w:rFonts w:eastAsia="Times New Roman" w:cs="Arial"/>
          <w:color w:val="000000"/>
          <w:lang w:val="ru-RU"/>
        </w:rPr>
        <w:t xml:space="preserve">, </w:t>
      </w:r>
      <w:r w:rsidRPr="00033031">
        <w:rPr>
          <w:rFonts w:eastAsia="Times New Roman" w:cs="Arial"/>
          <w:color w:val="000000"/>
          <w:lang w:eastAsia="bg-BG"/>
        </w:rPr>
        <w:t>въпреки че няма убедителна причинно-следствена връзка с употребата на това лекарство.</w:t>
      </w:r>
    </w:p>
    <w:p w14:paraId="03C46419" w14:textId="77777777" w:rsidR="00033031" w:rsidRPr="00033031" w:rsidRDefault="00033031" w:rsidP="00033031">
      <w:pPr>
        <w:spacing w:line="240" w:lineRule="auto"/>
        <w:rPr>
          <w:rFonts w:eastAsia="Times New Roman" w:cs="Arial"/>
          <w:b/>
          <w:bCs/>
          <w:color w:val="000000"/>
          <w:u w:val="single"/>
          <w:lang w:eastAsia="bg-BG"/>
        </w:rPr>
      </w:pPr>
    </w:p>
    <w:p w14:paraId="42EA95A0" w14:textId="7F809AED" w:rsidR="00033031" w:rsidRPr="00033031" w:rsidRDefault="00033031" w:rsidP="00033031">
      <w:pPr>
        <w:spacing w:line="240" w:lineRule="auto"/>
        <w:rPr>
          <w:rFonts w:eastAsia="Times New Roman" w:cs="Arial"/>
        </w:rPr>
      </w:pPr>
      <w:r w:rsidRPr="00033031">
        <w:rPr>
          <w:rFonts w:eastAsia="Times New Roman" w:cs="Arial"/>
          <w:b/>
          <w:bCs/>
          <w:color w:val="000000"/>
          <w:u w:val="single"/>
          <w:lang w:eastAsia="bg-BG"/>
        </w:rPr>
        <w:t>Съобщаване на подозирани лекарствени реакции</w:t>
      </w:r>
    </w:p>
    <w:p w14:paraId="3C7AEBF9" w14:textId="77777777" w:rsidR="00033031" w:rsidRPr="00033031" w:rsidRDefault="00033031" w:rsidP="00033031">
      <w:pPr>
        <w:spacing w:line="240" w:lineRule="auto"/>
        <w:rPr>
          <w:rFonts w:ascii="Times New Roman" w:eastAsia="Times New Roman" w:hAnsi="Times New Roman" w:cs="Times New Roman"/>
          <w:sz w:val="24"/>
          <w:szCs w:val="24"/>
        </w:rPr>
      </w:pPr>
      <w:r w:rsidRPr="00033031">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8, 1303 София, тел.: +35928903417, уебсайт: </w:t>
      </w:r>
      <w:r w:rsidRPr="00033031">
        <w:rPr>
          <w:rFonts w:eastAsia="Times New Roman" w:cs="Arial"/>
        </w:rPr>
        <w:fldChar w:fldCharType="begin"/>
      </w:r>
      <w:r w:rsidRPr="00033031">
        <w:rPr>
          <w:rFonts w:eastAsia="Times New Roman" w:cs="Arial"/>
        </w:rPr>
        <w:instrText xml:space="preserve"> HYPERLINK "http://www.bda.bg" </w:instrText>
      </w:r>
      <w:r w:rsidRPr="00033031">
        <w:rPr>
          <w:rFonts w:eastAsia="Times New Roman" w:cs="Arial"/>
        </w:rPr>
      </w:r>
      <w:r w:rsidRPr="00033031">
        <w:rPr>
          <w:rFonts w:eastAsia="Times New Roman" w:cs="Arial"/>
        </w:rPr>
        <w:fldChar w:fldCharType="separate"/>
      </w:r>
      <w:r w:rsidRPr="00033031">
        <w:rPr>
          <w:rFonts w:eastAsia="Times New Roman" w:cs="Arial"/>
          <w:color w:val="000000"/>
          <w:u w:val="single"/>
          <w:lang w:val="en-US"/>
        </w:rPr>
        <w:t>www</w:t>
      </w:r>
      <w:r w:rsidRPr="00033031">
        <w:rPr>
          <w:rFonts w:eastAsia="Times New Roman" w:cs="Arial"/>
          <w:color w:val="000000"/>
          <w:u w:val="single"/>
          <w:lang w:val="ru-RU"/>
        </w:rPr>
        <w:t>.</w:t>
      </w:r>
      <w:proofErr w:type="spellStart"/>
      <w:r w:rsidRPr="00033031">
        <w:rPr>
          <w:rFonts w:eastAsia="Times New Roman" w:cs="Arial"/>
          <w:color w:val="000000"/>
          <w:u w:val="single"/>
          <w:lang w:val="en-US"/>
        </w:rPr>
        <w:t>bda</w:t>
      </w:r>
      <w:proofErr w:type="spellEnd"/>
      <w:r w:rsidRPr="00033031">
        <w:rPr>
          <w:rFonts w:eastAsia="Times New Roman" w:cs="Arial"/>
          <w:color w:val="000000"/>
          <w:u w:val="single"/>
          <w:lang w:val="ru-RU"/>
        </w:rPr>
        <w:t>.</w:t>
      </w:r>
      <w:proofErr w:type="spellStart"/>
      <w:r w:rsidRPr="00033031">
        <w:rPr>
          <w:rFonts w:eastAsia="Times New Roman" w:cs="Arial"/>
          <w:color w:val="000000"/>
          <w:u w:val="single"/>
          <w:lang w:val="en-US"/>
        </w:rPr>
        <w:t>bg</w:t>
      </w:r>
      <w:proofErr w:type="spellEnd"/>
      <w:r w:rsidRPr="00033031">
        <w:rPr>
          <w:rFonts w:eastAsia="Times New Roman" w:cs="Arial"/>
        </w:rPr>
        <w:fldChar w:fldCharType="end"/>
      </w:r>
      <w:r w:rsidRPr="00033031">
        <w:rPr>
          <w:rFonts w:eastAsia="Times New Roman" w:cs="Arial"/>
          <w:color w:val="000000"/>
          <w:lang w:val="ru-RU"/>
        </w:rPr>
        <w:t>.</w:t>
      </w:r>
    </w:p>
    <w:p w14:paraId="186249F1" w14:textId="77777777" w:rsidR="00ED234A" w:rsidRPr="00ED234A" w:rsidRDefault="00ED234A" w:rsidP="00ED234A"/>
    <w:p w14:paraId="0A023CE0" w14:textId="087AD09D" w:rsidR="00CF77F7" w:rsidRDefault="002C50EE" w:rsidP="004A448E">
      <w:pPr>
        <w:pStyle w:val="Heading2"/>
      </w:pPr>
      <w:r>
        <w:t>4.9. Предозиране</w:t>
      </w:r>
    </w:p>
    <w:p w14:paraId="6AA1D958" w14:textId="5E1BFBA7" w:rsidR="00033031" w:rsidRDefault="00033031" w:rsidP="00033031"/>
    <w:p w14:paraId="5DB3670C" w14:textId="77777777" w:rsidR="00033031" w:rsidRPr="00033031" w:rsidRDefault="00033031" w:rsidP="00033031">
      <w:pPr>
        <w:spacing w:line="240" w:lineRule="auto"/>
        <w:rPr>
          <w:rFonts w:eastAsia="Times New Roman" w:cs="Arial"/>
        </w:rPr>
      </w:pPr>
      <w:r w:rsidRPr="00033031">
        <w:rPr>
          <w:rFonts w:eastAsia="Times New Roman" w:cs="Arial"/>
          <w:color w:val="000000"/>
          <w:lang w:eastAsia="bg-BG"/>
        </w:rPr>
        <w:lastRenderedPageBreak/>
        <w:t xml:space="preserve">В случаите на остро преднамерено или случайно предозиране с клозапин, за които има информация за изхода, смъртността е около 12%. Повечето от случаите с фатален изход са свързани със сърдечна недостатъчност или пневмония поради аспирация и възникват при дози над 2 000 </w:t>
      </w:r>
      <w:r w:rsidRPr="00033031">
        <w:rPr>
          <w:rFonts w:eastAsia="Times New Roman" w:cs="Arial"/>
          <w:color w:val="000000"/>
          <w:lang w:val="en-US"/>
        </w:rPr>
        <w:t>mg</w:t>
      </w:r>
      <w:r w:rsidRPr="00033031">
        <w:rPr>
          <w:rFonts w:eastAsia="Times New Roman" w:cs="Arial"/>
          <w:color w:val="000000"/>
          <w:lang w:val="ru-RU"/>
        </w:rPr>
        <w:t xml:space="preserve">. </w:t>
      </w:r>
      <w:r w:rsidRPr="00033031">
        <w:rPr>
          <w:rFonts w:eastAsia="Times New Roman" w:cs="Arial"/>
          <w:color w:val="000000"/>
          <w:lang w:eastAsia="bg-BG"/>
        </w:rPr>
        <w:t xml:space="preserve">Има съобщения за пациенти, които са се възстановили от предозиране с над 10 000 </w:t>
      </w:r>
      <w:r w:rsidRPr="00033031">
        <w:rPr>
          <w:rFonts w:eastAsia="Times New Roman" w:cs="Arial"/>
          <w:color w:val="000000"/>
          <w:lang w:val="en-US"/>
        </w:rPr>
        <w:t>mg</w:t>
      </w:r>
      <w:r w:rsidRPr="00033031">
        <w:rPr>
          <w:rFonts w:eastAsia="Times New Roman" w:cs="Arial"/>
          <w:color w:val="000000"/>
          <w:lang w:val="ru-RU"/>
        </w:rPr>
        <w:t xml:space="preserve">. </w:t>
      </w:r>
      <w:r w:rsidRPr="00033031">
        <w:rPr>
          <w:rFonts w:eastAsia="Times New Roman" w:cs="Arial"/>
          <w:color w:val="000000"/>
          <w:lang w:eastAsia="bg-BG"/>
        </w:rPr>
        <w:t xml:space="preserve">При малък брой възрастни, обаче, предимно при тези, които преди това не са приемали клозапин, приемът на дози от 400 </w:t>
      </w:r>
      <w:r w:rsidRPr="00033031">
        <w:rPr>
          <w:rFonts w:eastAsia="Times New Roman" w:cs="Arial"/>
          <w:color w:val="000000"/>
          <w:lang w:val="en-US"/>
        </w:rPr>
        <w:t>mg</w:t>
      </w:r>
      <w:r w:rsidRPr="00033031">
        <w:rPr>
          <w:rFonts w:eastAsia="Times New Roman" w:cs="Arial"/>
          <w:color w:val="000000"/>
          <w:lang w:val="ru-RU"/>
        </w:rPr>
        <w:t xml:space="preserve"> </w:t>
      </w:r>
      <w:r w:rsidRPr="00033031">
        <w:rPr>
          <w:rFonts w:eastAsia="Times New Roman" w:cs="Arial"/>
          <w:color w:val="000000"/>
          <w:lang w:eastAsia="bg-BG"/>
        </w:rPr>
        <w:t xml:space="preserve">е довел до животозастрашаващи коматозни състояния, а в един случай до смърт. При малки деца приемът на 50 до 200 </w:t>
      </w:r>
      <w:r w:rsidRPr="00033031">
        <w:rPr>
          <w:rFonts w:eastAsia="Times New Roman" w:cs="Arial"/>
          <w:color w:val="000000"/>
          <w:lang w:val="en-US"/>
        </w:rPr>
        <w:t>mg</w:t>
      </w:r>
      <w:r w:rsidRPr="00033031">
        <w:rPr>
          <w:rFonts w:eastAsia="Times New Roman" w:cs="Arial"/>
          <w:color w:val="000000"/>
          <w:lang w:val="ru-RU"/>
        </w:rPr>
        <w:t xml:space="preserve"> </w:t>
      </w:r>
      <w:r w:rsidRPr="00033031">
        <w:rPr>
          <w:rFonts w:eastAsia="Times New Roman" w:cs="Arial"/>
          <w:color w:val="000000"/>
          <w:lang w:eastAsia="bg-BG"/>
        </w:rPr>
        <w:t>е довел до дълбоко седиране или кома, която не е била фатална.</w:t>
      </w:r>
    </w:p>
    <w:p w14:paraId="2D0B1D82" w14:textId="77777777" w:rsidR="00033031" w:rsidRDefault="00033031" w:rsidP="00033031">
      <w:pPr>
        <w:spacing w:line="240" w:lineRule="auto"/>
        <w:rPr>
          <w:rFonts w:eastAsia="Times New Roman" w:cs="Arial"/>
          <w:b/>
          <w:bCs/>
          <w:color w:val="000000"/>
          <w:lang w:eastAsia="bg-BG"/>
        </w:rPr>
      </w:pPr>
    </w:p>
    <w:p w14:paraId="46850C8E" w14:textId="7495AC97" w:rsidR="00033031" w:rsidRPr="00033031" w:rsidRDefault="00033031" w:rsidP="00033031">
      <w:pPr>
        <w:spacing w:line="240" w:lineRule="auto"/>
        <w:rPr>
          <w:rFonts w:eastAsia="Times New Roman" w:cs="Arial"/>
        </w:rPr>
      </w:pPr>
      <w:r w:rsidRPr="00033031">
        <w:rPr>
          <w:rFonts w:eastAsia="Times New Roman" w:cs="Arial"/>
          <w:b/>
          <w:bCs/>
          <w:color w:val="000000"/>
          <w:lang w:eastAsia="bg-BG"/>
        </w:rPr>
        <w:t>Признаци и симптоми</w:t>
      </w:r>
    </w:p>
    <w:p w14:paraId="793F6B37" w14:textId="77777777" w:rsidR="00033031" w:rsidRPr="00033031" w:rsidRDefault="00033031" w:rsidP="00033031">
      <w:pPr>
        <w:spacing w:line="240" w:lineRule="auto"/>
        <w:rPr>
          <w:rFonts w:eastAsia="Times New Roman" w:cs="Arial"/>
        </w:rPr>
      </w:pPr>
      <w:r w:rsidRPr="00033031">
        <w:rPr>
          <w:rFonts w:eastAsia="Times New Roman" w:cs="Arial"/>
          <w:color w:val="000000"/>
          <w:lang w:eastAsia="bg-BG"/>
        </w:rPr>
        <w:t>Сънливост, летаргия, арефлексия, кома, обърканост, халюцинации, ажитираност, делир, екстрапирамидни симптоми, хиперрефлексия, гърчове, хиперсаливация, мидриаза, замъглено зрение, термолабилност, хипотония, колапс, тахикардия, сърдечни аритмии; аспирационна пневмония, диспнея, потискане на дишането или дихателна недостатъчност.</w:t>
      </w:r>
    </w:p>
    <w:p w14:paraId="76DCCBDD" w14:textId="77777777" w:rsidR="00033031" w:rsidRDefault="00033031" w:rsidP="00033031">
      <w:pPr>
        <w:spacing w:line="240" w:lineRule="auto"/>
        <w:rPr>
          <w:rFonts w:eastAsia="Times New Roman" w:cs="Arial"/>
          <w:b/>
          <w:bCs/>
          <w:color w:val="000000"/>
          <w:lang w:eastAsia="bg-BG"/>
        </w:rPr>
      </w:pPr>
    </w:p>
    <w:p w14:paraId="11010FB3" w14:textId="1E77D96C" w:rsidR="00033031" w:rsidRPr="00033031" w:rsidRDefault="00033031" w:rsidP="00033031">
      <w:pPr>
        <w:spacing w:line="240" w:lineRule="auto"/>
        <w:rPr>
          <w:rFonts w:eastAsia="Times New Roman" w:cs="Arial"/>
        </w:rPr>
      </w:pPr>
      <w:r w:rsidRPr="00033031">
        <w:rPr>
          <w:rFonts w:eastAsia="Times New Roman" w:cs="Arial"/>
          <w:b/>
          <w:bCs/>
          <w:color w:val="000000"/>
          <w:lang w:eastAsia="bg-BG"/>
        </w:rPr>
        <w:t>Лечение</w:t>
      </w:r>
    </w:p>
    <w:p w14:paraId="70C3FD19" w14:textId="77777777" w:rsidR="00033031" w:rsidRPr="00033031" w:rsidRDefault="00033031" w:rsidP="00033031">
      <w:pPr>
        <w:spacing w:line="240" w:lineRule="auto"/>
        <w:rPr>
          <w:rFonts w:eastAsia="Times New Roman" w:cs="Arial"/>
        </w:rPr>
      </w:pPr>
      <w:r w:rsidRPr="00033031">
        <w:rPr>
          <w:rFonts w:eastAsia="Times New Roman" w:cs="Arial"/>
          <w:color w:val="000000"/>
          <w:lang w:eastAsia="bg-BG"/>
        </w:rPr>
        <w:t>Няма специфични антидоти за Ксенопалан.</w:t>
      </w:r>
    </w:p>
    <w:p w14:paraId="72922B14" w14:textId="0F85D001" w:rsidR="00033031" w:rsidRDefault="00033031" w:rsidP="00033031"/>
    <w:p w14:paraId="27C19DE8" w14:textId="77777777" w:rsidR="00033031" w:rsidRPr="00033031" w:rsidRDefault="00033031" w:rsidP="00033031">
      <w:pPr>
        <w:rPr>
          <w:sz w:val="24"/>
          <w:szCs w:val="24"/>
        </w:rPr>
      </w:pPr>
      <w:r w:rsidRPr="00033031">
        <w:rPr>
          <w:lang w:eastAsia="bg-BG"/>
        </w:rPr>
        <w:t>Стомашна промивка и/или прилагане на активен въглен в първите 6 часа след поглъщане на лекарството. Малко вероятно е перитонеалната диализа и хемодиализата да бъдат ефективни. Симптоматично лечение под непрекъснат сърдечен мониторинг, следене на дишането, контрол на електролитите и алкално-киселинното равновесие. При лечението на хипотонията трябва да се избягва употребата на епинефрин поради възможността от развитие на „обратен епинефринов ефект”.</w:t>
      </w:r>
    </w:p>
    <w:p w14:paraId="4986BFBF" w14:textId="77777777" w:rsidR="00033031" w:rsidRDefault="00033031" w:rsidP="00033031">
      <w:pPr>
        <w:rPr>
          <w:lang w:eastAsia="bg-BG"/>
        </w:rPr>
      </w:pPr>
    </w:p>
    <w:p w14:paraId="49D389F9" w14:textId="5360F43E" w:rsidR="00033031" w:rsidRPr="00033031" w:rsidRDefault="00033031" w:rsidP="00033031">
      <w:pPr>
        <w:rPr>
          <w:sz w:val="24"/>
          <w:szCs w:val="24"/>
        </w:rPr>
      </w:pPr>
      <w:r w:rsidRPr="00033031">
        <w:rPr>
          <w:lang w:eastAsia="bg-BG"/>
        </w:rPr>
        <w:t>Необходимо е непрекъснато медицинско наблюдение в продължение най-малко на 5 дни поради възможността от поява на по-късни реакции.</w:t>
      </w:r>
    </w:p>
    <w:p w14:paraId="1B896D70" w14:textId="77777777" w:rsidR="00033031" w:rsidRPr="00033031" w:rsidRDefault="00033031" w:rsidP="00033031"/>
    <w:p w14:paraId="02081B24" w14:textId="1F46E296" w:rsidR="00395555" w:rsidRPr="00395555" w:rsidRDefault="002C50EE" w:rsidP="008A6AF2">
      <w:pPr>
        <w:pStyle w:val="Heading1"/>
      </w:pPr>
      <w:r>
        <w:t>5. ФАРМАКОЛОГИЧНИ СВОЙСТВА</w:t>
      </w:r>
    </w:p>
    <w:p w14:paraId="32B6DE66" w14:textId="5176D854" w:rsidR="00CF77F7" w:rsidRDefault="002C50EE" w:rsidP="004A448E">
      <w:pPr>
        <w:pStyle w:val="Heading2"/>
      </w:pPr>
      <w:r>
        <w:t>5.1. Фармакодинамични свойства</w:t>
      </w:r>
    </w:p>
    <w:p w14:paraId="5755F577" w14:textId="17B6C61A" w:rsidR="00033031" w:rsidRDefault="00033031" w:rsidP="00033031"/>
    <w:p w14:paraId="76FEA773" w14:textId="77777777" w:rsidR="00033031" w:rsidRPr="00033031" w:rsidRDefault="00033031" w:rsidP="00033031">
      <w:pPr>
        <w:spacing w:line="240" w:lineRule="auto"/>
        <w:rPr>
          <w:rFonts w:eastAsia="Times New Roman" w:cs="Arial"/>
        </w:rPr>
      </w:pPr>
      <w:r w:rsidRPr="00033031">
        <w:rPr>
          <w:rFonts w:eastAsia="Times New Roman" w:cs="Arial"/>
          <w:color w:val="000000"/>
          <w:lang w:eastAsia="bg-BG"/>
        </w:rPr>
        <w:t xml:space="preserve">Фармакотерапевична група: Антипсихотично средство (АТС код: </w:t>
      </w:r>
      <w:r w:rsidRPr="00033031">
        <w:rPr>
          <w:rFonts w:eastAsia="Times New Roman" w:cs="Arial"/>
          <w:color w:val="000000"/>
          <w:lang w:val="en-US"/>
        </w:rPr>
        <w:t>N</w:t>
      </w:r>
      <w:r w:rsidRPr="00033031">
        <w:rPr>
          <w:rFonts w:eastAsia="Times New Roman" w:cs="Arial"/>
          <w:color w:val="000000"/>
          <w:lang w:val="ru-RU"/>
        </w:rPr>
        <w:t>05</w:t>
      </w:r>
      <w:r w:rsidRPr="00033031">
        <w:rPr>
          <w:rFonts w:eastAsia="Times New Roman" w:cs="Arial"/>
          <w:color w:val="000000"/>
          <w:lang w:val="en-US"/>
        </w:rPr>
        <w:t>A</w:t>
      </w:r>
      <w:r w:rsidRPr="00033031">
        <w:rPr>
          <w:rFonts w:eastAsia="Times New Roman" w:cs="Arial"/>
          <w:color w:val="000000"/>
          <w:lang w:val="ru-RU"/>
        </w:rPr>
        <w:t xml:space="preserve"> </w:t>
      </w:r>
      <w:r w:rsidRPr="00033031">
        <w:rPr>
          <w:rFonts w:eastAsia="Times New Roman" w:cs="Arial"/>
          <w:color w:val="000000"/>
          <w:lang w:eastAsia="bg-BG"/>
        </w:rPr>
        <w:t>Н02).</w:t>
      </w:r>
    </w:p>
    <w:p w14:paraId="49EC2218" w14:textId="77777777" w:rsidR="00033031" w:rsidRDefault="00033031" w:rsidP="00033031">
      <w:pPr>
        <w:spacing w:line="240" w:lineRule="auto"/>
        <w:rPr>
          <w:rFonts w:eastAsia="Times New Roman" w:cs="Arial"/>
          <w:color w:val="000000"/>
          <w:u w:val="single"/>
          <w:lang w:eastAsia="bg-BG"/>
        </w:rPr>
      </w:pPr>
    </w:p>
    <w:p w14:paraId="226AE928" w14:textId="09818C32" w:rsidR="00033031" w:rsidRPr="00033031" w:rsidRDefault="00033031" w:rsidP="00033031">
      <w:pPr>
        <w:spacing w:line="240" w:lineRule="auto"/>
        <w:rPr>
          <w:rFonts w:eastAsia="Times New Roman" w:cs="Arial"/>
        </w:rPr>
      </w:pPr>
      <w:r w:rsidRPr="00033031">
        <w:rPr>
          <w:rFonts w:eastAsia="Times New Roman" w:cs="Arial"/>
          <w:color w:val="000000"/>
          <w:u w:val="single"/>
          <w:lang w:eastAsia="bg-BG"/>
        </w:rPr>
        <w:t>Механизъм на действие и Фармаколинамични ефекти</w:t>
      </w:r>
    </w:p>
    <w:p w14:paraId="20B042CB" w14:textId="77777777" w:rsidR="00033031" w:rsidRDefault="00033031" w:rsidP="00033031">
      <w:pPr>
        <w:spacing w:line="240" w:lineRule="auto"/>
        <w:rPr>
          <w:rFonts w:eastAsia="Times New Roman" w:cs="Arial"/>
          <w:color w:val="000000"/>
          <w:lang w:eastAsia="bg-BG"/>
        </w:rPr>
      </w:pPr>
    </w:p>
    <w:p w14:paraId="7A7F591A" w14:textId="02E4DAF3" w:rsidR="00033031" w:rsidRPr="00033031" w:rsidRDefault="00033031" w:rsidP="00033031">
      <w:pPr>
        <w:spacing w:line="240" w:lineRule="auto"/>
        <w:rPr>
          <w:rFonts w:eastAsia="Times New Roman" w:cs="Arial"/>
        </w:rPr>
      </w:pPr>
      <w:r w:rsidRPr="00033031">
        <w:rPr>
          <w:rFonts w:eastAsia="Times New Roman" w:cs="Arial"/>
          <w:color w:val="000000"/>
          <w:lang w:eastAsia="bg-BG"/>
        </w:rPr>
        <w:t xml:space="preserve">Установено е, че клозапин е антипсихотично средство, което се различава от класическите антипсихотици. При фармакологични експерименти, съединението не предизвиква каталепсия или инхибиране на индуцираното от апоморфин или амфетамин стереотипно поведение. Притежава само слабо блокиращо действие върху допаминовите рецептори </w:t>
      </w:r>
      <w:r w:rsidRPr="00033031">
        <w:rPr>
          <w:rFonts w:eastAsia="Times New Roman" w:cs="Arial"/>
          <w:color w:val="000000"/>
          <w:lang w:val="en-US"/>
        </w:rPr>
        <w:t>DI</w:t>
      </w:r>
      <w:r w:rsidRPr="00033031">
        <w:rPr>
          <w:rFonts w:eastAsia="Times New Roman" w:cs="Arial"/>
          <w:color w:val="000000"/>
          <w:lang w:val="ru-RU"/>
        </w:rPr>
        <w:t xml:space="preserve">, </w:t>
      </w:r>
      <w:r w:rsidRPr="00033031">
        <w:rPr>
          <w:rFonts w:eastAsia="Times New Roman" w:cs="Arial"/>
          <w:color w:val="000000"/>
          <w:lang w:val="en-US"/>
        </w:rPr>
        <w:t>D</w:t>
      </w:r>
      <w:r w:rsidRPr="00033031">
        <w:rPr>
          <w:rFonts w:eastAsia="Times New Roman" w:cs="Arial"/>
          <w:color w:val="000000"/>
          <w:lang w:val="ru-RU"/>
        </w:rPr>
        <w:t xml:space="preserve">2, </w:t>
      </w:r>
      <w:r w:rsidRPr="00033031">
        <w:rPr>
          <w:rFonts w:eastAsia="Times New Roman" w:cs="Arial"/>
          <w:color w:val="000000"/>
          <w:lang w:val="en-US"/>
        </w:rPr>
        <w:t>D</w:t>
      </w:r>
      <w:r w:rsidRPr="00033031">
        <w:rPr>
          <w:rFonts w:eastAsia="Times New Roman" w:cs="Arial"/>
          <w:color w:val="000000"/>
          <w:lang w:val="ru-RU"/>
        </w:rPr>
        <w:t xml:space="preserve">3 </w:t>
      </w:r>
      <w:r w:rsidRPr="00033031">
        <w:rPr>
          <w:rFonts w:eastAsia="Times New Roman" w:cs="Arial"/>
          <w:color w:val="000000"/>
          <w:lang w:eastAsia="bg-BG"/>
        </w:rPr>
        <w:t xml:space="preserve">и </w:t>
      </w:r>
      <w:r w:rsidRPr="00033031">
        <w:rPr>
          <w:rFonts w:eastAsia="Times New Roman" w:cs="Arial"/>
          <w:color w:val="000000"/>
          <w:lang w:val="en-US"/>
        </w:rPr>
        <w:t>D</w:t>
      </w:r>
      <w:r w:rsidRPr="00033031">
        <w:rPr>
          <w:rFonts w:eastAsia="Times New Roman" w:cs="Arial"/>
          <w:color w:val="000000"/>
          <w:lang w:val="ru-RU"/>
        </w:rPr>
        <w:t xml:space="preserve">5, </w:t>
      </w:r>
      <w:r w:rsidRPr="00033031">
        <w:rPr>
          <w:rFonts w:eastAsia="Times New Roman" w:cs="Arial"/>
          <w:color w:val="000000"/>
          <w:lang w:eastAsia="bg-BG"/>
        </w:rPr>
        <w:t xml:space="preserve">но показва висок афинитет към </w:t>
      </w:r>
      <w:r w:rsidRPr="00033031">
        <w:rPr>
          <w:rFonts w:eastAsia="Times New Roman" w:cs="Arial"/>
          <w:color w:val="000000"/>
          <w:lang w:val="en-US"/>
        </w:rPr>
        <w:t>D</w:t>
      </w:r>
      <w:r w:rsidRPr="00033031">
        <w:rPr>
          <w:rFonts w:eastAsia="Times New Roman" w:cs="Arial"/>
          <w:color w:val="000000"/>
          <w:lang w:val="ru-RU"/>
        </w:rPr>
        <w:t xml:space="preserve">4 </w:t>
      </w:r>
      <w:r w:rsidRPr="00033031">
        <w:rPr>
          <w:rFonts w:eastAsia="Times New Roman" w:cs="Arial"/>
          <w:color w:val="000000"/>
          <w:lang w:eastAsia="bg-BG"/>
        </w:rPr>
        <w:t>рецептора, в допълнение към мощните му антиалфаадренергични, антихолинергични, антихистаминови и инхибиращи възбудната реакция ефекти. Доказано е, че притежава и антисеротонинергични свойства.</w:t>
      </w:r>
    </w:p>
    <w:p w14:paraId="6B8E3053" w14:textId="77777777" w:rsidR="00033031" w:rsidRDefault="00033031" w:rsidP="00033031">
      <w:pPr>
        <w:spacing w:line="240" w:lineRule="auto"/>
        <w:rPr>
          <w:rFonts w:eastAsia="Times New Roman" w:cs="Arial"/>
          <w:color w:val="000000"/>
          <w:u w:val="single"/>
          <w:lang w:eastAsia="bg-BG"/>
        </w:rPr>
      </w:pPr>
    </w:p>
    <w:p w14:paraId="028A35C8" w14:textId="24FF272A" w:rsidR="00033031" w:rsidRPr="00033031" w:rsidRDefault="00033031" w:rsidP="00033031">
      <w:pPr>
        <w:spacing w:line="240" w:lineRule="auto"/>
        <w:rPr>
          <w:rFonts w:eastAsia="Times New Roman" w:cs="Arial"/>
        </w:rPr>
      </w:pPr>
      <w:r w:rsidRPr="00033031">
        <w:rPr>
          <w:rFonts w:eastAsia="Times New Roman" w:cs="Arial"/>
          <w:color w:val="000000"/>
          <w:u w:val="single"/>
          <w:lang w:eastAsia="bg-BG"/>
        </w:rPr>
        <w:t>Клинична ефикасност и безопасност</w:t>
      </w:r>
    </w:p>
    <w:p w14:paraId="0B3DEC89" w14:textId="77777777" w:rsidR="00033031" w:rsidRPr="00033031" w:rsidRDefault="00033031" w:rsidP="00033031">
      <w:pPr>
        <w:spacing w:line="240" w:lineRule="auto"/>
        <w:rPr>
          <w:rFonts w:eastAsia="Times New Roman" w:cs="Arial"/>
        </w:rPr>
      </w:pPr>
      <w:r w:rsidRPr="00033031">
        <w:rPr>
          <w:rFonts w:eastAsia="Times New Roman" w:cs="Arial"/>
          <w:color w:val="000000"/>
          <w:lang w:eastAsia="bg-BG"/>
        </w:rPr>
        <w:lastRenderedPageBreak/>
        <w:t xml:space="preserve">В клинични условия клозапин предизвиква бързо и изразено седиране и оказва антипсихотични ефекти при шизофреино болни, резистентни към друго медикаментозно лечение. В такива случаи е доказано, че клозапин е ефективен при облекчаване както на позитивните, така и на негативните шизофрении симптоми, главно при проведени краткосрочни проучвания. При едно открито клинично проучване, проведено при 319 резистентни на лечение пациенти, лекувани в продължение на 12 месеца, е отчетено клинично значимо подобрение при 37% от случаите в рамките на първата седмица от лечението и при още 44% в края на 12-те месеца. Подобрението е определено като 20% понижаване на скора по кратката психиатрична скала за оценка </w:t>
      </w:r>
      <w:r w:rsidRPr="00033031">
        <w:rPr>
          <w:rFonts w:eastAsia="Times New Roman" w:cs="Arial"/>
          <w:color w:val="000000"/>
          <w:lang w:val="ru-RU"/>
        </w:rPr>
        <w:t>(</w:t>
      </w:r>
      <w:r w:rsidRPr="00033031">
        <w:rPr>
          <w:rFonts w:eastAsia="Times New Roman" w:cs="Arial"/>
          <w:color w:val="000000"/>
          <w:lang w:val="en-US"/>
        </w:rPr>
        <w:t>Brief</w:t>
      </w:r>
      <w:r w:rsidRPr="00033031">
        <w:rPr>
          <w:rFonts w:eastAsia="Times New Roman" w:cs="Arial"/>
          <w:color w:val="000000"/>
          <w:lang w:val="ru-RU"/>
        </w:rPr>
        <w:t xml:space="preserve"> </w:t>
      </w:r>
      <w:r w:rsidRPr="00033031">
        <w:rPr>
          <w:rFonts w:eastAsia="Times New Roman" w:cs="Arial"/>
          <w:color w:val="000000"/>
          <w:lang w:val="en-US"/>
        </w:rPr>
        <w:t>Psychiatric</w:t>
      </w:r>
      <w:r w:rsidRPr="00033031">
        <w:rPr>
          <w:rFonts w:eastAsia="Times New Roman" w:cs="Arial"/>
          <w:color w:val="000000"/>
          <w:lang w:val="ru-RU"/>
        </w:rPr>
        <w:t xml:space="preserve"> </w:t>
      </w:r>
      <w:r w:rsidRPr="00033031">
        <w:rPr>
          <w:rFonts w:eastAsia="Times New Roman" w:cs="Arial"/>
          <w:color w:val="000000"/>
          <w:lang w:val="en-US"/>
        </w:rPr>
        <w:t>Rating</w:t>
      </w:r>
      <w:r w:rsidRPr="00033031">
        <w:rPr>
          <w:rFonts w:eastAsia="Times New Roman" w:cs="Arial"/>
          <w:color w:val="000000"/>
          <w:lang w:val="ru-RU"/>
        </w:rPr>
        <w:t xml:space="preserve"> </w:t>
      </w:r>
      <w:r w:rsidRPr="00033031">
        <w:rPr>
          <w:rFonts w:eastAsia="Times New Roman" w:cs="Arial"/>
          <w:color w:val="000000"/>
          <w:lang w:val="en-US"/>
        </w:rPr>
        <w:t>Scale</w:t>
      </w:r>
      <w:r w:rsidRPr="00033031">
        <w:rPr>
          <w:rFonts w:eastAsia="Times New Roman" w:cs="Arial"/>
          <w:color w:val="000000"/>
          <w:lang w:val="ru-RU"/>
        </w:rPr>
        <w:t xml:space="preserve">) </w:t>
      </w:r>
      <w:r w:rsidRPr="00033031">
        <w:rPr>
          <w:rFonts w:eastAsia="Times New Roman" w:cs="Arial"/>
          <w:color w:val="000000"/>
          <w:lang w:eastAsia="bg-BG"/>
        </w:rPr>
        <w:t>спрямо изходния резултат. Освен това се съобщава и за подобрение по отношение на някои от аспектите на когнитивната дисфункция.</w:t>
      </w:r>
    </w:p>
    <w:p w14:paraId="74BB8402" w14:textId="77777777" w:rsidR="00033031" w:rsidRDefault="00033031" w:rsidP="00033031">
      <w:pPr>
        <w:spacing w:line="240" w:lineRule="auto"/>
        <w:rPr>
          <w:rFonts w:eastAsia="Times New Roman" w:cs="Arial"/>
          <w:color w:val="000000"/>
          <w:lang w:eastAsia="bg-BG"/>
        </w:rPr>
      </w:pPr>
    </w:p>
    <w:p w14:paraId="61A8040F" w14:textId="48E0D796" w:rsidR="00033031" w:rsidRPr="00033031" w:rsidRDefault="00033031" w:rsidP="00033031">
      <w:pPr>
        <w:spacing w:line="240" w:lineRule="auto"/>
        <w:rPr>
          <w:rFonts w:eastAsia="Times New Roman" w:cs="Arial"/>
        </w:rPr>
      </w:pPr>
      <w:r w:rsidRPr="00033031">
        <w:rPr>
          <w:rFonts w:eastAsia="Times New Roman" w:cs="Arial"/>
          <w:color w:val="000000"/>
          <w:lang w:eastAsia="bg-BG"/>
        </w:rPr>
        <w:t>В сравнение с класическите антипсихотици клозапин предизвиква по-малко големи екстрапирамидни реакции като дистония, паркинсоподобни нежелани реакции и акатизия. Противно на класическите антипсихотици клозапин предизвиква слабо или не предизвиква повишаване на пролактина, като по този начин се избягват нежелани реакции като гинекомастия, аменорея, галакторея и импотентност.</w:t>
      </w:r>
    </w:p>
    <w:p w14:paraId="7B85E195" w14:textId="77777777" w:rsidR="00033031" w:rsidRDefault="00033031" w:rsidP="00033031">
      <w:pPr>
        <w:spacing w:line="240" w:lineRule="auto"/>
        <w:rPr>
          <w:rFonts w:eastAsia="Times New Roman" w:cs="Arial"/>
          <w:color w:val="000000"/>
          <w:lang w:eastAsia="bg-BG"/>
        </w:rPr>
      </w:pPr>
    </w:p>
    <w:p w14:paraId="05B09E71" w14:textId="58C43DDB" w:rsidR="00033031" w:rsidRPr="00033031" w:rsidRDefault="00033031" w:rsidP="00033031">
      <w:pPr>
        <w:spacing w:line="240" w:lineRule="auto"/>
        <w:rPr>
          <w:rFonts w:eastAsia="Times New Roman" w:cs="Arial"/>
        </w:rPr>
      </w:pPr>
      <w:r w:rsidRPr="00033031">
        <w:rPr>
          <w:rFonts w:eastAsia="Times New Roman" w:cs="Arial"/>
          <w:color w:val="000000"/>
          <w:lang w:eastAsia="bg-BG"/>
        </w:rPr>
        <w:t>Потенциално сериозни нежелани реакции, предизвикани от лечението с клозапин са гранулоцитопенията и агранулоцитозата, честотата на които е определена съответно на 3% и 0,7%. Поради този риск употребата на клозапин трябва да се ограничи до пациенти, които са резистентни на лечение или пациенти с психоза при болест на Паркинсон, когато другите терапевтични стратегии са се оказали неуспешни (вж, точка 4,1) и при които могат да се провеждат редовни хематологични изследвания (вж. точки 4.4 и 4.8).</w:t>
      </w:r>
    </w:p>
    <w:p w14:paraId="59DA8E30" w14:textId="77777777" w:rsidR="00033031" w:rsidRPr="00033031" w:rsidRDefault="00033031" w:rsidP="00033031"/>
    <w:p w14:paraId="35F84B81" w14:textId="5A2C07F7" w:rsidR="00CF77F7" w:rsidRDefault="002C50EE" w:rsidP="004A448E">
      <w:pPr>
        <w:pStyle w:val="Heading2"/>
      </w:pPr>
      <w:r>
        <w:t>5.2. Фармакокинетични свойства</w:t>
      </w:r>
    </w:p>
    <w:p w14:paraId="663A6BDD" w14:textId="6A48F505" w:rsidR="00033031" w:rsidRDefault="00033031" w:rsidP="00033031"/>
    <w:p w14:paraId="0BECA4B3" w14:textId="534253E6" w:rsidR="00033031" w:rsidRPr="00033031" w:rsidRDefault="00033031" w:rsidP="00033031">
      <w:pPr>
        <w:pStyle w:val="Heading3"/>
        <w:rPr>
          <w:u w:val="single"/>
        </w:rPr>
      </w:pPr>
      <w:r w:rsidRPr="00033031">
        <w:rPr>
          <w:u w:val="single"/>
        </w:rPr>
        <w:t>Абсорбция</w:t>
      </w:r>
    </w:p>
    <w:p w14:paraId="54C01A2C" w14:textId="77777777" w:rsidR="00033031" w:rsidRPr="00033031" w:rsidRDefault="00033031" w:rsidP="00033031">
      <w:pPr>
        <w:spacing w:line="240" w:lineRule="auto"/>
        <w:rPr>
          <w:rFonts w:eastAsia="Times New Roman" w:cs="Arial"/>
        </w:rPr>
      </w:pPr>
      <w:r w:rsidRPr="00033031">
        <w:rPr>
          <w:rFonts w:eastAsia="Times New Roman" w:cs="Arial"/>
          <w:color w:val="000000"/>
          <w:lang w:eastAsia="bg-BG"/>
        </w:rPr>
        <w:t>Абсорбцията на перорално приложения клозапин е 90-95%, като нито скоростта, нито степента на абсорбцията се повлияват от храната. Клозапин е подложен на умерено превръщане при първо преминаване, което води до абсолютна бионаличност от 50 до 60%.</w:t>
      </w:r>
    </w:p>
    <w:p w14:paraId="244ED7FC" w14:textId="77777777" w:rsidR="00033031" w:rsidRDefault="00033031" w:rsidP="00033031">
      <w:pPr>
        <w:spacing w:line="240" w:lineRule="auto"/>
        <w:rPr>
          <w:rFonts w:eastAsia="Times New Roman" w:cs="Arial"/>
          <w:i/>
          <w:iCs/>
          <w:color w:val="000000"/>
          <w:u w:val="single"/>
          <w:lang w:eastAsia="bg-BG"/>
        </w:rPr>
      </w:pPr>
    </w:p>
    <w:p w14:paraId="68B8E013" w14:textId="42FAA313" w:rsidR="00033031" w:rsidRPr="00033031" w:rsidRDefault="00033031" w:rsidP="00033031">
      <w:pPr>
        <w:pStyle w:val="Heading3"/>
        <w:rPr>
          <w:rFonts w:eastAsia="Times New Roman"/>
          <w:u w:val="single"/>
        </w:rPr>
      </w:pPr>
      <w:r w:rsidRPr="00033031">
        <w:rPr>
          <w:rFonts w:eastAsia="Times New Roman"/>
          <w:u w:val="single"/>
          <w:lang w:eastAsia="bg-BG"/>
        </w:rPr>
        <w:t>Разпределение</w:t>
      </w:r>
    </w:p>
    <w:p w14:paraId="17792DCB" w14:textId="77777777" w:rsidR="00033031" w:rsidRPr="00033031" w:rsidRDefault="00033031" w:rsidP="00033031">
      <w:pPr>
        <w:spacing w:line="240" w:lineRule="auto"/>
        <w:rPr>
          <w:rFonts w:eastAsia="Times New Roman" w:cs="Arial"/>
        </w:rPr>
      </w:pPr>
      <w:r w:rsidRPr="00033031">
        <w:rPr>
          <w:rFonts w:eastAsia="Times New Roman" w:cs="Arial"/>
          <w:color w:val="000000"/>
          <w:lang w:eastAsia="bg-BG"/>
        </w:rPr>
        <w:t xml:space="preserve">При равновесни условия, ако се дава два пъти дневно, пиковите нива в кръвта се откриват средно след 2,1 часа (обхват: 0,4 до 4,2 часа), а обемът на разпределение е 1,6 </w:t>
      </w:r>
      <w:r w:rsidRPr="00033031">
        <w:rPr>
          <w:rFonts w:eastAsia="Times New Roman" w:cs="Arial"/>
          <w:color w:val="000000"/>
          <w:lang w:val="ru-RU"/>
        </w:rPr>
        <w:t>1/</w:t>
      </w:r>
      <w:r w:rsidRPr="00033031">
        <w:rPr>
          <w:rFonts w:eastAsia="Times New Roman" w:cs="Arial"/>
          <w:color w:val="000000"/>
          <w:lang w:val="en-US"/>
        </w:rPr>
        <w:t>kg</w:t>
      </w:r>
      <w:r w:rsidRPr="00033031">
        <w:rPr>
          <w:rFonts w:eastAsia="Times New Roman" w:cs="Arial"/>
          <w:color w:val="000000"/>
          <w:lang w:val="ru-RU"/>
        </w:rPr>
        <w:t xml:space="preserve">. </w:t>
      </w:r>
      <w:r w:rsidRPr="00033031">
        <w:rPr>
          <w:rFonts w:eastAsia="Times New Roman" w:cs="Arial"/>
          <w:color w:val="000000"/>
          <w:lang w:eastAsia="bg-BG"/>
        </w:rPr>
        <w:t>Клозапин се свързва около 95% с плазмените протеини.</w:t>
      </w:r>
    </w:p>
    <w:p w14:paraId="1DED50F8" w14:textId="77777777" w:rsidR="00033031" w:rsidRDefault="00033031" w:rsidP="00033031">
      <w:pPr>
        <w:spacing w:line="240" w:lineRule="auto"/>
        <w:rPr>
          <w:rFonts w:eastAsia="Times New Roman" w:cs="Arial"/>
          <w:i/>
          <w:iCs/>
          <w:color w:val="000000"/>
          <w:u w:val="single"/>
          <w:lang w:eastAsia="bg-BG"/>
        </w:rPr>
      </w:pPr>
    </w:p>
    <w:p w14:paraId="1EDE8603" w14:textId="7FC0AE58" w:rsidR="00033031" w:rsidRPr="00033031" w:rsidRDefault="00033031" w:rsidP="00033031">
      <w:pPr>
        <w:pStyle w:val="Heading3"/>
        <w:rPr>
          <w:rFonts w:eastAsia="Times New Roman"/>
          <w:u w:val="single"/>
        </w:rPr>
      </w:pPr>
      <w:r w:rsidRPr="00033031">
        <w:rPr>
          <w:rFonts w:eastAsia="Times New Roman"/>
          <w:u w:val="single"/>
          <w:lang w:eastAsia="bg-BG"/>
        </w:rPr>
        <w:t>Биотрансформаиия</w:t>
      </w:r>
    </w:p>
    <w:p w14:paraId="59C7DC95" w14:textId="77777777" w:rsidR="00033031" w:rsidRPr="00033031" w:rsidRDefault="00033031" w:rsidP="00033031">
      <w:pPr>
        <w:spacing w:line="240" w:lineRule="auto"/>
        <w:rPr>
          <w:rFonts w:eastAsia="Times New Roman" w:cs="Arial"/>
        </w:rPr>
      </w:pPr>
      <w:r w:rsidRPr="00033031">
        <w:rPr>
          <w:rFonts w:eastAsia="Times New Roman" w:cs="Arial"/>
          <w:color w:val="000000"/>
          <w:lang w:eastAsia="bg-BG"/>
        </w:rPr>
        <w:t>Клозапин се метаболизира почти напълно преди да се екскретира. От главните метаболити е установена активност единствено на диметиловия метаболит. Фармакологичните му действия наподобяват тези на клозапина, но са значително по-слаби и с по-кратка продължителност.</w:t>
      </w:r>
    </w:p>
    <w:p w14:paraId="48A5325D" w14:textId="77777777" w:rsidR="00033031" w:rsidRDefault="00033031" w:rsidP="00033031">
      <w:pPr>
        <w:spacing w:line="240" w:lineRule="auto"/>
        <w:rPr>
          <w:rFonts w:eastAsia="Times New Roman" w:cs="Arial"/>
          <w:i/>
          <w:iCs/>
          <w:color w:val="000000"/>
          <w:u w:val="single"/>
          <w:lang w:eastAsia="bg-BG"/>
        </w:rPr>
      </w:pPr>
    </w:p>
    <w:p w14:paraId="63662282" w14:textId="3447FC42" w:rsidR="00033031" w:rsidRPr="00033031" w:rsidRDefault="00033031" w:rsidP="00033031">
      <w:pPr>
        <w:pStyle w:val="Heading3"/>
        <w:rPr>
          <w:rFonts w:eastAsia="Times New Roman"/>
          <w:u w:val="single"/>
        </w:rPr>
      </w:pPr>
      <w:r w:rsidRPr="00033031">
        <w:rPr>
          <w:rFonts w:eastAsia="Times New Roman"/>
          <w:u w:val="single"/>
          <w:lang w:eastAsia="bg-BG"/>
        </w:rPr>
        <w:t>Елиминиране</w:t>
      </w:r>
    </w:p>
    <w:p w14:paraId="6046C205" w14:textId="77777777" w:rsidR="00033031" w:rsidRPr="00033031" w:rsidRDefault="00033031" w:rsidP="00033031">
      <w:pPr>
        <w:spacing w:line="240" w:lineRule="auto"/>
        <w:rPr>
          <w:rFonts w:eastAsia="Times New Roman" w:cs="Arial"/>
        </w:rPr>
      </w:pPr>
      <w:r w:rsidRPr="00033031">
        <w:rPr>
          <w:rFonts w:eastAsia="Times New Roman" w:cs="Arial"/>
          <w:color w:val="000000"/>
          <w:lang w:eastAsia="bg-BG"/>
        </w:rPr>
        <w:t xml:space="preserve">Елиминирането му е двуфазово със среден терминален полуживот от 12 часа (обхват: 6 до 26 часа). След единични дози от 75 </w:t>
      </w:r>
      <w:r w:rsidRPr="00033031">
        <w:rPr>
          <w:rFonts w:eastAsia="Times New Roman" w:cs="Arial"/>
          <w:color w:val="000000"/>
          <w:lang w:val="en-US"/>
        </w:rPr>
        <w:t>mg</w:t>
      </w:r>
      <w:r w:rsidRPr="00033031">
        <w:rPr>
          <w:rFonts w:eastAsia="Times New Roman" w:cs="Arial"/>
          <w:color w:val="000000"/>
          <w:lang w:val="ru-RU"/>
        </w:rPr>
        <w:t xml:space="preserve"> </w:t>
      </w:r>
      <w:r w:rsidRPr="00033031">
        <w:rPr>
          <w:rFonts w:eastAsia="Times New Roman" w:cs="Arial"/>
          <w:color w:val="000000"/>
          <w:lang w:eastAsia="bg-BG"/>
        </w:rPr>
        <w:t xml:space="preserve">средният терминален полуживот е 7,9 часа; той се повишава до 14,2 часа, когато се достигнат условия на равновесно състояние чрез приложение на дози от 75 </w:t>
      </w:r>
      <w:r w:rsidRPr="00033031">
        <w:rPr>
          <w:rFonts w:eastAsia="Times New Roman" w:cs="Arial"/>
          <w:color w:val="000000"/>
          <w:lang w:val="en-US"/>
        </w:rPr>
        <w:t>mg</w:t>
      </w:r>
      <w:r w:rsidRPr="00033031">
        <w:rPr>
          <w:rFonts w:eastAsia="Times New Roman" w:cs="Arial"/>
          <w:color w:val="000000"/>
          <w:lang w:val="ru-RU"/>
        </w:rPr>
        <w:t xml:space="preserve"> </w:t>
      </w:r>
      <w:r w:rsidRPr="00033031">
        <w:rPr>
          <w:rFonts w:eastAsia="Times New Roman" w:cs="Arial"/>
          <w:color w:val="000000"/>
          <w:lang w:eastAsia="bg-BG"/>
        </w:rPr>
        <w:t xml:space="preserve">дневно в продължение на поне 7 дни. В урината и </w:t>
      </w:r>
      <w:r w:rsidRPr="00033031">
        <w:rPr>
          <w:rFonts w:eastAsia="Times New Roman" w:cs="Arial"/>
          <w:color w:val="000000"/>
          <w:lang w:eastAsia="bg-BG"/>
        </w:rPr>
        <w:lastRenderedPageBreak/>
        <w:t>изпражненията се откриват само следи от непроменено лекарство, като приблизително 50% от приложената доза се екскретира под формата на метаболити в урината и 30% в изпражненията.</w:t>
      </w:r>
    </w:p>
    <w:p w14:paraId="3AF25732" w14:textId="77777777" w:rsidR="00033031" w:rsidRDefault="00033031" w:rsidP="00033031">
      <w:pPr>
        <w:spacing w:line="240" w:lineRule="auto"/>
        <w:rPr>
          <w:rFonts w:eastAsia="Times New Roman" w:cs="Arial"/>
          <w:i/>
          <w:iCs/>
          <w:color w:val="000000"/>
          <w:u w:val="single"/>
          <w:lang w:eastAsia="bg-BG"/>
        </w:rPr>
      </w:pPr>
    </w:p>
    <w:p w14:paraId="158E3022" w14:textId="0489F115" w:rsidR="00033031" w:rsidRPr="00033031" w:rsidRDefault="00033031" w:rsidP="00033031">
      <w:pPr>
        <w:pStyle w:val="Heading3"/>
        <w:rPr>
          <w:rFonts w:eastAsia="Times New Roman"/>
          <w:u w:val="single"/>
        </w:rPr>
      </w:pPr>
      <w:r w:rsidRPr="00033031">
        <w:rPr>
          <w:rFonts w:eastAsia="Times New Roman"/>
          <w:u w:val="single"/>
          <w:lang w:eastAsia="bg-BG"/>
        </w:rPr>
        <w:t>Линейност/нелинейност</w:t>
      </w:r>
    </w:p>
    <w:p w14:paraId="0AD93490" w14:textId="77777777" w:rsidR="00033031" w:rsidRPr="00033031" w:rsidRDefault="00033031" w:rsidP="00033031">
      <w:pPr>
        <w:spacing w:line="240" w:lineRule="auto"/>
        <w:rPr>
          <w:rFonts w:eastAsia="Times New Roman" w:cs="Arial"/>
        </w:rPr>
      </w:pPr>
      <w:r w:rsidRPr="00033031">
        <w:rPr>
          <w:rFonts w:eastAsia="Times New Roman" w:cs="Arial"/>
          <w:color w:val="000000"/>
          <w:lang w:eastAsia="bg-BG"/>
        </w:rPr>
        <w:t xml:space="preserve">Повишаването на дозировките от 37,5 </w:t>
      </w:r>
      <w:r w:rsidRPr="00033031">
        <w:rPr>
          <w:rFonts w:eastAsia="Times New Roman" w:cs="Arial"/>
          <w:color w:val="000000"/>
          <w:lang w:val="en-US"/>
        </w:rPr>
        <w:t>mg</w:t>
      </w:r>
      <w:r w:rsidRPr="00033031">
        <w:rPr>
          <w:rFonts w:eastAsia="Times New Roman" w:cs="Arial"/>
          <w:color w:val="000000"/>
          <w:lang w:val="ru-RU"/>
        </w:rPr>
        <w:t xml:space="preserve"> </w:t>
      </w:r>
      <w:r w:rsidRPr="00033031">
        <w:rPr>
          <w:rFonts w:eastAsia="Times New Roman" w:cs="Arial"/>
          <w:color w:val="000000"/>
          <w:lang w:eastAsia="bg-BG"/>
        </w:rPr>
        <w:t xml:space="preserve">до 75 </w:t>
      </w:r>
      <w:r w:rsidRPr="00033031">
        <w:rPr>
          <w:rFonts w:eastAsia="Times New Roman" w:cs="Arial"/>
          <w:color w:val="000000"/>
          <w:lang w:val="en-US"/>
        </w:rPr>
        <w:t>mg</w:t>
      </w:r>
      <w:r w:rsidRPr="00033031">
        <w:rPr>
          <w:rFonts w:eastAsia="Times New Roman" w:cs="Arial"/>
          <w:color w:val="000000"/>
          <w:lang w:val="ru-RU"/>
        </w:rPr>
        <w:t xml:space="preserve"> </w:t>
      </w:r>
      <w:r w:rsidRPr="00033031">
        <w:rPr>
          <w:rFonts w:eastAsia="Times New Roman" w:cs="Arial"/>
          <w:color w:val="000000"/>
          <w:lang w:eastAsia="bg-BG"/>
        </w:rPr>
        <w:t xml:space="preserve">и 150 </w:t>
      </w:r>
      <w:r w:rsidRPr="00033031">
        <w:rPr>
          <w:rFonts w:eastAsia="Times New Roman" w:cs="Arial"/>
          <w:color w:val="000000"/>
          <w:lang w:val="en-US"/>
        </w:rPr>
        <w:t>mg</w:t>
      </w:r>
      <w:r w:rsidRPr="00033031">
        <w:rPr>
          <w:rFonts w:eastAsia="Times New Roman" w:cs="Arial"/>
          <w:color w:val="000000"/>
          <w:lang w:val="ru-RU"/>
        </w:rPr>
        <w:t xml:space="preserve">, </w:t>
      </w:r>
      <w:r w:rsidRPr="00033031">
        <w:rPr>
          <w:rFonts w:eastAsia="Times New Roman" w:cs="Arial"/>
          <w:color w:val="000000"/>
          <w:lang w:eastAsia="bg-BG"/>
        </w:rPr>
        <w:t xml:space="preserve">давани два пъти дневно, при равновесно състояние води до линейни, пропорционални на дозата повишения на площта под кривата на плазмените концентрации във времето </w:t>
      </w:r>
      <w:r w:rsidRPr="00033031">
        <w:rPr>
          <w:rFonts w:eastAsia="Times New Roman" w:cs="Arial"/>
          <w:color w:val="000000"/>
          <w:lang w:val="ru-RU"/>
        </w:rPr>
        <w:t>(</w:t>
      </w:r>
      <w:r w:rsidRPr="00033031">
        <w:rPr>
          <w:rFonts w:eastAsia="Times New Roman" w:cs="Arial"/>
          <w:color w:val="000000"/>
          <w:lang w:val="en-US"/>
        </w:rPr>
        <w:t>AUC</w:t>
      </w:r>
      <w:r w:rsidRPr="00033031">
        <w:rPr>
          <w:rFonts w:eastAsia="Times New Roman" w:cs="Arial"/>
          <w:color w:val="000000"/>
          <w:lang w:val="ru-RU"/>
        </w:rPr>
        <w:t xml:space="preserve">) </w:t>
      </w:r>
      <w:r w:rsidRPr="00033031">
        <w:rPr>
          <w:rFonts w:eastAsia="Times New Roman" w:cs="Arial"/>
          <w:color w:val="000000"/>
          <w:lang w:eastAsia="bg-BG"/>
        </w:rPr>
        <w:t>и на пиковите и минималните плазмени концентрации.</w:t>
      </w:r>
    </w:p>
    <w:p w14:paraId="32998129" w14:textId="77777777" w:rsidR="00033031" w:rsidRPr="00033031" w:rsidRDefault="00033031" w:rsidP="00033031"/>
    <w:p w14:paraId="648E39DA" w14:textId="7E07E536" w:rsidR="00CF77F7" w:rsidRDefault="002C50EE" w:rsidP="004A448E">
      <w:pPr>
        <w:pStyle w:val="Heading2"/>
      </w:pPr>
      <w:r>
        <w:t>5.3. Предклинични данни за безопасност</w:t>
      </w:r>
    </w:p>
    <w:p w14:paraId="0FF156D6" w14:textId="389CF9ED" w:rsidR="00033031" w:rsidRDefault="00033031" w:rsidP="00033031"/>
    <w:p w14:paraId="64077AE5" w14:textId="2611B80C" w:rsidR="00033031" w:rsidRPr="00033031" w:rsidRDefault="00033031" w:rsidP="00033031">
      <w:r>
        <w:t>Предклиничните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карциногенен потенциал (за репродуктивната токсичност вижте точка 4.6).</w:t>
      </w:r>
    </w:p>
    <w:p w14:paraId="6A7820AB" w14:textId="10CE6147" w:rsidR="008A6AF2" w:rsidRDefault="002C50EE" w:rsidP="00395555">
      <w:pPr>
        <w:pStyle w:val="Heading1"/>
      </w:pPr>
      <w:r>
        <w:t>7. ПРИТЕЖАТЕЛ НА РАЗРЕШЕНИЕТО ЗА УПОТРЕБА</w:t>
      </w:r>
    </w:p>
    <w:p w14:paraId="5876AE1E" w14:textId="5C02A01F" w:rsidR="00033031" w:rsidRDefault="00033031" w:rsidP="00033031"/>
    <w:p w14:paraId="44AEBFAA" w14:textId="77777777" w:rsidR="00033031" w:rsidRPr="00033031" w:rsidRDefault="00033031" w:rsidP="00033031">
      <w:pPr>
        <w:rPr>
          <w:sz w:val="24"/>
          <w:szCs w:val="24"/>
          <w:lang w:val="en-US"/>
        </w:rPr>
      </w:pPr>
      <w:r w:rsidRPr="00033031">
        <w:rPr>
          <w:lang w:val="en-US"/>
        </w:rPr>
        <w:t>G.L. Pharma GmbH</w:t>
      </w:r>
    </w:p>
    <w:p w14:paraId="7EFBC07C" w14:textId="77777777" w:rsidR="00033031" w:rsidRPr="00033031" w:rsidRDefault="00033031" w:rsidP="00033031">
      <w:pPr>
        <w:rPr>
          <w:sz w:val="24"/>
          <w:szCs w:val="24"/>
          <w:lang w:val="en-US"/>
        </w:rPr>
      </w:pPr>
      <w:proofErr w:type="spellStart"/>
      <w:r w:rsidRPr="00033031">
        <w:rPr>
          <w:lang w:val="en-US"/>
        </w:rPr>
        <w:t>Schlossplatz</w:t>
      </w:r>
      <w:proofErr w:type="spellEnd"/>
      <w:r w:rsidRPr="00033031">
        <w:rPr>
          <w:lang w:val="en-US"/>
        </w:rPr>
        <w:t xml:space="preserve"> </w:t>
      </w:r>
      <w:r w:rsidRPr="00033031">
        <w:rPr>
          <w:lang w:eastAsia="bg-BG"/>
        </w:rPr>
        <w:t xml:space="preserve">1, 8502 </w:t>
      </w:r>
      <w:proofErr w:type="spellStart"/>
      <w:r w:rsidRPr="00033031">
        <w:rPr>
          <w:lang w:val="en-US"/>
        </w:rPr>
        <w:t>Lannach</w:t>
      </w:r>
      <w:proofErr w:type="spellEnd"/>
    </w:p>
    <w:p w14:paraId="6BC59C53" w14:textId="1B144C2F" w:rsidR="00033031" w:rsidRPr="00033031" w:rsidRDefault="00033031" w:rsidP="00033031">
      <w:r w:rsidRPr="00033031">
        <w:rPr>
          <w:lang w:eastAsia="bg-BG"/>
        </w:rPr>
        <w:t>Австрия</w:t>
      </w:r>
    </w:p>
    <w:p w14:paraId="7BA1BA64" w14:textId="74BB79B8" w:rsidR="00CF77F7" w:rsidRDefault="002C50EE" w:rsidP="004A448E">
      <w:pPr>
        <w:pStyle w:val="Heading1"/>
      </w:pPr>
      <w:r>
        <w:t>8. НОМЕР НА РАЗРЕШЕНИЕТО ЗА УПОТРЕБА</w:t>
      </w:r>
    </w:p>
    <w:p w14:paraId="7FF410F2" w14:textId="77777777" w:rsidR="00033031" w:rsidRPr="00033031" w:rsidRDefault="00033031" w:rsidP="00033031">
      <w:pPr>
        <w:rPr>
          <w:sz w:val="24"/>
          <w:szCs w:val="24"/>
          <w:lang w:val="ru-RU"/>
        </w:rPr>
      </w:pPr>
      <w:r w:rsidRPr="00033031">
        <w:rPr>
          <w:lang w:eastAsia="bg-BG"/>
        </w:rPr>
        <w:t xml:space="preserve">25 </w:t>
      </w:r>
      <w:r w:rsidRPr="00033031">
        <w:rPr>
          <w:lang w:val="en-US"/>
        </w:rPr>
        <w:t>mg</w:t>
      </w:r>
      <w:r w:rsidRPr="00033031">
        <w:rPr>
          <w:lang w:val="ru-RU"/>
        </w:rPr>
        <w:t xml:space="preserve">: </w:t>
      </w:r>
      <w:r w:rsidRPr="00033031">
        <w:rPr>
          <w:lang w:val="en-US"/>
        </w:rPr>
        <w:t>Per</w:t>
      </w:r>
      <w:r w:rsidRPr="00033031">
        <w:rPr>
          <w:lang w:val="ru-RU"/>
        </w:rPr>
        <w:t xml:space="preserve">. </w:t>
      </w:r>
      <w:r w:rsidRPr="00033031">
        <w:rPr>
          <w:lang w:eastAsia="bg-BG"/>
        </w:rPr>
        <w:t>№ 20130128</w:t>
      </w:r>
    </w:p>
    <w:p w14:paraId="57396F18" w14:textId="513B026F" w:rsidR="00033031" w:rsidRPr="00033031" w:rsidRDefault="00033031" w:rsidP="00033031">
      <w:pPr>
        <w:rPr>
          <w:lang w:val="ru-RU"/>
        </w:rPr>
      </w:pPr>
      <w:r w:rsidRPr="00033031">
        <w:rPr>
          <w:lang w:val="ru-RU"/>
        </w:rPr>
        <w:t xml:space="preserve">100 </w:t>
      </w:r>
      <w:r w:rsidRPr="00033031">
        <w:rPr>
          <w:lang w:val="en-US"/>
        </w:rPr>
        <w:t>mg</w:t>
      </w:r>
      <w:r w:rsidRPr="00033031">
        <w:rPr>
          <w:lang w:val="ru-RU"/>
        </w:rPr>
        <w:t xml:space="preserve">: </w:t>
      </w:r>
      <w:r w:rsidRPr="00033031">
        <w:rPr>
          <w:lang w:val="en-US"/>
        </w:rPr>
        <w:t>Per</w:t>
      </w:r>
      <w:r w:rsidRPr="00033031">
        <w:rPr>
          <w:lang w:val="ru-RU"/>
        </w:rPr>
        <w:t>. № 20130129</w:t>
      </w:r>
    </w:p>
    <w:p w14:paraId="2CCB5832" w14:textId="5FD9332A" w:rsidR="007C605B" w:rsidRDefault="002C50EE" w:rsidP="007C605B">
      <w:pPr>
        <w:pStyle w:val="Heading1"/>
      </w:pPr>
      <w:r>
        <w:t>9. ДАТА НА ПЪРВО РАЗРЕШАВАНЕ/ПОДНОВЯВАНЕ НА РАЗРЕШЕНИЕТО ЗА УПОТРЕБА</w:t>
      </w:r>
    </w:p>
    <w:p w14:paraId="2A8CC01B" w14:textId="1E50865A" w:rsidR="00033031" w:rsidRPr="00033031" w:rsidRDefault="00033031" w:rsidP="00033031">
      <w:r>
        <w:t>25.03.2013</w:t>
      </w:r>
      <w:bookmarkStart w:id="15" w:name="_GoBack"/>
      <w:bookmarkEnd w:id="15"/>
    </w:p>
    <w:p w14:paraId="0E9D0119" w14:textId="0245C6D7" w:rsidR="002C50EE" w:rsidRDefault="002C50EE" w:rsidP="002C50EE">
      <w:pPr>
        <w:pStyle w:val="Heading1"/>
      </w:pPr>
      <w:r>
        <w:t>10. ДАТА НА АКТУАЛИЗИРАНЕ НА ТЕКСТА</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B23EE"/>
    <w:multiLevelType w:val="hybridMultilevel"/>
    <w:tmpl w:val="57D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BB02F14"/>
    <w:multiLevelType w:val="hybridMultilevel"/>
    <w:tmpl w:val="F662B852"/>
    <w:lvl w:ilvl="0" w:tplc="1A523B72">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D0333"/>
    <w:multiLevelType w:val="hybridMultilevel"/>
    <w:tmpl w:val="6754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2"/>
  </w:num>
  <w:num w:numId="12">
    <w:abstractNumId w:val="15"/>
  </w:num>
  <w:num w:numId="13">
    <w:abstractNumId w:val="20"/>
  </w:num>
  <w:num w:numId="14">
    <w:abstractNumId w:val="13"/>
  </w:num>
  <w:num w:numId="15">
    <w:abstractNumId w:val="31"/>
  </w:num>
  <w:num w:numId="16">
    <w:abstractNumId w:val="10"/>
  </w:num>
  <w:num w:numId="17">
    <w:abstractNumId w:val="26"/>
  </w:num>
  <w:num w:numId="18">
    <w:abstractNumId w:val="7"/>
  </w:num>
  <w:num w:numId="19">
    <w:abstractNumId w:val="28"/>
  </w:num>
  <w:num w:numId="20">
    <w:abstractNumId w:val="24"/>
  </w:num>
  <w:num w:numId="21">
    <w:abstractNumId w:val="18"/>
  </w:num>
  <w:num w:numId="22">
    <w:abstractNumId w:val="27"/>
  </w:num>
  <w:num w:numId="23">
    <w:abstractNumId w:val="19"/>
  </w:num>
  <w:num w:numId="24">
    <w:abstractNumId w:val="8"/>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30"/>
  </w:num>
  <w:num w:numId="34">
    <w:abstractNumId w:val="34"/>
  </w:num>
  <w:num w:numId="35">
    <w:abstractNumId w:val="25"/>
  </w:num>
  <w:num w:numId="36">
    <w:abstractNumId w:val="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33031"/>
    <w:rsid w:val="00185A46"/>
    <w:rsid w:val="001915B6"/>
    <w:rsid w:val="001D1B23"/>
    <w:rsid w:val="00290557"/>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7C7D8D"/>
    <w:rsid w:val="008134C8"/>
    <w:rsid w:val="00814073"/>
    <w:rsid w:val="00826F0D"/>
    <w:rsid w:val="00893B92"/>
    <w:rsid w:val="008A6AF2"/>
    <w:rsid w:val="008C70A2"/>
    <w:rsid w:val="009773E4"/>
    <w:rsid w:val="009B171C"/>
    <w:rsid w:val="009B1F4E"/>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0F16"/>
    <w:rsid w:val="00CF77F7"/>
    <w:rsid w:val="00D86297"/>
    <w:rsid w:val="00DD466D"/>
    <w:rsid w:val="00EB6364"/>
    <w:rsid w:val="00ED234A"/>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 w:id="200496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8786</Words>
  <Characters>50083</Characters>
  <Application>Microsoft Office Word</Application>
  <DocSecurity>0</DocSecurity>
  <Lines>417</Lines>
  <Paragraphs>117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2022-05-04T15:09:00Z</dcterms:created>
  <dcterms:modified xsi:type="dcterms:W3CDTF">2022-05-04T15:09:00Z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