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1BBB3756" w14:textId="6B7D7659" w:rsidR="00C07B84" w:rsidRDefault="00DD466D" w:rsidP="00DD466D">
      <w:pPr>
        <w:pStyle w:val="Heading1"/>
      </w:pPr>
      <w:r>
        <w:t>1.ИМЕ НА ЛЕКАРСТВЕНИЯ ПРОДУКТ</w:t>
      </w:r>
    </w:p>
    <w:p w14:paraId="0B3075EB" w14:textId="77777777" w:rsidR="007067F1" w:rsidRPr="007067F1" w:rsidRDefault="007067F1" w:rsidP="007067F1">
      <w:pPr>
        <w:rPr>
          <w:sz w:val="24"/>
          <w:szCs w:val="24"/>
          <w:lang w:val="en-US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100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>филмирани таблетки</w:t>
      </w:r>
    </w:p>
    <w:p w14:paraId="5D286D7E" w14:textId="77777777" w:rsidR="007067F1" w:rsidRPr="007067F1" w:rsidRDefault="007067F1" w:rsidP="007067F1">
      <w:pPr>
        <w:rPr>
          <w:sz w:val="24"/>
          <w:szCs w:val="24"/>
          <w:lang w:val="en-US"/>
        </w:rPr>
      </w:pPr>
      <w:proofErr w:type="spellStart"/>
      <w:r w:rsidRPr="007067F1">
        <w:rPr>
          <w:lang w:val="en-US"/>
        </w:rPr>
        <w:t>Ximebac</w:t>
      </w:r>
      <w:proofErr w:type="spellEnd"/>
      <w:r w:rsidRPr="007067F1">
        <w:rPr>
          <w:lang w:val="en-US"/>
        </w:rPr>
        <w:t xml:space="preserve"> </w:t>
      </w:r>
      <w:r w:rsidRPr="007067F1">
        <w:rPr>
          <w:lang w:eastAsia="bg-BG"/>
        </w:rPr>
        <w:t xml:space="preserve">100 </w:t>
      </w:r>
      <w:r w:rsidRPr="007067F1">
        <w:rPr>
          <w:lang w:val="en-US"/>
        </w:rPr>
        <w:t>mg film-coated tablets</w:t>
      </w:r>
    </w:p>
    <w:p w14:paraId="295EE343" w14:textId="77777777" w:rsidR="007067F1" w:rsidRDefault="007067F1" w:rsidP="007067F1">
      <w:pPr>
        <w:rPr>
          <w:lang w:eastAsia="bg-BG"/>
        </w:rPr>
      </w:pPr>
    </w:p>
    <w:p w14:paraId="72FD72A8" w14:textId="58896119" w:rsidR="007067F1" w:rsidRPr="007067F1" w:rsidRDefault="007067F1" w:rsidP="007067F1">
      <w:pPr>
        <w:rPr>
          <w:sz w:val="24"/>
          <w:szCs w:val="24"/>
          <w:lang w:val="en-US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</w:t>
      </w:r>
      <w:r w:rsidRPr="007067F1">
        <w:rPr>
          <w:lang w:val="en-US"/>
        </w:rPr>
        <w:t xml:space="preserve">200 mg </w:t>
      </w:r>
      <w:r w:rsidRPr="007067F1">
        <w:rPr>
          <w:lang w:eastAsia="bg-BG"/>
        </w:rPr>
        <w:t>филмирани таблетки</w:t>
      </w:r>
    </w:p>
    <w:p w14:paraId="002488DA" w14:textId="77777777" w:rsidR="007067F1" w:rsidRPr="007067F1" w:rsidRDefault="007067F1" w:rsidP="007067F1">
      <w:pPr>
        <w:rPr>
          <w:sz w:val="24"/>
          <w:szCs w:val="24"/>
          <w:lang w:val="en-US"/>
        </w:rPr>
      </w:pPr>
      <w:proofErr w:type="spellStart"/>
      <w:r w:rsidRPr="007067F1">
        <w:rPr>
          <w:lang w:val="en-US"/>
        </w:rPr>
        <w:t>Ximebac</w:t>
      </w:r>
      <w:proofErr w:type="spellEnd"/>
      <w:r w:rsidRPr="007067F1">
        <w:rPr>
          <w:lang w:val="en-US"/>
        </w:rPr>
        <w:t xml:space="preserve"> </w:t>
      </w:r>
      <w:r w:rsidRPr="007067F1">
        <w:rPr>
          <w:lang w:eastAsia="bg-BG"/>
        </w:rPr>
        <w:t xml:space="preserve">200 </w:t>
      </w:r>
      <w:r w:rsidRPr="007067F1">
        <w:rPr>
          <w:lang w:val="en-US"/>
        </w:rPr>
        <w:t>mg film-coated tablets</w:t>
      </w:r>
    </w:p>
    <w:p w14:paraId="47322001" w14:textId="77777777" w:rsidR="007067F1" w:rsidRPr="007067F1" w:rsidRDefault="007067F1" w:rsidP="007067F1"/>
    <w:p w14:paraId="3A916BC0" w14:textId="38413963" w:rsidR="00DD466D" w:rsidRDefault="00DD466D" w:rsidP="00DD466D">
      <w:pPr>
        <w:pStyle w:val="Heading1"/>
      </w:pPr>
      <w:r>
        <w:t>2. КАЧЕСТВЕН И КОЛИЧЕСТВЕН СЪСТАВ</w:t>
      </w:r>
    </w:p>
    <w:p w14:paraId="6C10E17F" w14:textId="77777777" w:rsidR="007067F1" w:rsidRDefault="007067F1" w:rsidP="007067F1">
      <w:pPr>
        <w:rPr>
          <w:lang w:eastAsia="bg-BG"/>
        </w:rPr>
      </w:pPr>
    </w:p>
    <w:p w14:paraId="3EA4F92C" w14:textId="206C0BE4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100 </w:t>
      </w:r>
      <w:r w:rsidRPr="007067F1">
        <w:rPr>
          <w:lang w:val="en-US"/>
        </w:rPr>
        <w:t xml:space="preserve">mg: </w:t>
      </w:r>
      <w:r w:rsidRPr="007067F1">
        <w:rPr>
          <w:lang w:eastAsia="bg-BG"/>
        </w:rPr>
        <w:t xml:space="preserve">Една филмирана таблетка съдържа 100 </w:t>
      </w:r>
      <w:r w:rsidRPr="007067F1">
        <w:rPr>
          <w:lang w:val="en-US"/>
        </w:rPr>
        <w:t xml:space="preserve">mg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, като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</w:t>
      </w:r>
      <w:proofErr w:type="spellStart"/>
      <w:r w:rsidRPr="007067F1">
        <w:rPr>
          <w:lang w:eastAsia="bg-BG"/>
        </w:rPr>
        <w:t>проксетил</w:t>
      </w:r>
      <w:proofErr w:type="spellEnd"/>
      <w:r w:rsidRPr="007067F1">
        <w:rPr>
          <w:lang w:eastAsia="bg-BG"/>
        </w:rPr>
        <w:t xml:space="preserve"> </w:t>
      </w:r>
      <w:r w:rsidRPr="007067F1">
        <w:rPr>
          <w:i/>
          <w:iCs/>
          <w:lang w:val="en-US"/>
        </w:rPr>
        <w:t xml:space="preserve">(cefpodoxime </w:t>
      </w:r>
      <w:proofErr w:type="spellStart"/>
      <w:r w:rsidRPr="007067F1">
        <w:rPr>
          <w:i/>
          <w:iCs/>
          <w:lang w:val="en-US"/>
        </w:rPr>
        <w:t>proxetil</w:t>
      </w:r>
      <w:proofErr w:type="spellEnd"/>
      <w:r w:rsidRPr="007067F1">
        <w:rPr>
          <w:i/>
          <w:iCs/>
          <w:lang w:val="en-US"/>
        </w:rPr>
        <w:t>)..</w:t>
      </w:r>
    </w:p>
    <w:p w14:paraId="5CE38B83" w14:textId="77777777" w:rsidR="007067F1" w:rsidRDefault="007067F1" w:rsidP="007067F1">
      <w:pPr>
        <w:rPr>
          <w:lang w:eastAsia="bg-BG"/>
        </w:rPr>
      </w:pPr>
    </w:p>
    <w:p w14:paraId="59F7E09A" w14:textId="400D64DF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200 </w:t>
      </w:r>
      <w:r w:rsidRPr="007067F1">
        <w:rPr>
          <w:lang w:val="en-US"/>
        </w:rPr>
        <w:t xml:space="preserve">mg: </w:t>
      </w:r>
      <w:r w:rsidRPr="007067F1">
        <w:rPr>
          <w:lang w:eastAsia="bg-BG"/>
        </w:rPr>
        <w:t xml:space="preserve">Една филмирана таблетка съдържа 200 </w:t>
      </w:r>
      <w:r w:rsidRPr="007067F1">
        <w:rPr>
          <w:lang w:val="en-US"/>
        </w:rPr>
        <w:t xml:space="preserve">mg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, като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</w:t>
      </w:r>
      <w:proofErr w:type="spellStart"/>
      <w:r w:rsidRPr="007067F1">
        <w:rPr>
          <w:lang w:eastAsia="bg-BG"/>
        </w:rPr>
        <w:t>проксетил</w:t>
      </w:r>
      <w:proofErr w:type="spellEnd"/>
      <w:r w:rsidRPr="007067F1">
        <w:rPr>
          <w:lang w:eastAsia="bg-BG"/>
        </w:rPr>
        <w:t xml:space="preserve"> </w:t>
      </w:r>
      <w:r w:rsidRPr="007067F1">
        <w:rPr>
          <w:i/>
          <w:iCs/>
          <w:lang w:val="en-US"/>
        </w:rPr>
        <w:t xml:space="preserve">{cefpodoxime </w:t>
      </w:r>
      <w:proofErr w:type="spellStart"/>
      <w:r w:rsidRPr="007067F1">
        <w:rPr>
          <w:i/>
          <w:iCs/>
          <w:lang w:val="en-US"/>
        </w:rPr>
        <w:t>proxetil</w:t>
      </w:r>
      <w:proofErr w:type="spellEnd"/>
      <w:r w:rsidRPr="007067F1">
        <w:rPr>
          <w:i/>
          <w:iCs/>
          <w:lang w:val="en-US"/>
        </w:rPr>
        <w:t>)..</w:t>
      </w:r>
    </w:p>
    <w:p w14:paraId="3145063F" w14:textId="77777777" w:rsidR="007067F1" w:rsidRDefault="007067F1" w:rsidP="007067F1">
      <w:pPr>
        <w:rPr>
          <w:u w:val="single"/>
          <w:lang w:eastAsia="bg-BG"/>
        </w:rPr>
      </w:pPr>
    </w:p>
    <w:p w14:paraId="15706910" w14:textId="13F175E8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t>Помощни вещества с известно действие:</w:t>
      </w:r>
    </w:p>
    <w:p w14:paraId="19EC2919" w14:textId="77777777" w:rsidR="007067F1" w:rsidRDefault="007067F1" w:rsidP="007067F1">
      <w:pPr>
        <w:rPr>
          <w:lang w:eastAsia="bg-BG"/>
        </w:rPr>
      </w:pPr>
    </w:p>
    <w:p w14:paraId="147B3A9F" w14:textId="0878B609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100 </w:t>
      </w:r>
      <w:r w:rsidRPr="007067F1">
        <w:rPr>
          <w:lang w:val="en-US"/>
        </w:rPr>
        <w:t xml:space="preserve">mg: </w:t>
      </w:r>
      <w:r w:rsidRPr="007067F1">
        <w:rPr>
          <w:lang w:eastAsia="bg-BG"/>
        </w:rPr>
        <w:t xml:space="preserve">всяка филмирана таблетка съдържа 22,6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 xml:space="preserve">лактоза (като лактоза </w:t>
      </w:r>
      <w:proofErr w:type="spellStart"/>
      <w:r w:rsidRPr="007067F1">
        <w:rPr>
          <w:lang w:eastAsia="bg-BG"/>
        </w:rPr>
        <w:t>монохидрат</w:t>
      </w:r>
      <w:proofErr w:type="spellEnd"/>
      <w:r w:rsidRPr="007067F1">
        <w:rPr>
          <w:lang w:eastAsia="bg-BG"/>
        </w:rPr>
        <w:t>).</w:t>
      </w:r>
    </w:p>
    <w:p w14:paraId="32A1E91C" w14:textId="77777777" w:rsidR="007067F1" w:rsidRDefault="007067F1" w:rsidP="007067F1">
      <w:pPr>
        <w:rPr>
          <w:lang w:eastAsia="bg-BG"/>
        </w:rPr>
      </w:pPr>
    </w:p>
    <w:p w14:paraId="568494E4" w14:textId="3750D255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200 </w:t>
      </w:r>
      <w:r w:rsidRPr="007067F1">
        <w:rPr>
          <w:lang w:val="en-US"/>
        </w:rPr>
        <w:t xml:space="preserve">mg: </w:t>
      </w:r>
      <w:r w:rsidRPr="007067F1">
        <w:rPr>
          <w:lang w:eastAsia="bg-BG"/>
        </w:rPr>
        <w:t xml:space="preserve">всяка филмирана таблетка съдържа 45,2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 xml:space="preserve">лактоза (като лактоза </w:t>
      </w:r>
      <w:proofErr w:type="spellStart"/>
      <w:r w:rsidRPr="007067F1">
        <w:rPr>
          <w:lang w:eastAsia="bg-BG"/>
        </w:rPr>
        <w:t>монохидрат</w:t>
      </w:r>
      <w:proofErr w:type="spellEnd"/>
      <w:r w:rsidRPr="007067F1">
        <w:rPr>
          <w:lang w:eastAsia="bg-BG"/>
        </w:rPr>
        <w:t>).</w:t>
      </w:r>
    </w:p>
    <w:p w14:paraId="39435FB6" w14:textId="77777777" w:rsidR="007067F1" w:rsidRPr="007067F1" w:rsidRDefault="007067F1" w:rsidP="007067F1"/>
    <w:p w14:paraId="5E332777" w14:textId="5EA7C3C4" w:rsidR="005A66D9" w:rsidRDefault="00DD466D" w:rsidP="00CA1B57">
      <w:pPr>
        <w:pStyle w:val="Heading1"/>
      </w:pPr>
      <w:r>
        <w:t>3. ЛЕКАРСТВЕНА ФОРМА</w:t>
      </w:r>
    </w:p>
    <w:p w14:paraId="03463F18" w14:textId="77777777" w:rsidR="007067F1" w:rsidRDefault="007067F1" w:rsidP="007067F1">
      <w:pPr>
        <w:rPr>
          <w:lang w:eastAsia="bg-BG"/>
        </w:rPr>
      </w:pPr>
    </w:p>
    <w:p w14:paraId="5B4854A9" w14:textId="029E0584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100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 xml:space="preserve">филмирани таблетки: кръгли, бели до жълтеникави таблетки с диаметър приблизително 9 </w:t>
      </w:r>
      <w:r w:rsidRPr="007067F1">
        <w:rPr>
          <w:lang w:val="en-US"/>
        </w:rPr>
        <w:t>mm.</w:t>
      </w:r>
    </w:p>
    <w:p w14:paraId="1C805733" w14:textId="77777777" w:rsidR="007067F1" w:rsidRDefault="007067F1" w:rsidP="007067F1">
      <w:pPr>
        <w:rPr>
          <w:lang w:eastAsia="bg-BG"/>
        </w:rPr>
      </w:pPr>
    </w:p>
    <w:p w14:paraId="00E4B0F0" w14:textId="2B0C936C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200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 xml:space="preserve">филмирани таблетки: продълговати, бели до жълтеникави таблетки, с делителна черта от двете страни, размер приблизително 6,5 х 16 </w:t>
      </w:r>
      <w:r w:rsidRPr="007067F1">
        <w:rPr>
          <w:lang w:val="en-US"/>
        </w:rPr>
        <w:t>mm.</w:t>
      </w:r>
    </w:p>
    <w:p w14:paraId="60649CFC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Таблетката може да бъде разделена на две равни дози.</w:t>
      </w:r>
    </w:p>
    <w:p w14:paraId="650E0F24" w14:textId="77777777" w:rsidR="007067F1" w:rsidRPr="007067F1" w:rsidRDefault="007067F1" w:rsidP="007067F1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7C897D10" w14:textId="38EF40A8" w:rsidR="005A66D9" w:rsidRDefault="002C50EE" w:rsidP="00CA1B57">
      <w:pPr>
        <w:pStyle w:val="Heading2"/>
      </w:pPr>
      <w:r>
        <w:t>4.1. Терапевтични показания</w:t>
      </w:r>
    </w:p>
    <w:p w14:paraId="78D0D859" w14:textId="77777777" w:rsidR="007067F1" w:rsidRDefault="007067F1" w:rsidP="007067F1">
      <w:pPr>
        <w:rPr>
          <w:lang w:eastAsia="bg-BG"/>
        </w:rPr>
      </w:pPr>
    </w:p>
    <w:p w14:paraId="73CAB4EC" w14:textId="24E82499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Ксимебак</w:t>
      </w:r>
      <w:proofErr w:type="spellEnd"/>
      <w:r w:rsidRPr="007067F1">
        <w:rPr>
          <w:lang w:eastAsia="bg-BG"/>
        </w:rPr>
        <w:t xml:space="preserve"> е показан за лечение на следните инфекции, когато са причинени от чувствителни микроорганизми.</w:t>
      </w:r>
    </w:p>
    <w:p w14:paraId="0C1C9B3B" w14:textId="77777777" w:rsidR="007067F1" w:rsidRDefault="007067F1" w:rsidP="007067F1">
      <w:pPr>
        <w:rPr>
          <w:lang w:eastAsia="bg-BG"/>
        </w:rPr>
      </w:pPr>
    </w:p>
    <w:p w14:paraId="428BB234" w14:textId="00746AEC" w:rsidR="007067F1" w:rsidRPr="007067F1" w:rsidRDefault="007067F1" w:rsidP="007067F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067F1">
        <w:rPr>
          <w:lang w:eastAsia="bg-BG"/>
        </w:rPr>
        <w:t>Синузит</w:t>
      </w:r>
    </w:p>
    <w:p w14:paraId="04404119" w14:textId="2994CB65" w:rsidR="007067F1" w:rsidRPr="007067F1" w:rsidRDefault="007067F1" w:rsidP="007067F1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spellStart"/>
      <w:r w:rsidRPr="007067F1">
        <w:rPr>
          <w:lang w:eastAsia="bg-BG"/>
        </w:rPr>
        <w:lastRenderedPageBreak/>
        <w:t>Тонзилит</w:t>
      </w:r>
      <w:proofErr w:type="spellEnd"/>
      <w:r w:rsidRPr="007067F1">
        <w:rPr>
          <w:lang w:eastAsia="bg-BG"/>
        </w:rPr>
        <w:t xml:space="preserve"> и фарингит.</w:t>
      </w:r>
    </w:p>
    <w:p w14:paraId="4D903BB3" w14:textId="23D52177" w:rsidR="007067F1" w:rsidRDefault="007067F1" w:rsidP="007067F1">
      <w:pPr>
        <w:rPr>
          <w:i/>
          <w:iCs/>
          <w:lang w:eastAsia="bg-BG"/>
        </w:rPr>
      </w:pPr>
      <w:r w:rsidRPr="007067F1">
        <w:rPr>
          <w:lang w:eastAsia="bg-BG"/>
        </w:rPr>
        <w:t xml:space="preserve">При посочените по-горе показания, приложението на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трябва да</w:t>
      </w:r>
      <w:r w:rsidRPr="007067F1">
        <w:rPr>
          <w:lang w:val="en-US"/>
        </w:rPr>
        <w:t xml:space="preserve"> </w:t>
      </w:r>
      <w:r w:rsidRPr="007067F1">
        <w:rPr>
          <w:lang w:eastAsia="bg-BG"/>
        </w:rPr>
        <w:t xml:space="preserve">бъде запазено за рецидивиращи или хронични инфекции, или при инфекции, при които е известно или се предполага, че причиняващият микроорганизъм е резистентен спрямо обичайно прилаганите антибиотици </w:t>
      </w:r>
      <w:r w:rsidRPr="007067F1">
        <w:rPr>
          <w:i/>
          <w:iCs/>
          <w:lang w:eastAsia="bg-BG"/>
        </w:rPr>
        <w:t>или в случаите, в които най-често използваните антибиотици не могат да се приложат по друга причина.</w:t>
      </w:r>
    </w:p>
    <w:p w14:paraId="6EAE2AFE" w14:textId="787A3939" w:rsidR="007067F1" w:rsidRPr="007067F1" w:rsidRDefault="007067F1" w:rsidP="007067F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067F1">
        <w:rPr>
          <w:lang w:eastAsia="bg-BG"/>
        </w:rPr>
        <w:t>Остър бронхит</w:t>
      </w:r>
    </w:p>
    <w:p w14:paraId="2AB43CD3" w14:textId="74636FB6" w:rsidR="007067F1" w:rsidRPr="007067F1" w:rsidRDefault="007067F1" w:rsidP="007067F1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spellStart"/>
      <w:r w:rsidRPr="007067F1">
        <w:rPr>
          <w:lang w:eastAsia="bg-BG"/>
        </w:rPr>
        <w:t>Екзацербация</w:t>
      </w:r>
      <w:proofErr w:type="spellEnd"/>
      <w:r w:rsidRPr="007067F1">
        <w:rPr>
          <w:lang w:eastAsia="bg-BG"/>
        </w:rPr>
        <w:t xml:space="preserve"> на хроничен бронхит</w:t>
      </w:r>
    </w:p>
    <w:p w14:paraId="5F8E2984" w14:textId="1DC3AC5E" w:rsidR="007067F1" w:rsidRPr="007067F1" w:rsidRDefault="007067F1" w:rsidP="007067F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7067F1">
        <w:rPr>
          <w:lang w:eastAsia="bg-BG"/>
        </w:rPr>
        <w:t>Бактериална пневмония</w:t>
      </w:r>
    </w:p>
    <w:p w14:paraId="6BDB9600" w14:textId="77777777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не е предпочитан антибиотик за лечение на </w:t>
      </w:r>
      <w:proofErr w:type="spellStart"/>
      <w:r w:rsidRPr="007067F1">
        <w:rPr>
          <w:lang w:eastAsia="bg-BG"/>
        </w:rPr>
        <w:t>стафилококова</w:t>
      </w:r>
      <w:proofErr w:type="spellEnd"/>
      <w:r w:rsidRPr="007067F1">
        <w:rPr>
          <w:lang w:eastAsia="bg-BG"/>
        </w:rPr>
        <w:t xml:space="preserve"> пневмония и не трябва да се прилага за лечение на атипична пневмония причинена от микроорганизми като </w:t>
      </w:r>
      <w:r w:rsidRPr="007067F1">
        <w:rPr>
          <w:lang w:val="en-US"/>
        </w:rPr>
        <w:t xml:space="preserve">Legionella, Mycoplasma </w:t>
      </w:r>
      <w:r w:rsidRPr="007067F1">
        <w:rPr>
          <w:lang w:eastAsia="bg-BG"/>
        </w:rPr>
        <w:t xml:space="preserve">и </w:t>
      </w:r>
      <w:r w:rsidRPr="007067F1">
        <w:rPr>
          <w:lang w:val="en-US"/>
        </w:rPr>
        <w:t xml:space="preserve">Chlamydia </w:t>
      </w:r>
      <w:r w:rsidRPr="007067F1">
        <w:rPr>
          <w:i/>
          <w:iCs/>
          <w:lang w:eastAsia="bg-BG"/>
        </w:rPr>
        <w:t>(виж също точка</w:t>
      </w:r>
      <w:r w:rsidRPr="007067F1">
        <w:rPr>
          <w:lang w:eastAsia="bg-BG"/>
        </w:rPr>
        <w:t xml:space="preserve"> 5.</w:t>
      </w:r>
      <w:r w:rsidRPr="007067F1">
        <w:rPr>
          <w:i/>
          <w:iCs/>
          <w:lang w:eastAsia="bg-BG"/>
        </w:rPr>
        <w:t>1) .</w:t>
      </w:r>
    </w:p>
    <w:p w14:paraId="6707F84E" w14:textId="77777777" w:rsidR="007067F1" w:rsidRDefault="007067F1" w:rsidP="007067F1">
      <w:pPr>
        <w:rPr>
          <w:lang w:eastAsia="bg-BG"/>
        </w:rPr>
      </w:pPr>
    </w:p>
    <w:p w14:paraId="42719DD6" w14:textId="37CDC218" w:rsidR="007067F1" w:rsidRDefault="007067F1" w:rsidP="007067F1">
      <w:pPr>
        <w:rPr>
          <w:lang w:eastAsia="bg-BG"/>
        </w:rPr>
      </w:pPr>
      <w:r w:rsidRPr="007067F1">
        <w:rPr>
          <w:lang w:eastAsia="bg-BG"/>
        </w:rPr>
        <w:t>Трябва да се вземат предвид официалните ръководства за правилно приложение на антибактериални средства.</w:t>
      </w:r>
    </w:p>
    <w:p w14:paraId="6B9BF2ED" w14:textId="77777777" w:rsidR="007067F1" w:rsidRPr="007067F1" w:rsidRDefault="007067F1" w:rsidP="007067F1"/>
    <w:p w14:paraId="6B14E9CB" w14:textId="58C350A1" w:rsidR="005A66D9" w:rsidRDefault="002C50EE" w:rsidP="00CA1B57">
      <w:pPr>
        <w:pStyle w:val="Heading2"/>
      </w:pPr>
      <w:r>
        <w:t>4.2. Дозировка и начин на приложение</w:t>
      </w:r>
    </w:p>
    <w:p w14:paraId="2816C6D2" w14:textId="77777777" w:rsidR="007067F1" w:rsidRDefault="007067F1" w:rsidP="007067F1">
      <w:pPr>
        <w:rPr>
          <w:lang w:eastAsia="bg-BG"/>
        </w:rPr>
      </w:pPr>
    </w:p>
    <w:p w14:paraId="75531EEA" w14:textId="2D30115C" w:rsidR="007067F1" w:rsidRPr="007067F1" w:rsidRDefault="007067F1" w:rsidP="007067F1">
      <w:pPr>
        <w:pStyle w:val="Heading3"/>
        <w:rPr>
          <w:rFonts w:eastAsia="Times New Roman"/>
          <w:u w:val="single"/>
        </w:rPr>
      </w:pPr>
      <w:r w:rsidRPr="007067F1">
        <w:rPr>
          <w:rFonts w:eastAsia="Times New Roman"/>
          <w:u w:val="single"/>
          <w:lang w:eastAsia="bg-BG"/>
        </w:rPr>
        <w:t>Дозировка</w:t>
      </w:r>
    </w:p>
    <w:p w14:paraId="10D5E980" w14:textId="4471AB1B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t>Възрастни и подрастващи с нормална бъбречна функция</w:t>
      </w:r>
      <w:r w:rsidRPr="007067F1">
        <w:rPr>
          <w:lang w:eastAsia="bg-BG"/>
        </w:rPr>
        <w:t>:</w:t>
      </w:r>
    </w:p>
    <w:p w14:paraId="796B9BF4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Синузит: 200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>два пъти дневно.</w:t>
      </w:r>
    </w:p>
    <w:p w14:paraId="304AD248" w14:textId="77777777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Тонзилит</w:t>
      </w:r>
      <w:proofErr w:type="spellEnd"/>
      <w:r w:rsidRPr="007067F1">
        <w:rPr>
          <w:lang w:eastAsia="bg-BG"/>
        </w:rPr>
        <w:t xml:space="preserve"> и фарингит: 100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>два пъти дневно</w:t>
      </w:r>
    </w:p>
    <w:p w14:paraId="4171EAB3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Остър бронхит, </w:t>
      </w:r>
      <w:proofErr w:type="spellStart"/>
      <w:r w:rsidRPr="007067F1">
        <w:rPr>
          <w:lang w:eastAsia="bg-BG"/>
        </w:rPr>
        <w:t>екзацербация</w:t>
      </w:r>
      <w:proofErr w:type="spellEnd"/>
      <w:r w:rsidRPr="007067F1">
        <w:rPr>
          <w:lang w:eastAsia="bg-BG"/>
        </w:rPr>
        <w:t xml:space="preserve"> на хроничен бронхит и бактериална пневмония: 100-200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>два пъти дневно, в зависимост от тежестта на инфекцията.</w:t>
      </w:r>
    </w:p>
    <w:p w14:paraId="00151921" w14:textId="77777777" w:rsidR="007067F1" w:rsidRDefault="007067F1" w:rsidP="007067F1">
      <w:pPr>
        <w:rPr>
          <w:u w:val="single"/>
          <w:lang w:eastAsia="bg-BG"/>
        </w:rPr>
      </w:pPr>
    </w:p>
    <w:p w14:paraId="4A45A700" w14:textId="69F53C3E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t>Пациенти в старческа възраст</w:t>
      </w:r>
      <w:r w:rsidRPr="007067F1">
        <w:rPr>
          <w:lang w:eastAsia="bg-BG"/>
        </w:rPr>
        <w:t>:</w:t>
      </w:r>
    </w:p>
    <w:p w14:paraId="6D2479E6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При пациенти в старческа възраст с нормална бъбречна функция не е необходимо коригиране на дозата.</w:t>
      </w:r>
    </w:p>
    <w:p w14:paraId="34DBA928" w14:textId="77777777" w:rsidR="007067F1" w:rsidRDefault="007067F1" w:rsidP="007067F1">
      <w:pPr>
        <w:rPr>
          <w:u w:val="single"/>
          <w:lang w:eastAsia="bg-BG"/>
        </w:rPr>
      </w:pPr>
    </w:p>
    <w:p w14:paraId="2B6550A9" w14:textId="1E7CCD46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t>Педиатрична популация</w:t>
      </w:r>
      <w:r w:rsidRPr="007067F1">
        <w:rPr>
          <w:lang w:eastAsia="bg-BG"/>
        </w:rPr>
        <w:t>:</w:t>
      </w:r>
    </w:p>
    <w:p w14:paraId="68D430A5" w14:textId="77777777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прах за перорална суспензия е достъпен за лечение на бебета (над 15 дневна възраст) и деца. За допълнителна информация се обърнете към съответната кратка характеристика на продукта.</w:t>
      </w:r>
    </w:p>
    <w:p w14:paraId="26301AB1" w14:textId="77777777" w:rsidR="007067F1" w:rsidRDefault="007067F1" w:rsidP="007067F1">
      <w:pPr>
        <w:rPr>
          <w:u w:val="single"/>
          <w:lang w:eastAsia="bg-BG"/>
        </w:rPr>
      </w:pPr>
    </w:p>
    <w:p w14:paraId="2F5B0E32" w14:textId="5088ABB5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t>Пациенти с бъбречно увреждане</w:t>
      </w:r>
      <w:r w:rsidRPr="007067F1">
        <w:rPr>
          <w:lang w:eastAsia="bg-BG"/>
        </w:rPr>
        <w:t>:</w:t>
      </w:r>
    </w:p>
    <w:p w14:paraId="533C6F5A" w14:textId="0CD63C4F" w:rsidR="007067F1" w:rsidRDefault="007067F1" w:rsidP="007067F1">
      <w:pPr>
        <w:rPr>
          <w:lang w:eastAsia="bg-BG"/>
        </w:rPr>
      </w:pPr>
      <w:r w:rsidRPr="007067F1">
        <w:rPr>
          <w:lang w:eastAsia="bg-BG"/>
        </w:rPr>
        <w:t xml:space="preserve">Дозата на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не се нуждае от модифициране, ако </w:t>
      </w:r>
      <w:proofErr w:type="spellStart"/>
      <w:r w:rsidRPr="007067F1">
        <w:rPr>
          <w:lang w:eastAsia="bg-BG"/>
        </w:rPr>
        <w:t>клирънса</w:t>
      </w:r>
      <w:proofErr w:type="spellEnd"/>
      <w:r w:rsidRPr="007067F1">
        <w:rPr>
          <w:lang w:eastAsia="bg-BG"/>
        </w:rPr>
        <w:t xml:space="preserve"> на </w:t>
      </w:r>
      <w:proofErr w:type="spellStart"/>
      <w:r w:rsidRPr="007067F1">
        <w:rPr>
          <w:lang w:eastAsia="bg-BG"/>
        </w:rPr>
        <w:t>креатинина</w:t>
      </w:r>
      <w:proofErr w:type="spellEnd"/>
      <w:r w:rsidRPr="007067F1">
        <w:rPr>
          <w:lang w:eastAsia="bg-BG"/>
        </w:rPr>
        <w:t xml:space="preserve"> надвишава 40 </w:t>
      </w:r>
      <w:r w:rsidRPr="007067F1">
        <w:rPr>
          <w:lang w:val="en-US"/>
        </w:rPr>
        <w:t xml:space="preserve">ml/min. </w:t>
      </w:r>
      <w:r w:rsidRPr="007067F1">
        <w:rPr>
          <w:lang w:eastAsia="bg-BG"/>
        </w:rPr>
        <w:t xml:space="preserve">Под тези нива </w:t>
      </w:r>
      <w:proofErr w:type="spellStart"/>
      <w:r w:rsidRPr="007067F1">
        <w:rPr>
          <w:lang w:eastAsia="bg-BG"/>
        </w:rPr>
        <w:t>фармакокинетичните</w:t>
      </w:r>
      <w:proofErr w:type="spellEnd"/>
      <w:r w:rsidRPr="007067F1">
        <w:rPr>
          <w:lang w:eastAsia="bg-BG"/>
        </w:rPr>
        <w:t xml:space="preserve"> проучвания показват нарастване на плазмения живот на полуелиминиране. Поради това дозата трябва да бъде коригирана по съответен начин.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67F1" w14:paraId="0973A48C" w14:textId="77777777" w:rsidTr="00436126">
        <w:tc>
          <w:tcPr>
            <w:tcW w:w="4788" w:type="dxa"/>
            <w:vAlign w:val="bottom"/>
          </w:tcPr>
          <w:p w14:paraId="707E4D34" w14:textId="4C25F394" w:rsidR="007067F1" w:rsidRPr="007067F1" w:rsidRDefault="007067F1" w:rsidP="007067F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067F1">
              <w:rPr>
                <w:b/>
                <w:bCs/>
              </w:rPr>
              <w:t>креатннннов</w:t>
            </w:r>
            <w:proofErr w:type="spellEnd"/>
            <w:r w:rsidRPr="007067F1">
              <w:rPr>
                <w:b/>
                <w:bCs/>
              </w:rPr>
              <w:t xml:space="preserve"> клирънс </w:t>
            </w:r>
            <w:r w:rsidRPr="007067F1">
              <w:rPr>
                <w:b/>
                <w:bCs/>
                <w:lang w:val="en-US"/>
              </w:rPr>
              <w:t>(ml/min)</w:t>
            </w:r>
          </w:p>
        </w:tc>
        <w:tc>
          <w:tcPr>
            <w:tcW w:w="4788" w:type="dxa"/>
          </w:tcPr>
          <w:p w14:paraId="3864ADFD" w14:textId="77777777" w:rsidR="007067F1" w:rsidRDefault="007067F1" w:rsidP="007067F1">
            <w:pPr>
              <w:rPr>
                <w:sz w:val="24"/>
                <w:szCs w:val="24"/>
              </w:rPr>
            </w:pPr>
          </w:p>
        </w:tc>
      </w:tr>
      <w:tr w:rsidR="007067F1" w14:paraId="6125E070" w14:textId="77777777" w:rsidTr="00436126">
        <w:tc>
          <w:tcPr>
            <w:tcW w:w="4788" w:type="dxa"/>
          </w:tcPr>
          <w:p w14:paraId="347C35F9" w14:textId="66FE5486" w:rsidR="007067F1" w:rsidRDefault="007067F1" w:rsidP="007067F1">
            <w:pPr>
              <w:rPr>
                <w:sz w:val="24"/>
                <w:szCs w:val="24"/>
              </w:rPr>
            </w:pPr>
            <w:r>
              <w:t>39-10</w:t>
            </w:r>
          </w:p>
        </w:tc>
        <w:tc>
          <w:tcPr>
            <w:tcW w:w="4788" w:type="dxa"/>
            <w:vAlign w:val="bottom"/>
          </w:tcPr>
          <w:p w14:paraId="1C2F6441" w14:textId="45FD77C3" w:rsidR="007067F1" w:rsidRDefault="007067F1" w:rsidP="007067F1">
            <w:pPr>
              <w:rPr>
                <w:sz w:val="24"/>
                <w:szCs w:val="24"/>
              </w:rPr>
            </w:pPr>
            <w:r>
              <w:t>единична доза</w:t>
            </w:r>
            <w:r>
              <w:rPr>
                <w:vertAlign w:val="superscript"/>
              </w:rPr>
              <w:t>1</w:t>
            </w:r>
            <w:r>
              <w:t xml:space="preserve"> приложена като еднократна доза на всеки 24 часа.</w:t>
            </w:r>
          </w:p>
        </w:tc>
      </w:tr>
      <w:tr w:rsidR="007067F1" w14:paraId="77A7670E" w14:textId="77777777" w:rsidTr="00436126">
        <w:tc>
          <w:tcPr>
            <w:tcW w:w="4788" w:type="dxa"/>
          </w:tcPr>
          <w:p w14:paraId="052005D4" w14:textId="27E860F0" w:rsidR="007067F1" w:rsidRDefault="007067F1" w:rsidP="007067F1">
            <w:pPr>
              <w:rPr>
                <w:sz w:val="24"/>
                <w:szCs w:val="24"/>
              </w:rPr>
            </w:pPr>
            <w:r>
              <w:t>&lt;10</w:t>
            </w:r>
          </w:p>
        </w:tc>
        <w:tc>
          <w:tcPr>
            <w:tcW w:w="4788" w:type="dxa"/>
            <w:vAlign w:val="bottom"/>
          </w:tcPr>
          <w:p w14:paraId="388C4106" w14:textId="18DB9CA6" w:rsidR="007067F1" w:rsidRDefault="007067F1" w:rsidP="007067F1">
            <w:pPr>
              <w:rPr>
                <w:sz w:val="24"/>
                <w:szCs w:val="24"/>
              </w:rPr>
            </w:pPr>
            <w:r>
              <w:t>единична доза</w:t>
            </w:r>
            <w:r>
              <w:rPr>
                <w:vertAlign w:val="superscript"/>
              </w:rPr>
              <w:t>1</w:t>
            </w:r>
            <w:r>
              <w:t xml:space="preserve"> приложена като еднократна доза на всеки 48 часа.</w:t>
            </w:r>
          </w:p>
        </w:tc>
      </w:tr>
      <w:tr w:rsidR="007067F1" w14:paraId="0E2EEFF2" w14:textId="77777777" w:rsidTr="007067F1">
        <w:tc>
          <w:tcPr>
            <w:tcW w:w="4788" w:type="dxa"/>
          </w:tcPr>
          <w:p w14:paraId="6C298928" w14:textId="3C154E64" w:rsidR="007067F1" w:rsidRDefault="007067F1" w:rsidP="007067F1">
            <w:pPr>
              <w:rPr>
                <w:sz w:val="24"/>
                <w:szCs w:val="24"/>
              </w:rPr>
            </w:pPr>
            <w:r>
              <w:t>Пациенти на хемодиализа</w:t>
            </w:r>
          </w:p>
        </w:tc>
        <w:tc>
          <w:tcPr>
            <w:tcW w:w="4788" w:type="dxa"/>
          </w:tcPr>
          <w:p w14:paraId="107FB427" w14:textId="186D341D" w:rsidR="007067F1" w:rsidRDefault="007067F1" w:rsidP="007067F1">
            <w:pPr>
              <w:rPr>
                <w:sz w:val="24"/>
                <w:szCs w:val="24"/>
              </w:rPr>
            </w:pPr>
            <w:r>
              <w:t>единична доза</w:t>
            </w:r>
            <w:r>
              <w:rPr>
                <w:vertAlign w:val="superscript"/>
              </w:rPr>
              <w:t>1</w:t>
            </w:r>
            <w:r>
              <w:t xml:space="preserve"> приложена след всяка </w:t>
            </w:r>
            <w:proofErr w:type="spellStart"/>
            <w:r>
              <w:t>диализна</w:t>
            </w:r>
            <w:proofErr w:type="spellEnd"/>
            <w:r>
              <w:t xml:space="preserve"> сесия.</w:t>
            </w:r>
          </w:p>
        </w:tc>
      </w:tr>
    </w:tbl>
    <w:p w14:paraId="46E165CF" w14:textId="4A64FB3F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lastRenderedPageBreak/>
        <w:t>ЗАБЕЛЕЖКА</w:t>
      </w:r>
      <w:r w:rsidRPr="007067F1">
        <w:rPr>
          <w:lang w:eastAsia="bg-BG"/>
        </w:rPr>
        <w:t xml:space="preserve">: </w:t>
      </w:r>
      <w:r w:rsidRPr="007067F1">
        <w:rPr>
          <w:vertAlign w:val="superscript"/>
          <w:lang w:eastAsia="bg-BG"/>
        </w:rPr>
        <w:t>1</w:t>
      </w:r>
      <w:r w:rsidRPr="007067F1">
        <w:rPr>
          <w:lang w:eastAsia="bg-BG"/>
        </w:rPr>
        <w:t xml:space="preserve">Единичната доза е 100 </w:t>
      </w:r>
      <w:r w:rsidRPr="007067F1">
        <w:rPr>
          <w:lang w:val="en-US"/>
        </w:rPr>
        <w:t xml:space="preserve">mg </w:t>
      </w:r>
      <w:r w:rsidRPr="007067F1">
        <w:rPr>
          <w:lang w:eastAsia="bg-BG"/>
        </w:rPr>
        <w:t xml:space="preserve">или 200 </w:t>
      </w:r>
      <w:r w:rsidRPr="007067F1">
        <w:rPr>
          <w:lang w:val="en-US"/>
        </w:rPr>
        <w:t xml:space="preserve">mg, </w:t>
      </w:r>
      <w:r w:rsidRPr="007067F1">
        <w:rPr>
          <w:lang w:eastAsia="bg-BG"/>
        </w:rPr>
        <w:t>в зависимост от вида на инфекцията, както е посочено по-горе.</w:t>
      </w:r>
    </w:p>
    <w:p w14:paraId="20A381B8" w14:textId="77777777" w:rsidR="007067F1" w:rsidRDefault="007067F1" w:rsidP="007067F1">
      <w:pPr>
        <w:rPr>
          <w:u w:val="single"/>
          <w:lang w:eastAsia="bg-BG"/>
        </w:rPr>
      </w:pPr>
    </w:p>
    <w:p w14:paraId="500B9429" w14:textId="749C061D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t>Пациенти с чернодробно увреждане</w:t>
      </w:r>
      <w:r w:rsidRPr="007067F1">
        <w:rPr>
          <w:lang w:eastAsia="bg-BG"/>
        </w:rPr>
        <w:t>:</w:t>
      </w:r>
    </w:p>
    <w:p w14:paraId="673FBA31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В случай на чернодробно увреждане не е необходимо коригиране на дозата</w:t>
      </w:r>
    </w:p>
    <w:p w14:paraId="0C482999" w14:textId="77777777" w:rsidR="007067F1" w:rsidRDefault="007067F1" w:rsidP="007067F1">
      <w:pPr>
        <w:rPr>
          <w:u w:val="single"/>
          <w:lang w:eastAsia="bg-BG"/>
        </w:rPr>
      </w:pPr>
    </w:p>
    <w:p w14:paraId="12D6C6B7" w14:textId="3BB43AFF" w:rsidR="007067F1" w:rsidRPr="007067F1" w:rsidRDefault="007067F1" w:rsidP="007067F1">
      <w:pPr>
        <w:rPr>
          <w:sz w:val="24"/>
          <w:szCs w:val="24"/>
        </w:rPr>
      </w:pPr>
      <w:r w:rsidRPr="007067F1">
        <w:rPr>
          <w:u w:val="single"/>
          <w:lang w:eastAsia="bg-BG"/>
        </w:rPr>
        <w:t>Продължителност на лечението</w:t>
      </w:r>
    </w:p>
    <w:p w14:paraId="549216F2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Продължителността на лечението зависи от пациента, показанието и причиняващия микроорганизъм или микроорганизми.</w:t>
      </w:r>
    </w:p>
    <w:p w14:paraId="4312FC47" w14:textId="77777777" w:rsidR="007067F1" w:rsidRDefault="007067F1" w:rsidP="007067F1">
      <w:pPr>
        <w:rPr>
          <w:i/>
          <w:iCs/>
          <w:lang w:eastAsia="bg-BG"/>
        </w:rPr>
      </w:pPr>
    </w:p>
    <w:p w14:paraId="11D46A42" w14:textId="1F07765B" w:rsidR="007067F1" w:rsidRPr="007067F1" w:rsidRDefault="007067F1" w:rsidP="007067F1">
      <w:pPr>
        <w:pStyle w:val="Heading3"/>
        <w:rPr>
          <w:u w:val="single"/>
          <w:lang w:eastAsia="bg-BG"/>
        </w:rPr>
      </w:pPr>
      <w:r w:rsidRPr="007067F1">
        <w:rPr>
          <w:rFonts w:eastAsia="Times New Roman"/>
          <w:u w:val="single"/>
          <w:lang w:eastAsia="bg-BG"/>
        </w:rPr>
        <w:t>Начин на приложение</w:t>
      </w:r>
    </w:p>
    <w:p w14:paraId="543ACD1B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За перорално приложение.</w:t>
      </w:r>
    </w:p>
    <w:p w14:paraId="7C544C0F" w14:textId="6EDB610B" w:rsid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За да се постигне оптимална абсорбция, таблетката трябва да се приема с храна.</w:t>
      </w:r>
    </w:p>
    <w:p w14:paraId="57F904EE" w14:textId="77777777" w:rsidR="007067F1" w:rsidRPr="007067F1" w:rsidRDefault="007067F1" w:rsidP="007067F1"/>
    <w:p w14:paraId="2C3A34F8" w14:textId="7126D3D6" w:rsidR="005A66D9" w:rsidRDefault="002C50EE" w:rsidP="00CA1B57">
      <w:pPr>
        <w:pStyle w:val="Heading2"/>
      </w:pPr>
      <w:r>
        <w:t>4.3. Противопоказания</w:t>
      </w:r>
    </w:p>
    <w:p w14:paraId="4E1A4AD3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Свръхчувствителност към активното вещество, към друг </w:t>
      </w:r>
      <w:proofErr w:type="spellStart"/>
      <w:r w:rsidRPr="007067F1">
        <w:rPr>
          <w:lang w:eastAsia="bg-BG"/>
        </w:rPr>
        <w:t>цефалоспорин</w:t>
      </w:r>
      <w:proofErr w:type="spellEnd"/>
      <w:r w:rsidRPr="007067F1">
        <w:rPr>
          <w:lang w:eastAsia="bg-BG"/>
        </w:rPr>
        <w:t xml:space="preserve"> или към някое от помощните вещества изброени в т.6.1.</w:t>
      </w:r>
    </w:p>
    <w:p w14:paraId="022B8947" w14:textId="77777777" w:rsidR="007067F1" w:rsidRDefault="007067F1" w:rsidP="007067F1">
      <w:pPr>
        <w:rPr>
          <w:lang w:eastAsia="bg-BG"/>
        </w:rPr>
      </w:pPr>
    </w:p>
    <w:p w14:paraId="61B56EAF" w14:textId="086412A2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Предшестваща реакция на свръхчувствителност от бърз тип и/или тежка като протичане реакция към пеницилин или към някой от другите представители на бета-</w:t>
      </w:r>
      <w:proofErr w:type="spellStart"/>
      <w:r w:rsidRPr="007067F1">
        <w:rPr>
          <w:lang w:eastAsia="bg-BG"/>
        </w:rPr>
        <w:t>лактамите</w:t>
      </w:r>
      <w:proofErr w:type="spellEnd"/>
      <w:r w:rsidRPr="007067F1">
        <w:rPr>
          <w:lang w:eastAsia="bg-BG"/>
        </w:rPr>
        <w:t>.</w:t>
      </w:r>
    </w:p>
    <w:p w14:paraId="7999A7DC" w14:textId="77777777" w:rsidR="007067F1" w:rsidRPr="007067F1" w:rsidRDefault="007067F1" w:rsidP="007067F1"/>
    <w:p w14:paraId="0FB03AB3" w14:textId="5B3E13A7" w:rsidR="005A66D9" w:rsidRDefault="002C50EE" w:rsidP="00CA1B57">
      <w:pPr>
        <w:pStyle w:val="Heading2"/>
      </w:pPr>
      <w:r>
        <w:t>4.4. Специални предупреждения и предпазни мерки при употреба</w:t>
      </w:r>
    </w:p>
    <w:p w14:paraId="65F5FAAA" w14:textId="77777777" w:rsidR="007067F1" w:rsidRDefault="007067F1" w:rsidP="007067F1">
      <w:pPr>
        <w:rPr>
          <w:lang w:eastAsia="bg-BG"/>
        </w:rPr>
      </w:pPr>
    </w:p>
    <w:p w14:paraId="1BFC25C5" w14:textId="4C7CAC97" w:rsidR="007067F1" w:rsidRPr="007067F1" w:rsidRDefault="007067F1" w:rsidP="007067F1">
      <w:pPr>
        <w:rPr>
          <w:sz w:val="24"/>
          <w:szCs w:val="24"/>
        </w:rPr>
      </w:pPr>
      <w:r w:rsidRPr="007067F1">
        <w:rPr>
          <w:i/>
          <w:iCs/>
        </w:rPr>
        <w:t>Реакции</w:t>
      </w:r>
      <w:r w:rsidRPr="007067F1">
        <w:rPr>
          <w:lang w:eastAsia="bg-BG"/>
        </w:rPr>
        <w:t xml:space="preserve"> </w:t>
      </w:r>
      <w:r w:rsidRPr="007067F1">
        <w:rPr>
          <w:i/>
          <w:iCs/>
        </w:rPr>
        <w:t>на</w:t>
      </w:r>
      <w:r w:rsidRPr="007067F1">
        <w:rPr>
          <w:lang w:eastAsia="bg-BG"/>
        </w:rPr>
        <w:t xml:space="preserve"> </w:t>
      </w:r>
      <w:r w:rsidRPr="007067F1">
        <w:rPr>
          <w:i/>
          <w:iCs/>
        </w:rPr>
        <w:t>свръхчувствителност</w:t>
      </w:r>
    </w:p>
    <w:p w14:paraId="3341B775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Преди започване на лечение с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е необходимо пациентът да бъде разпитан внимателно за предшестващи реакции на свръхчувствителност към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, </w:t>
      </w:r>
      <w:proofErr w:type="spellStart"/>
      <w:r w:rsidRPr="007067F1">
        <w:rPr>
          <w:lang w:eastAsia="bg-BG"/>
        </w:rPr>
        <w:t>цефалоспорини</w:t>
      </w:r>
      <w:proofErr w:type="spellEnd"/>
      <w:r w:rsidRPr="007067F1">
        <w:rPr>
          <w:lang w:eastAsia="bg-BG"/>
        </w:rPr>
        <w:t>, пеницилини или към други бета-</w:t>
      </w:r>
      <w:proofErr w:type="spellStart"/>
      <w:r w:rsidRPr="007067F1">
        <w:rPr>
          <w:lang w:eastAsia="bg-BG"/>
        </w:rPr>
        <w:t>лактамни</w:t>
      </w:r>
      <w:proofErr w:type="spellEnd"/>
      <w:r w:rsidRPr="007067F1">
        <w:rPr>
          <w:lang w:eastAsia="bg-BG"/>
        </w:rPr>
        <w:t xml:space="preserve"> антибиотици.</w:t>
      </w:r>
    </w:p>
    <w:p w14:paraId="587694D6" w14:textId="77777777" w:rsidR="007067F1" w:rsidRDefault="007067F1" w:rsidP="007067F1">
      <w:pPr>
        <w:rPr>
          <w:lang w:eastAsia="bg-BG"/>
        </w:rPr>
      </w:pPr>
    </w:p>
    <w:p w14:paraId="7B27C284" w14:textId="289E357C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е противопоказан при пациенти, които са имали предшестваща реакция на свръхчувствителност към който и да е </w:t>
      </w:r>
      <w:proofErr w:type="spellStart"/>
      <w:r w:rsidRPr="007067F1">
        <w:rPr>
          <w:lang w:eastAsia="bg-BG"/>
        </w:rPr>
        <w:t>цефалоспорин</w:t>
      </w:r>
      <w:proofErr w:type="spellEnd"/>
      <w:r w:rsidRPr="007067F1">
        <w:rPr>
          <w:lang w:eastAsia="bg-BG"/>
        </w:rPr>
        <w:t>.</w:t>
      </w:r>
    </w:p>
    <w:p w14:paraId="12F0EA94" w14:textId="77777777" w:rsidR="007067F1" w:rsidRDefault="007067F1" w:rsidP="007067F1">
      <w:pPr>
        <w:rPr>
          <w:lang w:eastAsia="bg-BG"/>
        </w:rPr>
      </w:pPr>
    </w:p>
    <w:p w14:paraId="3F5E38F1" w14:textId="5838B7D2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Също така е противопоказан при пациенти, които са имали предшестваща реакция от бърз тип и/или тежка реакция на свръхчувствителност към някой от пеницилините или към някой от останалите бета-</w:t>
      </w:r>
      <w:proofErr w:type="spellStart"/>
      <w:r w:rsidRPr="007067F1">
        <w:rPr>
          <w:lang w:eastAsia="bg-BG"/>
        </w:rPr>
        <w:t>лактамни</w:t>
      </w:r>
      <w:proofErr w:type="spellEnd"/>
      <w:r w:rsidRPr="007067F1">
        <w:rPr>
          <w:lang w:eastAsia="bg-BG"/>
        </w:rPr>
        <w:t xml:space="preserve"> антибиотици.</w:t>
      </w:r>
    </w:p>
    <w:p w14:paraId="770E87D0" w14:textId="77777777" w:rsidR="007067F1" w:rsidRDefault="007067F1" w:rsidP="007067F1">
      <w:pPr>
        <w:rPr>
          <w:lang w:eastAsia="bg-BG"/>
        </w:rPr>
      </w:pPr>
    </w:p>
    <w:p w14:paraId="1CBB3A1D" w14:textId="3F63E9D6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трябва да се прилага с повишено внимание при пациенти, които са имали друг вид реакция на свръхчувствителност към пеницилин или към друг представител на бета- </w:t>
      </w:r>
      <w:proofErr w:type="spellStart"/>
      <w:r w:rsidRPr="007067F1">
        <w:rPr>
          <w:lang w:eastAsia="bg-BG"/>
        </w:rPr>
        <w:t>лактамите</w:t>
      </w:r>
      <w:proofErr w:type="spellEnd"/>
      <w:r w:rsidRPr="007067F1">
        <w:rPr>
          <w:lang w:eastAsia="bg-BG"/>
        </w:rPr>
        <w:t>.</w:t>
      </w:r>
    </w:p>
    <w:p w14:paraId="72FEADBA" w14:textId="77777777" w:rsidR="007067F1" w:rsidRDefault="007067F1" w:rsidP="007067F1">
      <w:pPr>
        <w:rPr>
          <w:lang w:eastAsia="bg-BG"/>
        </w:rPr>
      </w:pPr>
    </w:p>
    <w:p w14:paraId="55B125BA" w14:textId="037D24F0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Реакциите на свръхчувствителност (анафилаксия), наблюдавани при бета-</w:t>
      </w:r>
      <w:proofErr w:type="spellStart"/>
      <w:r w:rsidRPr="007067F1">
        <w:rPr>
          <w:lang w:eastAsia="bg-BG"/>
        </w:rPr>
        <w:t>лактамните</w:t>
      </w:r>
      <w:proofErr w:type="spellEnd"/>
      <w:r w:rsidRPr="007067F1">
        <w:rPr>
          <w:lang w:eastAsia="bg-BG"/>
        </w:rPr>
        <w:t xml:space="preserve"> антибиотици могат да бъдат тежки и понякога фатални.</w:t>
      </w:r>
    </w:p>
    <w:p w14:paraId="6B48470F" w14:textId="77777777" w:rsidR="007067F1" w:rsidRDefault="007067F1" w:rsidP="007067F1">
      <w:pPr>
        <w:rPr>
          <w:lang w:eastAsia="bg-BG"/>
        </w:rPr>
      </w:pPr>
    </w:p>
    <w:p w14:paraId="08013D72" w14:textId="2F5BAEA9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При проява на какъвто и да е признак на свръхчувствителност, лечението трябва да бъде спряно.</w:t>
      </w:r>
    </w:p>
    <w:p w14:paraId="41463C3E" w14:textId="77777777" w:rsidR="007067F1" w:rsidRDefault="007067F1" w:rsidP="007067F1">
      <w:pPr>
        <w:rPr>
          <w:lang w:eastAsia="bg-BG"/>
        </w:rPr>
      </w:pPr>
    </w:p>
    <w:p w14:paraId="329EEEF8" w14:textId="4EDAF718" w:rsidR="007067F1" w:rsidRPr="007067F1" w:rsidRDefault="007067F1" w:rsidP="007067F1">
      <w:pPr>
        <w:rPr>
          <w:sz w:val="24"/>
          <w:szCs w:val="24"/>
        </w:rPr>
      </w:pPr>
      <w:r w:rsidRPr="007067F1">
        <w:rPr>
          <w:i/>
          <w:iCs/>
        </w:rPr>
        <w:t>Бъбречна</w:t>
      </w:r>
      <w:r w:rsidRPr="007067F1">
        <w:rPr>
          <w:lang w:eastAsia="bg-BG"/>
        </w:rPr>
        <w:t xml:space="preserve"> </w:t>
      </w:r>
      <w:r w:rsidRPr="007067F1">
        <w:rPr>
          <w:i/>
          <w:iCs/>
        </w:rPr>
        <w:t>недостатъчност</w:t>
      </w:r>
    </w:p>
    <w:p w14:paraId="16426E8C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lastRenderedPageBreak/>
        <w:t xml:space="preserve">В случаите на тежка бъбречна недостатъчност може да се наложи </w:t>
      </w:r>
      <w:proofErr w:type="spellStart"/>
      <w:r w:rsidRPr="007067F1">
        <w:rPr>
          <w:lang w:eastAsia="bg-BG"/>
        </w:rPr>
        <w:t>дозовия</w:t>
      </w:r>
      <w:proofErr w:type="spellEnd"/>
      <w:r w:rsidRPr="007067F1">
        <w:rPr>
          <w:lang w:eastAsia="bg-BG"/>
        </w:rPr>
        <w:t xml:space="preserve"> режим да бъде намален в зависимост от стойностите на </w:t>
      </w:r>
      <w:proofErr w:type="spellStart"/>
      <w:r w:rsidRPr="007067F1">
        <w:rPr>
          <w:lang w:eastAsia="bg-BG"/>
        </w:rPr>
        <w:t>креатининовия</w:t>
      </w:r>
      <w:proofErr w:type="spellEnd"/>
      <w:r w:rsidRPr="007067F1">
        <w:rPr>
          <w:lang w:eastAsia="bg-BG"/>
        </w:rPr>
        <w:t xml:space="preserve"> клирънс (виж точка 4.2).</w:t>
      </w:r>
    </w:p>
    <w:p w14:paraId="1C2AF7B9" w14:textId="77777777" w:rsidR="007067F1" w:rsidRDefault="007067F1" w:rsidP="007067F1">
      <w:pPr>
        <w:rPr>
          <w:lang w:eastAsia="bg-BG"/>
        </w:rPr>
      </w:pPr>
    </w:p>
    <w:p w14:paraId="0D97AB28" w14:textId="3E81FF46" w:rsidR="007067F1" w:rsidRPr="007067F1" w:rsidRDefault="007067F1" w:rsidP="007067F1">
      <w:pPr>
        <w:rPr>
          <w:i/>
          <w:iCs/>
        </w:rPr>
      </w:pPr>
      <w:r w:rsidRPr="007067F1">
        <w:rPr>
          <w:i/>
          <w:iCs/>
          <w:lang w:eastAsia="bg-BG"/>
        </w:rPr>
        <w:t>Стомашно-чревни заболявания</w:t>
      </w:r>
    </w:p>
    <w:p w14:paraId="0E8DDD26" w14:textId="77777777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трябва винаги да бъде използван с повишено внимание при пациенти с анамнеза за стомашно-чревно заболяване, особено колит. При приложение на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са съобщавани случаи на свързани с антибиотичната терапия диария, колит и </w:t>
      </w:r>
      <w:proofErr w:type="spellStart"/>
      <w:r w:rsidRPr="007067F1">
        <w:rPr>
          <w:lang w:eastAsia="bg-BG"/>
        </w:rPr>
        <w:t>псевдомембранозен</w:t>
      </w:r>
      <w:proofErr w:type="spellEnd"/>
      <w:r w:rsidRPr="007067F1">
        <w:rPr>
          <w:lang w:eastAsia="bg-BG"/>
        </w:rPr>
        <w:t xml:space="preserve"> колит. Тези диагнози трябва да се имат предвид при пациенти, при които в хода на лечението или скоро след него настъпва диария. Лечението с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трябва да се преустанови, ако настъпи тежка и/или кървава диария в хода на терапията и да се започне съответно лечение.</w:t>
      </w:r>
    </w:p>
    <w:p w14:paraId="1B78EDC5" w14:textId="77777777" w:rsidR="007067F1" w:rsidRDefault="007067F1" w:rsidP="007067F1">
      <w:pPr>
        <w:rPr>
          <w:lang w:eastAsia="bg-BG"/>
        </w:rPr>
      </w:pPr>
    </w:p>
    <w:p w14:paraId="7369B672" w14:textId="376E3F23" w:rsidR="007067F1" w:rsidRPr="007067F1" w:rsidRDefault="007067F1" w:rsidP="007067F1">
      <w:pPr>
        <w:rPr>
          <w:i/>
          <w:iCs/>
        </w:rPr>
      </w:pPr>
      <w:r w:rsidRPr="007067F1">
        <w:rPr>
          <w:i/>
          <w:iCs/>
          <w:lang w:eastAsia="bg-BG"/>
        </w:rPr>
        <w:t>Проследяване на кръвната картина</w:t>
      </w:r>
    </w:p>
    <w:p w14:paraId="7784C39C" w14:textId="2D8D45D3" w:rsidR="007067F1" w:rsidRDefault="007067F1" w:rsidP="007067F1">
      <w:pPr>
        <w:rPr>
          <w:lang w:eastAsia="bg-BG"/>
        </w:rPr>
      </w:pPr>
      <w:r w:rsidRPr="007067F1">
        <w:rPr>
          <w:lang w:eastAsia="bg-BG"/>
        </w:rPr>
        <w:t>Както и при другите бета-</w:t>
      </w:r>
      <w:proofErr w:type="spellStart"/>
      <w:r w:rsidRPr="007067F1">
        <w:rPr>
          <w:lang w:eastAsia="bg-BG"/>
        </w:rPr>
        <w:t>лактамни</w:t>
      </w:r>
      <w:proofErr w:type="spellEnd"/>
      <w:r w:rsidRPr="007067F1">
        <w:rPr>
          <w:lang w:eastAsia="bg-BG"/>
        </w:rPr>
        <w:t xml:space="preserve"> антибиотици, особено в хода на продължително лечение, може да настъпят </w:t>
      </w:r>
      <w:proofErr w:type="spellStart"/>
      <w:r w:rsidRPr="007067F1">
        <w:rPr>
          <w:lang w:eastAsia="bg-BG"/>
        </w:rPr>
        <w:t>неутропения</w:t>
      </w:r>
      <w:proofErr w:type="spellEnd"/>
      <w:r w:rsidRPr="007067F1">
        <w:rPr>
          <w:lang w:eastAsia="bg-BG"/>
        </w:rPr>
        <w:t xml:space="preserve"> и по-рядко </w:t>
      </w:r>
      <w:proofErr w:type="spellStart"/>
      <w:r w:rsidRPr="007067F1">
        <w:rPr>
          <w:lang w:eastAsia="bg-BG"/>
        </w:rPr>
        <w:t>агранулоцитоза</w:t>
      </w:r>
      <w:proofErr w:type="spellEnd"/>
      <w:r w:rsidRPr="007067F1">
        <w:rPr>
          <w:lang w:eastAsia="bg-BG"/>
        </w:rPr>
        <w:t xml:space="preserve">. В случаите, в които </w:t>
      </w:r>
      <w:proofErr w:type="spellStart"/>
      <w:r w:rsidRPr="007067F1">
        <w:rPr>
          <w:lang w:eastAsia="bg-BG"/>
        </w:rPr>
        <w:t>лечениети</w:t>
      </w:r>
      <w:proofErr w:type="spellEnd"/>
      <w:r w:rsidRPr="007067F1">
        <w:rPr>
          <w:lang w:eastAsia="bg-BG"/>
        </w:rPr>
        <w:t xml:space="preserve"> продължава повече от 10 дни, е необходимо проследяване на кръвната картина и преустановяване на лечението при установяване на </w:t>
      </w:r>
      <w:proofErr w:type="spellStart"/>
      <w:r w:rsidRPr="007067F1">
        <w:rPr>
          <w:lang w:eastAsia="bg-BG"/>
        </w:rPr>
        <w:t>неутропения</w:t>
      </w:r>
      <w:proofErr w:type="spellEnd"/>
      <w:r w:rsidRPr="007067F1">
        <w:rPr>
          <w:lang w:eastAsia="bg-BG"/>
        </w:rPr>
        <w:t>.</w:t>
      </w:r>
    </w:p>
    <w:p w14:paraId="1FBC7C28" w14:textId="1CF3CF78" w:rsidR="007067F1" w:rsidRDefault="007067F1" w:rsidP="007067F1">
      <w:pPr>
        <w:rPr>
          <w:lang w:eastAsia="bg-BG"/>
        </w:rPr>
      </w:pPr>
    </w:p>
    <w:p w14:paraId="3A7A39E0" w14:textId="77777777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Цефалоспорините</w:t>
      </w:r>
      <w:proofErr w:type="spellEnd"/>
      <w:r w:rsidRPr="007067F1">
        <w:rPr>
          <w:lang w:eastAsia="bg-BG"/>
        </w:rPr>
        <w:t xml:space="preserve"> може да се абсорбират по повърхността на мембраните на червените кръвни клетки и да взаимодействат с антителата, насочени срещу лекарството. Това може да доведе до </w:t>
      </w:r>
      <w:proofErr w:type="spellStart"/>
      <w:r w:rsidRPr="007067F1">
        <w:rPr>
          <w:lang w:eastAsia="bg-BG"/>
        </w:rPr>
        <w:t>позитивиране</w:t>
      </w:r>
      <w:proofErr w:type="spellEnd"/>
      <w:r w:rsidRPr="007067F1">
        <w:rPr>
          <w:lang w:eastAsia="bg-BG"/>
        </w:rPr>
        <w:t xml:space="preserve"> на теста на </w:t>
      </w:r>
      <w:r w:rsidRPr="007067F1">
        <w:rPr>
          <w:lang w:val="en-US"/>
        </w:rPr>
        <w:t xml:space="preserve">Coombs </w:t>
      </w:r>
      <w:r w:rsidRPr="007067F1">
        <w:rPr>
          <w:lang w:eastAsia="bg-BG"/>
        </w:rPr>
        <w:t xml:space="preserve">и много рядко до </w:t>
      </w:r>
      <w:proofErr w:type="spellStart"/>
      <w:r w:rsidRPr="007067F1">
        <w:rPr>
          <w:lang w:eastAsia="bg-BG"/>
        </w:rPr>
        <w:t>хемолитична</w:t>
      </w:r>
      <w:proofErr w:type="spellEnd"/>
      <w:r w:rsidRPr="007067F1">
        <w:rPr>
          <w:lang w:eastAsia="bg-BG"/>
        </w:rPr>
        <w:t xml:space="preserve"> анемия. Поради тази причина е възможна кръстосана реакция към пеницилин.</w:t>
      </w:r>
    </w:p>
    <w:p w14:paraId="79F67A14" w14:textId="77777777" w:rsidR="007067F1" w:rsidRDefault="007067F1" w:rsidP="007067F1">
      <w:pPr>
        <w:rPr>
          <w:i/>
          <w:iCs/>
          <w:lang w:eastAsia="bg-BG"/>
        </w:rPr>
      </w:pPr>
    </w:p>
    <w:p w14:paraId="7E0B22AF" w14:textId="6E2E1C09" w:rsidR="007067F1" w:rsidRPr="007067F1" w:rsidRDefault="007067F1" w:rsidP="007067F1">
      <w:pPr>
        <w:rPr>
          <w:sz w:val="24"/>
          <w:szCs w:val="24"/>
        </w:rPr>
      </w:pPr>
      <w:r w:rsidRPr="007067F1">
        <w:rPr>
          <w:i/>
          <w:iCs/>
          <w:lang w:eastAsia="bg-BG"/>
        </w:rPr>
        <w:t>Бъбречна функция</w:t>
      </w:r>
    </w:p>
    <w:p w14:paraId="0C3E8B63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При приложение на </w:t>
      </w:r>
      <w:proofErr w:type="spellStart"/>
      <w:r w:rsidRPr="007067F1">
        <w:rPr>
          <w:lang w:eastAsia="bg-BG"/>
        </w:rPr>
        <w:t>цефалоспоринови</w:t>
      </w:r>
      <w:proofErr w:type="spellEnd"/>
      <w:r w:rsidRPr="007067F1">
        <w:rPr>
          <w:lang w:eastAsia="bg-BG"/>
        </w:rPr>
        <w:t xml:space="preserve"> антибиотици са наблюдавани изменения в бъбречната функция, особено когато се прилагат едновременно с потенциално </w:t>
      </w:r>
      <w:proofErr w:type="spellStart"/>
      <w:r w:rsidRPr="007067F1">
        <w:rPr>
          <w:lang w:eastAsia="bg-BG"/>
        </w:rPr>
        <w:t>нефротоксични</w:t>
      </w:r>
      <w:proofErr w:type="spellEnd"/>
      <w:r w:rsidRPr="007067F1">
        <w:rPr>
          <w:lang w:eastAsia="bg-BG"/>
        </w:rPr>
        <w:t xml:space="preserve"> агенти като </w:t>
      </w:r>
      <w:proofErr w:type="spellStart"/>
      <w:r w:rsidRPr="007067F1">
        <w:rPr>
          <w:lang w:eastAsia="bg-BG"/>
        </w:rPr>
        <w:t>аминогликозиди</w:t>
      </w:r>
      <w:proofErr w:type="spellEnd"/>
      <w:r w:rsidRPr="007067F1">
        <w:rPr>
          <w:lang w:eastAsia="bg-BG"/>
        </w:rPr>
        <w:t xml:space="preserve"> и/или мощни </w:t>
      </w:r>
      <w:proofErr w:type="spellStart"/>
      <w:r w:rsidRPr="007067F1">
        <w:rPr>
          <w:lang w:eastAsia="bg-BG"/>
        </w:rPr>
        <w:t>диуретици</w:t>
      </w:r>
      <w:proofErr w:type="spellEnd"/>
      <w:r w:rsidRPr="007067F1">
        <w:rPr>
          <w:lang w:eastAsia="bg-BG"/>
        </w:rPr>
        <w:t>. В тези случаи е необходимо мониториране на бъбречната функция.</w:t>
      </w:r>
    </w:p>
    <w:p w14:paraId="1168AE72" w14:textId="77777777" w:rsidR="007067F1" w:rsidRDefault="007067F1" w:rsidP="007067F1">
      <w:pPr>
        <w:rPr>
          <w:i/>
          <w:iCs/>
          <w:lang w:eastAsia="bg-BG"/>
        </w:rPr>
      </w:pPr>
    </w:p>
    <w:p w14:paraId="56761986" w14:textId="7FB6585C" w:rsidR="007067F1" w:rsidRPr="007067F1" w:rsidRDefault="007067F1" w:rsidP="007067F1">
      <w:pPr>
        <w:rPr>
          <w:sz w:val="24"/>
          <w:szCs w:val="24"/>
        </w:rPr>
      </w:pPr>
      <w:r w:rsidRPr="007067F1">
        <w:rPr>
          <w:i/>
          <w:iCs/>
          <w:lang w:eastAsia="bg-BG"/>
        </w:rPr>
        <w:t>Продължителна употреба</w:t>
      </w:r>
    </w:p>
    <w:p w14:paraId="0BBE0B3D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Както и при останалите антибиотици продължителното приложение на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</w:t>
      </w:r>
      <w:proofErr w:type="spellStart"/>
      <w:r w:rsidRPr="007067F1">
        <w:rPr>
          <w:lang w:eastAsia="bg-BG"/>
        </w:rPr>
        <w:t>проксетил</w:t>
      </w:r>
      <w:proofErr w:type="spellEnd"/>
      <w:r w:rsidRPr="007067F1">
        <w:rPr>
          <w:lang w:eastAsia="bg-BG"/>
        </w:rPr>
        <w:t xml:space="preserve"> може да доведе до свръхрастеж на нечувствителни микроорганизми. Антибиотиците за перорално приложение могат да увредят нормалната флора на дебелото черво и да се развие свръхрастеж на </w:t>
      </w:r>
      <w:proofErr w:type="spellStart"/>
      <w:r w:rsidRPr="007067F1">
        <w:rPr>
          <w:lang w:eastAsia="bg-BG"/>
        </w:rPr>
        <w:t>клостридии</w:t>
      </w:r>
      <w:proofErr w:type="spellEnd"/>
      <w:r w:rsidRPr="007067F1">
        <w:rPr>
          <w:lang w:eastAsia="bg-BG"/>
        </w:rPr>
        <w:t xml:space="preserve"> с последващо развитие на </w:t>
      </w:r>
      <w:proofErr w:type="spellStart"/>
      <w:r w:rsidRPr="007067F1">
        <w:rPr>
          <w:lang w:eastAsia="bg-BG"/>
        </w:rPr>
        <w:t>псевдомембранозен</w:t>
      </w:r>
      <w:proofErr w:type="spellEnd"/>
      <w:r w:rsidRPr="007067F1">
        <w:rPr>
          <w:lang w:eastAsia="bg-BG"/>
        </w:rPr>
        <w:t xml:space="preserve"> колит. Редовните прегледи на пациента са от съществено значение и ако се развие суперинфекция трябва да се предприемат подходящи мерки.</w:t>
      </w:r>
    </w:p>
    <w:p w14:paraId="2800AF5D" w14:textId="77777777" w:rsidR="007067F1" w:rsidRDefault="007067F1" w:rsidP="007067F1">
      <w:pPr>
        <w:rPr>
          <w:lang w:eastAsia="bg-BG"/>
        </w:rPr>
      </w:pPr>
    </w:p>
    <w:p w14:paraId="14C1E9AC" w14:textId="77F909FA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Този лекарствен продукт съдържа лактоза. Пациентите с редки наследствени проблеми на непоносимост към </w:t>
      </w:r>
      <w:proofErr w:type="spellStart"/>
      <w:r w:rsidRPr="007067F1">
        <w:rPr>
          <w:lang w:eastAsia="bg-BG"/>
        </w:rPr>
        <w:t>галактоза</w:t>
      </w:r>
      <w:proofErr w:type="spellEnd"/>
      <w:r w:rsidRPr="007067F1">
        <w:rPr>
          <w:lang w:eastAsia="bg-BG"/>
        </w:rPr>
        <w:t xml:space="preserve">, </w:t>
      </w:r>
      <w:r w:rsidRPr="007067F1">
        <w:rPr>
          <w:lang w:val="en-US"/>
        </w:rPr>
        <w:t>Lapp</w:t>
      </w:r>
      <w:r w:rsidRPr="007067F1">
        <w:rPr>
          <w:lang w:eastAsia="bg-BG"/>
        </w:rPr>
        <w:t>-</w:t>
      </w:r>
      <w:proofErr w:type="spellStart"/>
      <w:r w:rsidRPr="007067F1">
        <w:rPr>
          <w:lang w:eastAsia="bg-BG"/>
        </w:rPr>
        <w:t>лактазен</w:t>
      </w:r>
      <w:proofErr w:type="spellEnd"/>
      <w:r w:rsidRPr="007067F1">
        <w:rPr>
          <w:lang w:eastAsia="bg-BG"/>
        </w:rPr>
        <w:t xml:space="preserve"> дефицит или </w:t>
      </w:r>
      <w:proofErr w:type="spellStart"/>
      <w:r w:rsidRPr="007067F1">
        <w:rPr>
          <w:lang w:eastAsia="bg-BG"/>
        </w:rPr>
        <w:t>глюкозо-галактозна</w:t>
      </w:r>
      <w:proofErr w:type="spellEnd"/>
      <w:r w:rsidRPr="007067F1">
        <w:rPr>
          <w:lang w:eastAsia="bg-BG"/>
        </w:rPr>
        <w:t xml:space="preserve"> малабсорбция не трябва да приемат този продукт.</w:t>
      </w:r>
    </w:p>
    <w:p w14:paraId="506AE644" w14:textId="77777777" w:rsidR="007067F1" w:rsidRPr="007067F1" w:rsidRDefault="007067F1" w:rsidP="007067F1"/>
    <w:p w14:paraId="0A84597A" w14:textId="3D5439DC" w:rsidR="005A66D9" w:rsidRDefault="002C50EE" w:rsidP="00CA1B57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0F62FE7C" w14:textId="77777777" w:rsidR="007067F1" w:rsidRDefault="007067F1" w:rsidP="007067F1">
      <w:pPr>
        <w:rPr>
          <w:lang w:eastAsia="bg-BG"/>
        </w:rPr>
      </w:pPr>
    </w:p>
    <w:p w14:paraId="180A3C67" w14:textId="03091B25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Не са наблюдавани клинично значими лекарствени взаимодействия по време на клинични проучвания.</w:t>
      </w:r>
    </w:p>
    <w:p w14:paraId="0F14FAA9" w14:textId="77777777" w:rsidR="007067F1" w:rsidRDefault="007067F1" w:rsidP="007067F1">
      <w:pPr>
        <w:rPr>
          <w:lang w:eastAsia="bg-BG"/>
        </w:rPr>
      </w:pPr>
    </w:p>
    <w:p w14:paraId="5BBC0D03" w14:textId="2D3CC316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lastRenderedPageBreak/>
        <w:t>Хистамин Н</w:t>
      </w:r>
      <w:r w:rsidRPr="007067F1">
        <w:rPr>
          <w:vertAlign w:val="subscript"/>
          <w:lang w:eastAsia="bg-BG"/>
        </w:rPr>
        <w:t>2</w:t>
      </w:r>
      <w:r w:rsidRPr="007067F1">
        <w:rPr>
          <w:lang w:eastAsia="bg-BG"/>
        </w:rPr>
        <w:t xml:space="preserve">-антагонисти и </w:t>
      </w:r>
      <w:proofErr w:type="spellStart"/>
      <w:r w:rsidRPr="007067F1">
        <w:rPr>
          <w:lang w:eastAsia="bg-BG"/>
        </w:rPr>
        <w:t>антиациди</w:t>
      </w:r>
      <w:proofErr w:type="spellEnd"/>
      <w:r w:rsidRPr="007067F1">
        <w:rPr>
          <w:lang w:eastAsia="bg-BG"/>
        </w:rPr>
        <w:t xml:space="preserve"> намаляват бионаличността на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. </w:t>
      </w:r>
      <w:proofErr w:type="spellStart"/>
      <w:r w:rsidRPr="007067F1">
        <w:rPr>
          <w:lang w:eastAsia="bg-BG"/>
        </w:rPr>
        <w:t>Пробенецид</w:t>
      </w:r>
      <w:proofErr w:type="spellEnd"/>
      <w:r w:rsidRPr="007067F1">
        <w:rPr>
          <w:lang w:eastAsia="bg-BG"/>
        </w:rPr>
        <w:t xml:space="preserve"> намалява екскрецията на </w:t>
      </w:r>
      <w:proofErr w:type="spellStart"/>
      <w:r w:rsidRPr="007067F1">
        <w:rPr>
          <w:lang w:eastAsia="bg-BG"/>
        </w:rPr>
        <w:t>цефалоспорини</w:t>
      </w:r>
      <w:proofErr w:type="spellEnd"/>
      <w:r w:rsidRPr="007067F1">
        <w:rPr>
          <w:lang w:eastAsia="bg-BG"/>
        </w:rPr>
        <w:t xml:space="preserve">. </w:t>
      </w:r>
      <w:proofErr w:type="spellStart"/>
      <w:r w:rsidRPr="007067F1">
        <w:rPr>
          <w:lang w:eastAsia="bg-BG"/>
        </w:rPr>
        <w:t>Цефалоспорините</w:t>
      </w:r>
      <w:proofErr w:type="spellEnd"/>
      <w:r w:rsidRPr="007067F1">
        <w:rPr>
          <w:lang w:eastAsia="bg-BG"/>
        </w:rPr>
        <w:t xml:space="preserve"> повишават </w:t>
      </w:r>
      <w:proofErr w:type="spellStart"/>
      <w:r w:rsidRPr="007067F1">
        <w:rPr>
          <w:lang w:eastAsia="bg-BG"/>
        </w:rPr>
        <w:t>антикоагулантния</w:t>
      </w:r>
      <w:proofErr w:type="spellEnd"/>
      <w:r w:rsidRPr="007067F1">
        <w:rPr>
          <w:lang w:eastAsia="bg-BG"/>
        </w:rPr>
        <w:t xml:space="preserve"> ефект на </w:t>
      </w:r>
      <w:proofErr w:type="spellStart"/>
      <w:r w:rsidRPr="007067F1">
        <w:rPr>
          <w:lang w:eastAsia="bg-BG"/>
        </w:rPr>
        <w:t>кумарините</w:t>
      </w:r>
      <w:proofErr w:type="spellEnd"/>
      <w:r w:rsidRPr="007067F1">
        <w:rPr>
          <w:lang w:eastAsia="bg-BG"/>
        </w:rPr>
        <w:t>.</w:t>
      </w:r>
    </w:p>
    <w:p w14:paraId="2EAFE6FA" w14:textId="77777777" w:rsidR="007067F1" w:rsidRDefault="007067F1" w:rsidP="007067F1">
      <w:pPr>
        <w:rPr>
          <w:i/>
          <w:iCs/>
          <w:lang w:eastAsia="bg-BG"/>
        </w:rPr>
      </w:pPr>
    </w:p>
    <w:p w14:paraId="584C24E0" w14:textId="5EB707B7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i/>
          <w:iCs/>
          <w:lang w:eastAsia="bg-BG"/>
        </w:rPr>
        <w:t>Антиациди</w:t>
      </w:r>
      <w:proofErr w:type="spellEnd"/>
      <w:r w:rsidRPr="007067F1">
        <w:rPr>
          <w:i/>
          <w:iCs/>
          <w:lang w:eastAsia="bg-BG"/>
        </w:rPr>
        <w:t xml:space="preserve"> и Н</w:t>
      </w:r>
      <w:r w:rsidRPr="007067F1">
        <w:rPr>
          <w:i/>
          <w:iCs/>
          <w:vertAlign w:val="subscript"/>
          <w:lang w:eastAsia="bg-BG"/>
        </w:rPr>
        <w:t>2</w:t>
      </w:r>
      <w:r w:rsidRPr="007067F1">
        <w:rPr>
          <w:i/>
          <w:iCs/>
          <w:lang w:eastAsia="bg-BG"/>
        </w:rPr>
        <w:t>-блокери</w:t>
      </w:r>
    </w:p>
    <w:p w14:paraId="7C2F77B8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Изследванията показват, че бионаличността се понижава с приблизително 30%, когато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се прилага с лекарства, които неутрализират стомашното </w:t>
      </w:r>
      <w:r w:rsidRPr="007067F1">
        <w:rPr>
          <w:lang w:val="en-US"/>
        </w:rPr>
        <w:t xml:space="preserve">pH </w:t>
      </w:r>
      <w:r w:rsidRPr="007067F1">
        <w:rPr>
          <w:lang w:eastAsia="bg-BG"/>
        </w:rPr>
        <w:t xml:space="preserve">или инхибират стомашната секреция. Поради това </w:t>
      </w:r>
      <w:proofErr w:type="spellStart"/>
      <w:r w:rsidRPr="007067F1">
        <w:rPr>
          <w:lang w:eastAsia="bg-BG"/>
        </w:rPr>
        <w:t>антиациди</w:t>
      </w:r>
      <w:proofErr w:type="spellEnd"/>
      <w:r w:rsidRPr="007067F1">
        <w:rPr>
          <w:lang w:eastAsia="bg-BG"/>
        </w:rPr>
        <w:t xml:space="preserve">, лекарства, съдържащи минерали и </w:t>
      </w:r>
      <w:proofErr w:type="spellStart"/>
      <w:r w:rsidRPr="007067F1">
        <w:rPr>
          <w:lang w:eastAsia="bg-BG"/>
        </w:rPr>
        <w:t>блокери</w:t>
      </w:r>
      <w:proofErr w:type="spellEnd"/>
      <w:r w:rsidRPr="007067F1">
        <w:rPr>
          <w:lang w:eastAsia="bg-BG"/>
        </w:rPr>
        <w:t xml:space="preserve">, като </w:t>
      </w:r>
      <w:proofErr w:type="spellStart"/>
      <w:r w:rsidRPr="007067F1">
        <w:rPr>
          <w:lang w:eastAsia="bg-BG"/>
        </w:rPr>
        <w:t>ранитидин</w:t>
      </w:r>
      <w:proofErr w:type="spellEnd"/>
      <w:r w:rsidRPr="007067F1">
        <w:rPr>
          <w:lang w:eastAsia="bg-BG"/>
        </w:rPr>
        <w:t xml:space="preserve">, които може до доведат до покачване на стомашното </w:t>
      </w:r>
      <w:r w:rsidRPr="007067F1">
        <w:rPr>
          <w:lang w:val="en-US"/>
        </w:rPr>
        <w:t xml:space="preserve">pH, </w:t>
      </w:r>
      <w:r w:rsidRPr="007067F1">
        <w:rPr>
          <w:lang w:eastAsia="bg-BG"/>
        </w:rPr>
        <w:t xml:space="preserve">трябва да се приемат 2 до 3 часа след приложението на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>.</w:t>
      </w:r>
    </w:p>
    <w:p w14:paraId="488CDAE9" w14:textId="77777777" w:rsidR="007067F1" w:rsidRDefault="007067F1" w:rsidP="007067F1">
      <w:pPr>
        <w:rPr>
          <w:i/>
          <w:iCs/>
          <w:lang w:eastAsia="bg-BG"/>
        </w:rPr>
      </w:pPr>
    </w:p>
    <w:p w14:paraId="4410BF96" w14:textId="63C99CAF" w:rsidR="007067F1" w:rsidRPr="007067F1" w:rsidRDefault="007067F1" w:rsidP="007067F1">
      <w:pPr>
        <w:rPr>
          <w:sz w:val="24"/>
          <w:szCs w:val="24"/>
        </w:rPr>
      </w:pPr>
      <w:r w:rsidRPr="007067F1">
        <w:rPr>
          <w:i/>
          <w:iCs/>
          <w:lang w:eastAsia="bg-BG"/>
        </w:rPr>
        <w:t>Въздействие върху лабораторните диагностични тестове</w:t>
      </w:r>
    </w:p>
    <w:p w14:paraId="5192AD24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Фалшиво положителна реакция за глюкоза в урината може да има при използване на разтворите на </w:t>
      </w:r>
      <w:r w:rsidRPr="007067F1">
        <w:rPr>
          <w:i/>
          <w:iCs/>
          <w:lang w:val="en-US"/>
        </w:rPr>
        <w:t>Benedict</w:t>
      </w:r>
      <w:r w:rsidRPr="007067F1">
        <w:rPr>
          <w:lang w:val="en-US"/>
        </w:rPr>
        <w:t xml:space="preserve"> </w:t>
      </w:r>
      <w:r w:rsidRPr="007067F1">
        <w:rPr>
          <w:lang w:eastAsia="bg-BG"/>
        </w:rPr>
        <w:t xml:space="preserve">или </w:t>
      </w:r>
      <w:r w:rsidRPr="007067F1">
        <w:rPr>
          <w:i/>
          <w:iCs/>
          <w:lang w:val="en-US"/>
        </w:rPr>
        <w:t>Fehling</w:t>
      </w:r>
      <w:r w:rsidRPr="007067F1">
        <w:rPr>
          <w:lang w:val="en-US"/>
        </w:rPr>
        <w:t xml:space="preserve"> </w:t>
      </w:r>
      <w:r w:rsidRPr="007067F1">
        <w:rPr>
          <w:lang w:eastAsia="bg-BG"/>
        </w:rPr>
        <w:t xml:space="preserve">или при тест таблетки с меден сулфат, но не и при тестове основаващи се на ензимни </w:t>
      </w:r>
      <w:proofErr w:type="spellStart"/>
      <w:r w:rsidRPr="007067F1">
        <w:rPr>
          <w:lang w:eastAsia="bg-BG"/>
        </w:rPr>
        <w:t>глюкозооксидазни</w:t>
      </w:r>
      <w:proofErr w:type="spellEnd"/>
      <w:r w:rsidRPr="007067F1">
        <w:rPr>
          <w:lang w:eastAsia="bg-BG"/>
        </w:rPr>
        <w:t xml:space="preserve"> реакции.</w:t>
      </w:r>
    </w:p>
    <w:p w14:paraId="633C73CD" w14:textId="77777777" w:rsidR="007067F1" w:rsidRPr="007067F1" w:rsidRDefault="007067F1" w:rsidP="007067F1"/>
    <w:p w14:paraId="0C3BF485" w14:textId="32E0ECCD" w:rsidR="005A66D9" w:rsidRDefault="002C50EE" w:rsidP="00CA1B57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715DC397" w14:textId="77777777" w:rsidR="007067F1" w:rsidRDefault="007067F1" w:rsidP="007067F1">
      <w:pPr>
        <w:rPr>
          <w:lang w:eastAsia="bg-BG"/>
        </w:rPr>
      </w:pPr>
    </w:p>
    <w:p w14:paraId="2B3562E1" w14:textId="606081BB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За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</w:t>
      </w:r>
      <w:proofErr w:type="spellStart"/>
      <w:r w:rsidRPr="007067F1">
        <w:rPr>
          <w:lang w:eastAsia="bg-BG"/>
        </w:rPr>
        <w:t>проксетил</w:t>
      </w:r>
      <w:proofErr w:type="spellEnd"/>
      <w:r w:rsidRPr="007067F1">
        <w:rPr>
          <w:lang w:eastAsia="bg-BG"/>
        </w:rPr>
        <w:t xml:space="preserve"> няма клинични данни за </w:t>
      </w:r>
      <w:proofErr w:type="spellStart"/>
      <w:r w:rsidRPr="007067F1">
        <w:rPr>
          <w:lang w:eastAsia="bg-BG"/>
        </w:rPr>
        <w:t>експозирани</w:t>
      </w:r>
      <w:proofErr w:type="spellEnd"/>
      <w:r w:rsidRPr="007067F1">
        <w:rPr>
          <w:lang w:eastAsia="bg-BG"/>
        </w:rPr>
        <w:t xml:space="preserve"> бременности. Експерименталните проучвания при животни не показват пряко или непряко вредно въздействие върху бременността, ембрионалното/фетално развитие, раждането или </w:t>
      </w:r>
      <w:proofErr w:type="spellStart"/>
      <w:r w:rsidRPr="007067F1">
        <w:rPr>
          <w:lang w:eastAsia="bg-BG"/>
        </w:rPr>
        <w:t>постнаталното</w:t>
      </w:r>
      <w:proofErr w:type="spellEnd"/>
      <w:r w:rsidRPr="007067F1">
        <w:rPr>
          <w:lang w:eastAsia="bg-BG"/>
        </w:rPr>
        <w:t xml:space="preserve"> развитие (вж. точка 5.3).</w:t>
      </w:r>
    </w:p>
    <w:p w14:paraId="3A1F164C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Предписването на бременни жени трябва да бъде с повишено внимание.</w:t>
      </w:r>
    </w:p>
    <w:p w14:paraId="0527BBE9" w14:textId="77777777" w:rsidR="007067F1" w:rsidRDefault="007067F1" w:rsidP="007067F1">
      <w:pPr>
        <w:rPr>
          <w:lang w:eastAsia="bg-BG"/>
        </w:rPr>
      </w:pPr>
    </w:p>
    <w:p w14:paraId="1DBB8DF1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Експерименталните проучвания, проведени върху няколко животински видове не показват никакви тератогенни или </w:t>
      </w:r>
      <w:proofErr w:type="spellStart"/>
      <w:r w:rsidRPr="007067F1">
        <w:rPr>
          <w:lang w:eastAsia="bg-BG"/>
        </w:rPr>
        <w:t>фетотоксични</w:t>
      </w:r>
      <w:proofErr w:type="spellEnd"/>
      <w:r w:rsidRPr="007067F1">
        <w:rPr>
          <w:lang w:eastAsia="bg-BG"/>
        </w:rPr>
        <w:t xml:space="preserve"> ефекти. Безопасността на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</w:t>
      </w:r>
      <w:proofErr w:type="spellStart"/>
      <w:r w:rsidRPr="007067F1">
        <w:rPr>
          <w:lang w:eastAsia="bg-BG"/>
        </w:rPr>
        <w:t>проксетил</w:t>
      </w:r>
      <w:proofErr w:type="spellEnd"/>
      <w:r>
        <w:rPr>
          <w:lang w:eastAsia="bg-BG"/>
        </w:rPr>
        <w:t xml:space="preserve"> </w:t>
      </w:r>
      <w:r w:rsidRPr="007067F1">
        <w:rPr>
          <w:lang w:eastAsia="bg-BG"/>
        </w:rPr>
        <w:t>през бременността, обаче, не е установена и както при всички лекарства, трябва да се прилага с повишено внимание през първите месеци от бременността.</w:t>
      </w:r>
    </w:p>
    <w:p w14:paraId="1D5DAEBC" w14:textId="77777777" w:rsidR="007067F1" w:rsidRDefault="007067F1" w:rsidP="007067F1">
      <w:pPr>
        <w:rPr>
          <w:lang w:eastAsia="bg-BG"/>
        </w:rPr>
      </w:pPr>
    </w:p>
    <w:p w14:paraId="3F412500" w14:textId="358A8002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се </w:t>
      </w:r>
      <w:proofErr w:type="spellStart"/>
      <w:r w:rsidRPr="007067F1">
        <w:rPr>
          <w:lang w:eastAsia="bg-BG"/>
        </w:rPr>
        <w:t>екскретира</w:t>
      </w:r>
      <w:proofErr w:type="spellEnd"/>
      <w:r w:rsidRPr="007067F1">
        <w:rPr>
          <w:lang w:eastAsia="bg-BG"/>
        </w:rPr>
        <w:t xml:space="preserve"> в кърмата при хора. Майките трябва да прекратят кърменето докато провеждат лечение с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>.</w:t>
      </w:r>
    </w:p>
    <w:p w14:paraId="79E95248" w14:textId="413551A8" w:rsidR="007067F1" w:rsidRPr="007067F1" w:rsidRDefault="007067F1" w:rsidP="007067F1"/>
    <w:p w14:paraId="4F08CC4F" w14:textId="2E052C41" w:rsidR="005A66D9" w:rsidRDefault="002C50EE" w:rsidP="00CA1B57">
      <w:pPr>
        <w:pStyle w:val="Heading2"/>
      </w:pPr>
      <w:r>
        <w:t>4.7. Ефекти върху способността за шофиране и работа с машини</w:t>
      </w:r>
    </w:p>
    <w:p w14:paraId="56623245" w14:textId="77777777" w:rsidR="007067F1" w:rsidRDefault="007067F1" w:rsidP="007067F1">
      <w:pPr>
        <w:rPr>
          <w:lang w:eastAsia="bg-BG"/>
        </w:rPr>
      </w:pPr>
    </w:p>
    <w:p w14:paraId="545A3E7D" w14:textId="01312B99" w:rsidR="007067F1" w:rsidRPr="007067F1" w:rsidRDefault="007067F1" w:rsidP="007067F1">
      <w:pPr>
        <w:rPr>
          <w:sz w:val="24"/>
          <w:szCs w:val="24"/>
        </w:rPr>
      </w:pP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 xml:space="preserve"> </w:t>
      </w:r>
      <w:proofErr w:type="spellStart"/>
      <w:r w:rsidRPr="007067F1">
        <w:rPr>
          <w:lang w:eastAsia="bg-BG"/>
        </w:rPr>
        <w:t>проксетил</w:t>
      </w:r>
      <w:proofErr w:type="spellEnd"/>
      <w:r w:rsidRPr="007067F1">
        <w:rPr>
          <w:lang w:eastAsia="bg-BG"/>
        </w:rPr>
        <w:t xml:space="preserve"> оказва слабо или умерено влияние върху способността за шофиране и работа с машини.</w:t>
      </w:r>
    </w:p>
    <w:p w14:paraId="3BAD44B2" w14:textId="77777777" w:rsidR="007067F1" w:rsidRDefault="007067F1" w:rsidP="007067F1">
      <w:pPr>
        <w:rPr>
          <w:lang w:eastAsia="bg-BG"/>
        </w:rPr>
      </w:pPr>
    </w:p>
    <w:p w14:paraId="251C29F0" w14:textId="44819E93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Има съобщения за замаяност в хода на лечението с </w:t>
      </w:r>
      <w:proofErr w:type="spellStart"/>
      <w:r w:rsidRPr="007067F1">
        <w:rPr>
          <w:lang w:eastAsia="bg-BG"/>
        </w:rPr>
        <w:t>цефподоксим</w:t>
      </w:r>
      <w:proofErr w:type="spellEnd"/>
      <w:r w:rsidRPr="007067F1">
        <w:rPr>
          <w:lang w:eastAsia="bg-BG"/>
        </w:rPr>
        <w:t>, което може да повлияе способността на пациента за шофиране и работа с машини.</w:t>
      </w:r>
    </w:p>
    <w:p w14:paraId="177F77CE" w14:textId="77777777" w:rsidR="007067F1" w:rsidRPr="007067F1" w:rsidRDefault="007067F1" w:rsidP="007067F1"/>
    <w:p w14:paraId="4DFE83EE" w14:textId="102F68EC" w:rsidR="009B171C" w:rsidRDefault="002C50EE" w:rsidP="00CA1B57">
      <w:pPr>
        <w:pStyle w:val="Heading2"/>
      </w:pPr>
      <w:r>
        <w:t>4.8. Нежелани лекарствени реакции</w:t>
      </w:r>
    </w:p>
    <w:p w14:paraId="0665BB02" w14:textId="77777777" w:rsidR="007067F1" w:rsidRDefault="007067F1" w:rsidP="007067F1">
      <w:pPr>
        <w:rPr>
          <w:lang w:eastAsia="bg-BG"/>
        </w:rPr>
      </w:pPr>
    </w:p>
    <w:p w14:paraId="792DFE2E" w14:textId="2D11292F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В тази точка нежеланите лекарствени реакции са дефинирани както следва:</w:t>
      </w:r>
    </w:p>
    <w:p w14:paraId="747D22F8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Много чести (</w:t>
      </w:r>
      <w:r w:rsidRPr="007067F1">
        <w:rPr>
          <w:lang w:val="en-US"/>
        </w:rPr>
        <w:t>≥</w:t>
      </w:r>
      <w:r w:rsidRPr="007067F1">
        <w:rPr>
          <w:lang w:eastAsia="bg-BG"/>
        </w:rPr>
        <w:t xml:space="preserve"> 1/10)</w:t>
      </w:r>
    </w:p>
    <w:p w14:paraId="7FB37276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Чести (</w:t>
      </w:r>
      <w:r w:rsidRPr="007067F1">
        <w:rPr>
          <w:lang w:val="en-US"/>
        </w:rPr>
        <w:t>≥</w:t>
      </w:r>
      <w:r w:rsidRPr="007067F1">
        <w:rPr>
          <w:lang w:eastAsia="bg-BG"/>
        </w:rPr>
        <w:t xml:space="preserve"> 1/100 до &lt; 1/10)</w:t>
      </w:r>
    </w:p>
    <w:p w14:paraId="223B0823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Нечести (</w:t>
      </w:r>
      <w:r w:rsidRPr="007067F1">
        <w:rPr>
          <w:lang w:val="en-US"/>
        </w:rPr>
        <w:t>≥</w:t>
      </w:r>
      <w:r w:rsidRPr="007067F1">
        <w:rPr>
          <w:lang w:eastAsia="bg-BG"/>
        </w:rPr>
        <w:t xml:space="preserve"> 1/1 000 до &lt; 1/100)</w:t>
      </w:r>
    </w:p>
    <w:p w14:paraId="4DB3F683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>Редки (</w:t>
      </w:r>
      <w:r w:rsidRPr="007067F1">
        <w:rPr>
          <w:lang w:val="en-US"/>
        </w:rPr>
        <w:t>≥</w:t>
      </w:r>
      <w:r w:rsidRPr="007067F1">
        <w:rPr>
          <w:lang w:eastAsia="bg-BG"/>
        </w:rPr>
        <w:t xml:space="preserve"> 1/10 000 до &lt; 1/1 000)</w:t>
      </w:r>
    </w:p>
    <w:p w14:paraId="0C04EA97" w14:textId="77777777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lastRenderedPageBreak/>
        <w:t>Много редки (&lt; 1/10 000)</w:t>
      </w:r>
    </w:p>
    <w:p w14:paraId="33A86505" w14:textId="07C3E16B" w:rsidR="007067F1" w:rsidRPr="007067F1" w:rsidRDefault="007067F1" w:rsidP="007067F1">
      <w:pPr>
        <w:rPr>
          <w:sz w:val="24"/>
          <w:szCs w:val="24"/>
        </w:rPr>
      </w:pPr>
      <w:r w:rsidRPr="007067F1">
        <w:rPr>
          <w:lang w:eastAsia="bg-BG"/>
        </w:rPr>
        <w:t xml:space="preserve">С неизвестна честота (не може да бъде установена от наличните </w:t>
      </w:r>
      <w:proofErr w:type="spellStart"/>
      <w:r w:rsidRPr="007067F1">
        <w:rPr>
          <w:lang w:eastAsia="bg-BG"/>
        </w:rPr>
        <w:t>даннни</w:t>
      </w:r>
      <w:proofErr w:type="spellEnd"/>
      <w:r w:rsidRPr="007067F1">
        <w:rPr>
          <w:lang w:eastAsia="bg-BG"/>
        </w:rPr>
        <w:t>)</w:t>
      </w:r>
    </w:p>
    <w:p w14:paraId="672B7DD7" w14:textId="77777777" w:rsidR="006C32F9" w:rsidRDefault="006C32F9" w:rsidP="007067F1">
      <w:pPr>
        <w:rPr>
          <w:lang w:eastAsia="bg-BG"/>
        </w:rPr>
      </w:pPr>
    </w:p>
    <w:p w14:paraId="5E383334" w14:textId="0DC65DC1" w:rsidR="007067F1" w:rsidRDefault="007067F1" w:rsidP="007067F1">
      <w:pPr>
        <w:rPr>
          <w:lang w:eastAsia="bg-BG"/>
        </w:rPr>
      </w:pPr>
      <w:r w:rsidRPr="007067F1">
        <w:rPr>
          <w:lang w:eastAsia="bg-BG"/>
        </w:rPr>
        <w:t>При всяко групиране в зависимост от честотата, нежеланите лекарствени реакции се изброяват в низходящ ред по отношение на тяхната сериозност.</w:t>
      </w:r>
    </w:p>
    <w:p w14:paraId="0E075C28" w14:textId="4B670FFF" w:rsidR="006C32F9" w:rsidRDefault="006C32F9" w:rsidP="007067F1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336"/>
        <w:gridCol w:w="1438"/>
        <w:gridCol w:w="1711"/>
        <w:gridCol w:w="1840"/>
        <w:gridCol w:w="1706"/>
      </w:tblGrid>
      <w:tr w:rsidR="00633F6E" w14:paraId="1F5A843A" w14:textId="77777777" w:rsidTr="00633F6E">
        <w:tc>
          <w:tcPr>
            <w:tcW w:w="1479" w:type="dxa"/>
          </w:tcPr>
          <w:p w14:paraId="6A523AB5" w14:textId="4A3F4B15" w:rsidR="006C32F9" w:rsidRPr="006C32F9" w:rsidRDefault="006C32F9" w:rsidP="006C32F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C32F9">
              <w:rPr>
                <w:b/>
                <w:bCs/>
              </w:rPr>
              <w:t>Системо</w:t>
            </w:r>
            <w:proofErr w:type="spellEnd"/>
            <w:r w:rsidRPr="006C32F9">
              <w:rPr>
                <w:b/>
                <w:bCs/>
              </w:rPr>
              <w:t>- органен клас</w:t>
            </w:r>
          </w:p>
        </w:tc>
        <w:tc>
          <w:tcPr>
            <w:tcW w:w="1347" w:type="dxa"/>
          </w:tcPr>
          <w:p w14:paraId="6FA32404" w14:textId="79303686" w:rsidR="006C32F9" w:rsidRPr="006C32F9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C32F9">
              <w:rPr>
                <w:b/>
                <w:bCs/>
              </w:rPr>
              <w:t>Чести (</w:t>
            </w:r>
            <w:r w:rsidRPr="006C32F9">
              <w:rPr>
                <w:b/>
                <w:bCs/>
                <w:lang w:val="en-US"/>
              </w:rPr>
              <w:t>≥</w:t>
            </w:r>
            <w:r w:rsidRPr="006C32F9">
              <w:rPr>
                <w:b/>
                <w:bCs/>
              </w:rPr>
              <w:t>1/100 до &lt; 1/10)</w:t>
            </w:r>
          </w:p>
        </w:tc>
        <w:tc>
          <w:tcPr>
            <w:tcW w:w="1449" w:type="dxa"/>
          </w:tcPr>
          <w:p w14:paraId="60A9ADBB" w14:textId="49A8A0F9" w:rsidR="006C32F9" w:rsidRPr="006C32F9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C32F9">
              <w:rPr>
                <w:b/>
                <w:bCs/>
              </w:rPr>
              <w:t>Нечести (</w:t>
            </w:r>
            <w:r w:rsidRPr="006C32F9">
              <w:rPr>
                <w:b/>
                <w:bCs/>
                <w:lang w:val="en-US"/>
              </w:rPr>
              <w:t>≥</w:t>
            </w:r>
            <w:r w:rsidRPr="006C32F9">
              <w:rPr>
                <w:b/>
                <w:bCs/>
              </w:rPr>
              <w:t xml:space="preserve">1/1,000 </w:t>
            </w:r>
            <w:r w:rsidRPr="006C32F9">
              <w:rPr>
                <w:b/>
                <w:bCs/>
                <w:lang w:val="en-US"/>
              </w:rPr>
              <w:t xml:space="preserve">to </w:t>
            </w:r>
            <w:r w:rsidRPr="006C32F9">
              <w:rPr>
                <w:b/>
                <w:bCs/>
              </w:rPr>
              <w:t>&lt; 1/100)</w:t>
            </w:r>
          </w:p>
        </w:tc>
        <w:tc>
          <w:tcPr>
            <w:tcW w:w="1725" w:type="dxa"/>
          </w:tcPr>
          <w:p w14:paraId="687AB792" w14:textId="653458AE" w:rsidR="006C32F9" w:rsidRPr="006C32F9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C32F9">
              <w:rPr>
                <w:b/>
                <w:bCs/>
              </w:rPr>
              <w:t>Редки (</w:t>
            </w:r>
            <w:r w:rsidRPr="006C32F9">
              <w:rPr>
                <w:b/>
                <w:bCs/>
                <w:lang w:val="en-US"/>
              </w:rPr>
              <w:t>≥</w:t>
            </w:r>
            <w:r w:rsidRPr="006C32F9">
              <w:rPr>
                <w:b/>
                <w:bCs/>
              </w:rPr>
              <w:t xml:space="preserve">1/10,000 </w:t>
            </w:r>
            <w:r w:rsidRPr="006C32F9">
              <w:rPr>
                <w:b/>
                <w:bCs/>
                <w:lang w:val="en-US"/>
              </w:rPr>
              <w:t xml:space="preserve">to </w:t>
            </w:r>
            <w:r w:rsidRPr="006C32F9">
              <w:rPr>
                <w:b/>
                <w:bCs/>
              </w:rPr>
              <w:t>&lt; 1/1,000)</w:t>
            </w:r>
          </w:p>
        </w:tc>
        <w:tc>
          <w:tcPr>
            <w:tcW w:w="1856" w:type="dxa"/>
          </w:tcPr>
          <w:p w14:paraId="46E157AC" w14:textId="243AFE74" w:rsidR="006C32F9" w:rsidRPr="006C32F9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C32F9">
              <w:rPr>
                <w:b/>
                <w:bCs/>
              </w:rPr>
              <w:t>Много редки (&lt; 1/10,000)</w:t>
            </w:r>
          </w:p>
        </w:tc>
        <w:tc>
          <w:tcPr>
            <w:tcW w:w="1720" w:type="dxa"/>
          </w:tcPr>
          <w:p w14:paraId="4DED3015" w14:textId="0640698F" w:rsidR="006C32F9" w:rsidRPr="006C32F9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C32F9">
              <w:rPr>
                <w:b/>
                <w:bCs/>
              </w:rPr>
              <w:t xml:space="preserve">С неизвестна честота (не може да бъде установена от наличните </w:t>
            </w:r>
            <w:proofErr w:type="spellStart"/>
            <w:r w:rsidRPr="006C32F9">
              <w:rPr>
                <w:b/>
                <w:bCs/>
              </w:rPr>
              <w:t>даннни</w:t>
            </w:r>
            <w:proofErr w:type="spellEnd"/>
            <w:r w:rsidRPr="006C32F9">
              <w:rPr>
                <w:b/>
                <w:bCs/>
              </w:rPr>
              <w:t>)</w:t>
            </w:r>
          </w:p>
        </w:tc>
      </w:tr>
      <w:tr w:rsidR="00633F6E" w14:paraId="0DF924B1" w14:textId="77777777" w:rsidTr="00633F6E">
        <w:tc>
          <w:tcPr>
            <w:tcW w:w="1479" w:type="dxa"/>
          </w:tcPr>
          <w:p w14:paraId="6E8F5C71" w14:textId="644371A5" w:rsidR="006C32F9" w:rsidRPr="00633F6E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 xml:space="preserve">Инфекции и </w:t>
            </w:r>
            <w:proofErr w:type="spellStart"/>
            <w:r w:rsidRPr="00633F6E">
              <w:rPr>
                <w:b/>
                <w:bCs/>
              </w:rPr>
              <w:t>инфестации</w:t>
            </w:r>
            <w:proofErr w:type="spellEnd"/>
          </w:p>
        </w:tc>
        <w:tc>
          <w:tcPr>
            <w:tcW w:w="1347" w:type="dxa"/>
          </w:tcPr>
          <w:p w14:paraId="0CDA3DCF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2B81F143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311609F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3CB47FF7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739DF627" w14:textId="0A6BB743" w:rsidR="006C32F9" w:rsidRDefault="006C32F9" w:rsidP="006C32F9">
            <w:pPr>
              <w:rPr>
                <w:sz w:val="24"/>
                <w:szCs w:val="24"/>
              </w:rPr>
            </w:pPr>
            <w:r>
              <w:t xml:space="preserve">Възможно е да се увеличи популацията от </w:t>
            </w:r>
            <w:proofErr w:type="spellStart"/>
            <w:r>
              <w:t>нечувтсвителни</w:t>
            </w:r>
            <w:proofErr w:type="spellEnd"/>
            <w:r>
              <w:t xml:space="preserve"> </w:t>
            </w:r>
            <w:proofErr w:type="spellStart"/>
            <w:r>
              <w:t>микрорганизми</w:t>
            </w:r>
            <w:proofErr w:type="spellEnd"/>
            <w:r>
              <w:t xml:space="preserve"> (виж точка 4.4).</w:t>
            </w:r>
          </w:p>
        </w:tc>
      </w:tr>
      <w:tr w:rsidR="00633F6E" w14:paraId="164A4A81" w14:textId="77777777" w:rsidTr="00633F6E">
        <w:tc>
          <w:tcPr>
            <w:tcW w:w="1479" w:type="dxa"/>
          </w:tcPr>
          <w:p w14:paraId="2A014AC8" w14:textId="61624387" w:rsidR="006C32F9" w:rsidRPr="00633F6E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1347" w:type="dxa"/>
          </w:tcPr>
          <w:p w14:paraId="0E9EA224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76BEFD7E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180FB061" w14:textId="11C5891B" w:rsidR="006C32F9" w:rsidRDefault="006C32F9" w:rsidP="006C32F9">
            <w:pPr>
              <w:rPr>
                <w:sz w:val="24"/>
                <w:szCs w:val="24"/>
              </w:rPr>
            </w:pPr>
            <w:r>
              <w:t xml:space="preserve">Хематологични нарушения като понижение на хемоглобина, </w:t>
            </w:r>
            <w:proofErr w:type="spellStart"/>
            <w:r>
              <w:t>тромбоцитите</w:t>
            </w:r>
            <w:proofErr w:type="spellEnd"/>
            <w:r>
              <w:t xml:space="preserve">, тромбоцитопен </w:t>
            </w:r>
            <w:proofErr w:type="spellStart"/>
            <w:r>
              <w:t>ия</w:t>
            </w:r>
            <w:proofErr w:type="spellEnd"/>
            <w:r>
              <w:t xml:space="preserve">, </w:t>
            </w:r>
            <w:proofErr w:type="spellStart"/>
            <w:r>
              <w:t>левкопения</w:t>
            </w:r>
            <w:proofErr w:type="spellEnd"/>
            <w:r>
              <w:t xml:space="preserve"> и </w:t>
            </w:r>
            <w:proofErr w:type="spellStart"/>
            <w:r>
              <w:t>еозинофилия</w:t>
            </w:r>
            <w:proofErr w:type="spellEnd"/>
            <w:r>
              <w:t>.</w:t>
            </w:r>
          </w:p>
        </w:tc>
        <w:tc>
          <w:tcPr>
            <w:tcW w:w="1856" w:type="dxa"/>
          </w:tcPr>
          <w:p w14:paraId="2CEE3868" w14:textId="62299C56" w:rsidR="006C32F9" w:rsidRDefault="006C32F9" w:rsidP="006C32F9">
            <w:pPr>
              <w:rPr>
                <w:sz w:val="24"/>
                <w:szCs w:val="24"/>
              </w:rPr>
            </w:pPr>
            <w:proofErr w:type="spellStart"/>
            <w:r>
              <w:t>Хемолитична</w:t>
            </w:r>
            <w:proofErr w:type="spellEnd"/>
            <w:r>
              <w:t xml:space="preserve"> анемия</w:t>
            </w:r>
          </w:p>
        </w:tc>
        <w:tc>
          <w:tcPr>
            <w:tcW w:w="1720" w:type="dxa"/>
          </w:tcPr>
          <w:p w14:paraId="49F6A5FA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</w:tr>
      <w:tr w:rsidR="00633F6E" w14:paraId="17046C46" w14:textId="77777777" w:rsidTr="00633F6E">
        <w:tc>
          <w:tcPr>
            <w:tcW w:w="1479" w:type="dxa"/>
          </w:tcPr>
          <w:p w14:paraId="3B18F2CE" w14:textId="715F6CAD" w:rsidR="006C32F9" w:rsidRPr="00633F6E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>Нарушения в имунната система</w:t>
            </w:r>
          </w:p>
        </w:tc>
        <w:tc>
          <w:tcPr>
            <w:tcW w:w="1347" w:type="dxa"/>
          </w:tcPr>
          <w:p w14:paraId="4727AEAA" w14:textId="77777777" w:rsidR="006C32F9" w:rsidRDefault="006C32F9" w:rsidP="006C32F9"/>
        </w:tc>
        <w:tc>
          <w:tcPr>
            <w:tcW w:w="1449" w:type="dxa"/>
          </w:tcPr>
          <w:p w14:paraId="586483D4" w14:textId="0497D1FB" w:rsidR="006C32F9" w:rsidRDefault="006C32F9" w:rsidP="006C32F9">
            <w:r>
              <w:t xml:space="preserve">Алергични </w:t>
            </w:r>
            <w:proofErr w:type="spellStart"/>
            <w:r>
              <w:t>реакции,като</w:t>
            </w:r>
            <w:proofErr w:type="spellEnd"/>
            <w:r>
              <w:t xml:space="preserve"> кожно- </w:t>
            </w:r>
            <w:proofErr w:type="spellStart"/>
            <w:r>
              <w:t>лигавични</w:t>
            </w:r>
            <w:proofErr w:type="spellEnd"/>
            <w:r>
              <w:t xml:space="preserve"> реакции, кожни обриви, уртикария и </w:t>
            </w:r>
            <w:proofErr w:type="spellStart"/>
            <w:r>
              <w:t>пруритус</w:t>
            </w:r>
            <w:proofErr w:type="spellEnd"/>
            <w:r>
              <w:t>.</w:t>
            </w:r>
          </w:p>
        </w:tc>
        <w:tc>
          <w:tcPr>
            <w:tcW w:w="1725" w:type="dxa"/>
          </w:tcPr>
          <w:p w14:paraId="23222E37" w14:textId="77777777" w:rsidR="006C32F9" w:rsidRDefault="006C32F9" w:rsidP="006C32F9"/>
        </w:tc>
        <w:tc>
          <w:tcPr>
            <w:tcW w:w="1856" w:type="dxa"/>
            <w:vAlign w:val="bottom"/>
          </w:tcPr>
          <w:p w14:paraId="4F5F3E8F" w14:textId="77777777" w:rsidR="006C32F9" w:rsidRDefault="006C32F9" w:rsidP="006C32F9">
            <w:r>
              <w:t xml:space="preserve">Кожни реакции с лющене(еритема </w:t>
            </w:r>
            <w:proofErr w:type="spellStart"/>
            <w:r>
              <w:t>мултиформе</w:t>
            </w:r>
            <w:proofErr w:type="spellEnd"/>
            <w:r>
              <w:t xml:space="preserve">, синдром на </w:t>
            </w:r>
            <w:r>
              <w:rPr>
                <w:lang w:val="en-US"/>
              </w:rPr>
              <w:t xml:space="preserve">Stevens-Johnson, </w:t>
            </w:r>
            <w:r>
              <w:t xml:space="preserve">синдром на </w:t>
            </w:r>
            <w:r>
              <w:rPr>
                <w:lang w:val="en-US"/>
              </w:rPr>
              <w:t>Lyell).</w:t>
            </w:r>
          </w:p>
          <w:p w14:paraId="7153B16B" w14:textId="13EFCC84" w:rsidR="006C32F9" w:rsidRDefault="006C32F9" w:rsidP="006C32F9">
            <w:r>
              <w:t xml:space="preserve">Лечението трябва да бъде прекратено при проява на </w:t>
            </w:r>
            <w:r>
              <w:lastRenderedPageBreak/>
              <w:t xml:space="preserve">такива симптоми. Както при другите </w:t>
            </w:r>
            <w:proofErr w:type="spellStart"/>
            <w:r>
              <w:t>цефалоспорини</w:t>
            </w:r>
            <w:proofErr w:type="spellEnd"/>
            <w:r>
              <w:t xml:space="preserve">, много рядко са наблюдавани </w:t>
            </w:r>
            <w:proofErr w:type="spellStart"/>
            <w:r>
              <w:t>анафилактични</w:t>
            </w:r>
            <w:proofErr w:type="spellEnd"/>
            <w:r>
              <w:t xml:space="preserve"> реакции, </w:t>
            </w:r>
            <w:proofErr w:type="spellStart"/>
            <w:r>
              <w:t>бронхоспазъм</w:t>
            </w:r>
            <w:proofErr w:type="spellEnd"/>
            <w:r>
              <w:t>, пурпура и ангиоедема.</w:t>
            </w:r>
          </w:p>
        </w:tc>
        <w:tc>
          <w:tcPr>
            <w:tcW w:w="1720" w:type="dxa"/>
          </w:tcPr>
          <w:p w14:paraId="32CA53FA" w14:textId="77777777" w:rsidR="006C32F9" w:rsidRDefault="006C32F9" w:rsidP="006C32F9"/>
        </w:tc>
      </w:tr>
      <w:tr w:rsidR="006C32F9" w14:paraId="726C78F4" w14:textId="77777777" w:rsidTr="000D0079">
        <w:tc>
          <w:tcPr>
            <w:tcW w:w="9576" w:type="dxa"/>
            <w:gridSpan w:val="6"/>
          </w:tcPr>
          <w:p w14:paraId="306F36B5" w14:textId="77777777" w:rsidR="006C32F9" w:rsidRPr="006C32F9" w:rsidRDefault="006C32F9" w:rsidP="006C32F9">
            <w:pPr>
              <w:rPr>
                <w:sz w:val="24"/>
                <w:szCs w:val="24"/>
              </w:rPr>
            </w:pPr>
            <w:r w:rsidRPr="006C32F9">
              <w:rPr>
                <w:lang w:eastAsia="bg-BG"/>
              </w:rPr>
              <w:t>Наблюдавани са реакции на свръхчувствителност с различни степени на сериозност</w:t>
            </w:r>
          </w:p>
          <w:p w14:paraId="4EF6F045" w14:textId="359289A8" w:rsidR="006C32F9" w:rsidRDefault="006C32F9" w:rsidP="006C32F9">
            <w:pPr>
              <w:rPr>
                <w:sz w:val="24"/>
                <w:szCs w:val="24"/>
              </w:rPr>
            </w:pPr>
            <w:r w:rsidRPr="006C32F9">
              <w:rPr>
                <w:lang w:eastAsia="bg-BG"/>
              </w:rPr>
              <w:t>(виж точка 4.3 и 4.4)</w:t>
            </w:r>
          </w:p>
        </w:tc>
      </w:tr>
      <w:tr w:rsidR="00633F6E" w14:paraId="31C9CFBC" w14:textId="77777777" w:rsidTr="00633F6E">
        <w:tc>
          <w:tcPr>
            <w:tcW w:w="1479" w:type="dxa"/>
          </w:tcPr>
          <w:p w14:paraId="46692C70" w14:textId="37EC9829" w:rsidR="006C32F9" w:rsidRPr="00633F6E" w:rsidRDefault="006C32F9" w:rsidP="006C32F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33F6E">
              <w:rPr>
                <w:b/>
                <w:bCs/>
              </w:rPr>
              <w:t>Наруешения</w:t>
            </w:r>
            <w:proofErr w:type="spellEnd"/>
            <w:r w:rsidRPr="00633F6E">
              <w:rPr>
                <w:b/>
                <w:bCs/>
              </w:rPr>
              <w:t xml:space="preserve"> в метаболизма и храненето</w:t>
            </w:r>
          </w:p>
        </w:tc>
        <w:tc>
          <w:tcPr>
            <w:tcW w:w="1347" w:type="dxa"/>
          </w:tcPr>
          <w:p w14:paraId="4BDAB202" w14:textId="0A961B77" w:rsidR="006C32F9" w:rsidRDefault="006C32F9" w:rsidP="006C32F9">
            <w:pPr>
              <w:rPr>
                <w:sz w:val="24"/>
                <w:szCs w:val="24"/>
              </w:rPr>
            </w:pPr>
            <w:r>
              <w:t>Загуба на апетит</w:t>
            </w:r>
          </w:p>
        </w:tc>
        <w:tc>
          <w:tcPr>
            <w:tcW w:w="1449" w:type="dxa"/>
          </w:tcPr>
          <w:p w14:paraId="1FEBD118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4C13B71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741240F4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7B52C7D9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</w:tr>
      <w:tr w:rsidR="00633F6E" w14:paraId="7B07119A" w14:textId="77777777" w:rsidTr="00633F6E">
        <w:tc>
          <w:tcPr>
            <w:tcW w:w="1479" w:type="dxa"/>
          </w:tcPr>
          <w:p w14:paraId="26333B89" w14:textId="3BA84B0B" w:rsidR="006C32F9" w:rsidRPr="00633F6E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1347" w:type="dxa"/>
          </w:tcPr>
          <w:p w14:paraId="167FC140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3E257CDB" w14:textId="4253C248" w:rsidR="006C32F9" w:rsidRDefault="006C32F9" w:rsidP="006C32F9">
            <w:pPr>
              <w:rPr>
                <w:sz w:val="24"/>
                <w:szCs w:val="24"/>
              </w:rPr>
            </w:pPr>
            <w:r>
              <w:t xml:space="preserve">Главоболие, </w:t>
            </w:r>
            <w:proofErr w:type="spellStart"/>
            <w:r>
              <w:t>парестезия</w:t>
            </w:r>
            <w:proofErr w:type="spellEnd"/>
            <w:r>
              <w:t>, замаяност.</w:t>
            </w:r>
          </w:p>
        </w:tc>
        <w:tc>
          <w:tcPr>
            <w:tcW w:w="1725" w:type="dxa"/>
          </w:tcPr>
          <w:p w14:paraId="3F33B7C6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3E1DF515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1E4FEB6A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</w:tr>
      <w:tr w:rsidR="00633F6E" w14:paraId="728012B3" w14:textId="77777777" w:rsidTr="00633F6E">
        <w:tc>
          <w:tcPr>
            <w:tcW w:w="1479" w:type="dxa"/>
          </w:tcPr>
          <w:p w14:paraId="593B47D1" w14:textId="22512378" w:rsidR="006C32F9" w:rsidRPr="00633F6E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>Нарушения в ушите и лабиринта</w:t>
            </w:r>
          </w:p>
        </w:tc>
        <w:tc>
          <w:tcPr>
            <w:tcW w:w="1347" w:type="dxa"/>
          </w:tcPr>
          <w:p w14:paraId="523EF4F7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544891FA" w14:textId="1DCA67DF" w:rsidR="006C32F9" w:rsidRDefault="006C32F9" w:rsidP="006C32F9">
            <w:pPr>
              <w:rPr>
                <w:sz w:val="24"/>
                <w:szCs w:val="24"/>
              </w:rPr>
            </w:pPr>
            <w:proofErr w:type="spellStart"/>
            <w:r>
              <w:t>Тинитус</w:t>
            </w:r>
            <w:proofErr w:type="spellEnd"/>
          </w:p>
        </w:tc>
        <w:tc>
          <w:tcPr>
            <w:tcW w:w="1725" w:type="dxa"/>
          </w:tcPr>
          <w:p w14:paraId="7F151363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695A88F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16706FDC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</w:tr>
      <w:tr w:rsidR="00633F6E" w14:paraId="04EFD6D8" w14:textId="77777777" w:rsidTr="00633F6E">
        <w:tc>
          <w:tcPr>
            <w:tcW w:w="1479" w:type="dxa"/>
          </w:tcPr>
          <w:p w14:paraId="365A5DAE" w14:textId="78FF8F1B" w:rsidR="006C32F9" w:rsidRPr="00633F6E" w:rsidRDefault="006C32F9" w:rsidP="006C32F9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>Нарушения в стомашно- чревната система</w:t>
            </w:r>
          </w:p>
        </w:tc>
        <w:tc>
          <w:tcPr>
            <w:tcW w:w="1347" w:type="dxa"/>
          </w:tcPr>
          <w:p w14:paraId="43C8B168" w14:textId="7F21E861" w:rsidR="006C32F9" w:rsidRDefault="006C32F9" w:rsidP="006C32F9">
            <w:pPr>
              <w:rPr>
                <w:sz w:val="24"/>
                <w:szCs w:val="24"/>
              </w:rPr>
            </w:pPr>
            <w:r>
              <w:t>Тежест в корема, гадене, повръщане, коремна болка, газове, диария</w:t>
            </w:r>
          </w:p>
        </w:tc>
        <w:tc>
          <w:tcPr>
            <w:tcW w:w="1449" w:type="dxa"/>
          </w:tcPr>
          <w:p w14:paraId="054AAA6B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bottom"/>
          </w:tcPr>
          <w:p w14:paraId="035FFB6B" w14:textId="77777777" w:rsidR="00633F6E" w:rsidRPr="00633F6E" w:rsidRDefault="006C32F9" w:rsidP="00633F6E">
            <w:r>
              <w:t xml:space="preserve">Кървава диария може да е признак на ентероколит. Възможността за </w:t>
            </w:r>
            <w:proofErr w:type="spellStart"/>
            <w:r>
              <w:t>псевдомембран</w:t>
            </w:r>
            <w:proofErr w:type="spellEnd"/>
            <w:r>
              <w:t xml:space="preserve"> </w:t>
            </w:r>
            <w:proofErr w:type="spellStart"/>
            <w:r>
              <w:t>озен</w:t>
            </w:r>
            <w:proofErr w:type="spellEnd"/>
            <w:r>
              <w:t xml:space="preserve"> ентероколит трябва да се има предвид, ако по време на лечението и след него се появи тежка</w:t>
            </w:r>
            <w:r w:rsidR="00633F6E">
              <w:t xml:space="preserve"> </w:t>
            </w:r>
            <w:r w:rsidR="00633F6E" w:rsidRPr="00633F6E">
              <w:t>или упорита</w:t>
            </w:r>
            <w:r w:rsidR="00633F6E" w:rsidRPr="00633F6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bg-BG"/>
              </w:rPr>
              <w:t xml:space="preserve"> </w:t>
            </w:r>
            <w:r w:rsidR="00633F6E" w:rsidRPr="00633F6E">
              <w:t>диария (виж</w:t>
            </w:r>
            <w:r w:rsidR="00633F6E" w:rsidRPr="00633F6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bg-BG"/>
              </w:rPr>
              <w:t xml:space="preserve"> </w:t>
            </w:r>
            <w:r w:rsidR="00633F6E" w:rsidRPr="00633F6E">
              <w:t>точка</w:t>
            </w:r>
            <w:r w:rsidR="00633F6E" w:rsidRPr="00633F6E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bg-BG"/>
              </w:rPr>
              <w:t xml:space="preserve"> </w:t>
            </w:r>
            <w:r w:rsidR="00633F6E" w:rsidRPr="00633F6E">
              <w:t>4.4).</w:t>
            </w:r>
          </w:p>
          <w:p w14:paraId="1C7870DD" w14:textId="143CE8F4" w:rsidR="006C32F9" w:rsidRDefault="006C32F9" w:rsidP="00633F6E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538E8548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1D9C0170" w14:textId="77777777" w:rsidR="006C32F9" w:rsidRDefault="006C32F9" w:rsidP="006C32F9">
            <w:pPr>
              <w:rPr>
                <w:sz w:val="24"/>
                <w:szCs w:val="24"/>
              </w:rPr>
            </w:pPr>
          </w:p>
        </w:tc>
      </w:tr>
      <w:tr w:rsidR="00633F6E" w14:paraId="55FC0823" w14:textId="77777777" w:rsidTr="00633F6E">
        <w:tc>
          <w:tcPr>
            <w:tcW w:w="1479" w:type="dxa"/>
          </w:tcPr>
          <w:p w14:paraId="0011D5F1" w14:textId="12E49592" w:rsidR="00633F6E" w:rsidRPr="00633F6E" w:rsidRDefault="00633F6E" w:rsidP="00633F6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33F6E">
              <w:rPr>
                <w:b/>
                <w:bCs/>
              </w:rPr>
              <w:t>Хепато</w:t>
            </w:r>
            <w:proofErr w:type="spellEnd"/>
            <w:r w:rsidRPr="00633F6E">
              <w:rPr>
                <w:b/>
                <w:bCs/>
              </w:rPr>
              <w:t xml:space="preserve">- </w:t>
            </w:r>
            <w:proofErr w:type="spellStart"/>
            <w:r w:rsidRPr="00633F6E">
              <w:rPr>
                <w:b/>
                <w:bCs/>
              </w:rPr>
              <w:t>билиарни</w:t>
            </w:r>
            <w:proofErr w:type="spellEnd"/>
            <w:r w:rsidRPr="00633F6E">
              <w:rPr>
                <w:b/>
                <w:bCs/>
              </w:rPr>
              <w:t xml:space="preserve"> нарушения</w:t>
            </w:r>
          </w:p>
        </w:tc>
        <w:tc>
          <w:tcPr>
            <w:tcW w:w="1347" w:type="dxa"/>
          </w:tcPr>
          <w:p w14:paraId="47493E3D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5FE59322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664AC6AC" w14:textId="77777777" w:rsidR="00633F6E" w:rsidRDefault="00633F6E" w:rsidP="00633F6E">
            <w:r>
              <w:t xml:space="preserve">Преходно умерено увеличение на АСАТ и АЛАТ, алкална </w:t>
            </w:r>
            <w:proofErr w:type="spellStart"/>
            <w:r>
              <w:t>фосфатаза</w:t>
            </w:r>
            <w:proofErr w:type="spellEnd"/>
            <w:r>
              <w:t xml:space="preserve"> и/или </w:t>
            </w:r>
            <w:proofErr w:type="spellStart"/>
            <w:r>
              <w:t>билирубин</w:t>
            </w:r>
            <w:proofErr w:type="spellEnd"/>
            <w:r>
              <w:t>.</w:t>
            </w:r>
          </w:p>
          <w:p w14:paraId="054A7930" w14:textId="5DB49D02" w:rsidR="00633F6E" w:rsidRDefault="00633F6E" w:rsidP="00633F6E">
            <w:pPr>
              <w:rPr>
                <w:sz w:val="24"/>
                <w:szCs w:val="24"/>
              </w:rPr>
            </w:pPr>
            <w:r>
              <w:t xml:space="preserve">Тези лабораторни отклонения, които могат да се дължат на инфекцията, могат рядко да превишат двойно горната граница на дадените референтни стойности и да предизвикат вид чернодробно увреждане, обикновено </w:t>
            </w:r>
            <w:proofErr w:type="spellStart"/>
            <w:r>
              <w:t>холестатично</w:t>
            </w:r>
            <w:proofErr w:type="spellEnd"/>
            <w:r>
              <w:t xml:space="preserve"> и най-често </w:t>
            </w:r>
            <w:proofErr w:type="spellStart"/>
            <w:r>
              <w:t>асимптоматич</w:t>
            </w:r>
            <w:proofErr w:type="spellEnd"/>
            <w:r>
              <w:t>- но.</w:t>
            </w:r>
          </w:p>
        </w:tc>
        <w:tc>
          <w:tcPr>
            <w:tcW w:w="1856" w:type="dxa"/>
          </w:tcPr>
          <w:p w14:paraId="1517E741" w14:textId="74F83E79" w:rsidR="00633F6E" w:rsidRDefault="00633F6E" w:rsidP="00633F6E">
            <w:pPr>
              <w:rPr>
                <w:sz w:val="24"/>
                <w:szCs w:val="24"/>
              </w:rPr>
            </w:pPr>
            <w:r>
              <w:t>Чернодробно увреждане</w:t>
            </w:r>
          </w:p>
        </w:tc>
        <w:tc>
          <w:tcPr>
            <w:tcW w:w="1720" w:type="dxa"/>
          </w:tcPr>
          <w:p w14:paraId="510F60A9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</w:tr>
      <w:tr w:rsidR="00633F6E" w14:paraId="7988D88E" w14:textId="77777777" w:rsidTr="00633F6E">
        <w:tc>
          <w:tcPr>
            <w:tcW w:w="1479" w:type="dxa"/>
          </w:tcPr>
          <w:p w14:paraId="40D11143" w14:textId="7281A59C" w:rsidR="00633F6E" w:rsidRPr="00633F6E" w:rsidRDefault="00633F6E" w:rsidP="00633F6E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 xml:space="preserve">Бъбречни и </w:t>
            </w:r>
            <w:proofErr w:type="spellStart"/>
            <w:r w:rsidRPr="00633F6E">
              <w:rPr>
                <w:b/>
                <w:bCs/>
              </w:rPr>
              <w:t>уринарни</w:t>
            </w:r>
            <w:proofErr w:type="spellEnd"/>
            <w:r w:rsidRPr="00633F6E">
              <w:rPr>
                <w:b/>
                <w:bCs/>
              </w:rPr>
              <w:t xml:space="preserve"> нарушения</w:t>
            </w:r>
          </w:p>
        </w:tc>
        <w:tc>
          <w:tcPr>
            <w:tcW w:w="1347" w:type="dxa"/>
          </w:tcPr>
          <w:p w14:paraId="2F901C6B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469F0FFC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F350B97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bottom"/>
          </w:tcPr>
          <w:p w14:paraId="110A7FEB" w14:textId="72BB4309" w:rsidR="00633F6E" w:rsidRDefault="00633F6E" w:rsidP="00633F6E">
            <w:pPr>
              <w:rPr>
                <w:sz w:val="24"/>
                <w:szCs w:val="24"/>
              </w:rPr>
            </w:pPr>
            <w:r>
              <w:t xml:space="preserve">Слабо повишаване на уреята в кръвта и </w:t>
            </w:r>
            <w:proofErr w:type="spellStart"/>
            <w:r>
              <w:t>креатинина</w:t>
            </w:r>
            <w:proofErr w:type="spellEnd"/>
            <w:r>
              <w:t>.</w:t>
            </w:r>
          </w:p>
        </w:tc>
        <w:tc>
          <w:tcPr>
            <w:tcW w:w="1720" w:type="dxa"/>
          </w:tcPr>
          <w:p w14:paraId="5ADA089A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</w:tr>
      <w:tr w:rsidR="00633F6E" w14:paraId="434CFEF5" w14:textId="77777777" w:rsidTr="00633F6E">
        <w:tc>
          <w:tcPr>
            <w:tcW w:w="1479" w:type="dxa"/>
          </w:tcPr>
          <w:p w14:paraId="11E8ACE9" w14:textId="1507A9BB" w:rsidR="00633F6E" w:rsidRPr="00633F6E" w:rsidRDefault="00633F6E" w:rsidP="00633F6E">
            <w:pPr>
              <w:rPr>
                <w:b/>
                <w:bCs/>
                <w:sz w:val="24"/>
                <w:szCs w:val="24"/>
              </w:rPr>
            </w:pPr>
            <w:r w:rsidRPr="00633F6E">
              <w:rPr>
                <w:b/>
                <w:bCs/>
              </w:rPr>
              <w:t>Общи нарушения и нарушения на мястото на прилагане</w:t>
            </w:r>
          </w:p>
        </w:tc>
        <w:tc>
          <w:tcPr>
            <w:tcW w:w="1347" w:type="dxa"/>
          </w:tcPr>
          <w:p w14:paraId="263E1AB9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14:paraId="3793E7E6" w14:textId="62072F57" w:rsidR="00633F6E" w:rsidRDefault="00633F6E" w:rsidP="00633F6E">
            <w:pPr>
              <w:rPr>
                <w:sz w:val="24"/>
                <w:szCs w:val="24"/>
              </w:rPr>
            </w:pPr>
            <w:r>
              <w:t>Слабост и умора.</w:t>
            </w:r>
          </w:p>
        </w:tc>
        <w:tc>
          <w:tcPr>
            <w:tcW w:w="1725" w:type="dxa"/>
          </w:tcPr>
          <w:p w14:paraId="40344157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2FBB77D4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45F0D5F5" w14:textId="77777777" w:rsidR="00633F6E" w:rsidRDefault="00633F6E" w:rsidP="00633F6E">
            <w:pPr>
              <w:rPr>
                <w:sz w:val="24"/>
                <w:szCs w:val="24"/>
              </w:rPr>
            </w:pPr>
          </w:p>
        </w:tc>
      </w:tr>
    </w:tbl>
    <w:p w14:paraId="4BDD7C95" w14:textId="77777777" w:rsidR="006C32F9" w:rsidRPr="007067F1" w:rsidRDefault="006C32F9" w:rsidP="007067F1">
      <w:pPr>
        <w:rPr>
          <w:sz w:val="24"/>
          <w:szCs w:val="24"/>
        </w:rPr>
      </w:pPr>
    </w:p>
    <w:p w14:paraId="05D8DB3D" w14:textId="0A87A0C9" w:rsidR="007067F1" w:rsidRDefault="007067F1" w:rsidP="007067F1"/>
    <w:p w14:paraId="143D0521" w14:textId="77777777" w:rsidR="006C32F9" w:rsidRPr="006C32F9" w:rsidRDefault="006C32F9" w:rsidP="006C32F9">
      <w:pPr>
        <w:rPr>
          <w:sz w:val="24"/>
          <w:szCs w:val="24"/>
          <w:u w:val="single"/>
        </w:rPr>
      </w:pPr>
      <w:r w:rsidRPr="006C32F9">
        <w:rPr>
          <w:u w:val="single"/>
          <w:lang w:eastAsia="bg-BG"/>
        </w:rPr>
        <w:t>Съобщаване на подозирани нежелани реакции</w:t>
      </w:r>
    </w:p>
    <w:p w14:paraId="10300648" w14:textId="1ADD9B4D" w:rsidR="006C32F9" w:rsidRDefault="006C32F9" w:rsidP="006C32F9">
      <w:pPr>
        <w:rPr>
          <w:lang w:val="en-US"/>
        </w:rPr>
      </w:pPr>
      <w:r w:rsidRPr="006C32F9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</w:t>
      </w:r>
      <w:r>
        <w:rPr>
          <w:lang w:eastAsia="bg-BG"/>
        </w:rPr>
        <w:t xml:space="preserve"> </w:t>
      </w:r>
      <w:r>
        <w:t xml:space="preserve">подозирана нежелана реакция чрез национална система за съобщаване към Изпълнителната агенция по лекарствата» ул. „Дамян Груев” № 8» 1303 София» тел.: +35928903417» уебсайт: </w:t>
      </w:r>
      <w:hyperlink r:id="rId5" w:history="1">
        <w:r>
          <w:rPr>
            <w:lang w:val="en-US"/>
          </w:rPr>
          <w:t>www.bda.bg</w:t>
        </w:r>
      </w:hyperlink>
      <w:r>
        <w:rPr>
          <w:lang w:val="en-US"/>
        </w:rPr>
        <w:t>.</w:t>
      </w:r>
    </w:p>
    <w:p w14:paraId="429B86D4" w14:textId="77777777" w:rsidR="006C32F9" w:rsidRPr="007067F1" w:rsidRDefault="006C32F9" w:rsidP="006C32F9"/>
    <w:p w14:paraId="360737C1" w14:textId="63905326" w:rsidR="009B171C" w:rsidRDefault="002C50EE" w:rsidP="00CA1B57">
      <w:pPr>
        <w:pStyle w:val="Heading2"/>
      </w:pPr>
      <w:r>
        <w:t>4.9. Предозиране</w:t>
      </w:r>
    </w:p>
    <w:p w14:paraId="50461520" w14:textId="77777777" w:rsidR="006C32F9" w:rsidRDefault="006C32F9" w:rsidP="006C32F9">
      <w:pPr>
        <w:rPr>
          <w:lang w:eastAsia="bg-BG"/>
        </w:rPr>
      </w:pPr>
    </w:p>
    <w:p w14:paraId="6CA00115" w14:textId="7F03CFC1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В случай на предозиране с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е показана поддържаща и симптоматична терапия.</w:t>
      </w:r>
    </w:p>
    <w:p w14:paraId="32D2B45E" w14:textId="7CC3CFB2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В случай на предозиране, особено при пациенти с бъбречна недостатъчност, може да настъпи енцефалопатия. Енцефалопатията, обикновено е обратима след като плазмените нива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спаднат.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5BF3C7E1" w14:textId="2BA549C3" w:rsidR="009B171C" w:rsidRDefault="002C50EE" w:rsidP="00CA1B57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60BCA93" w14:textId="77777777" w:rsidR="006C32F9" w:rsidRDefault="006C32F9" w:rsidP="006C32F9">
      <w:pPr>
        <w:rPr>
          <w:lang w:eastAsia="bg-BG"/>
        </w:rPr>
      </w:pPr>
    </w:p>
    <w:p w14:paraId="150DF244" w14:textId="4C5D6580" w:rsidR="006C32F9" w:rsidRPr="006C32F9" w:rsidRDefault="006C32F9" w:rsidP="006C32F9">
      <w:pPr>
        <w:rPr>
          <w:sz w:val="24"/>
          <w:szCs w:val="24"/>
        </w:rPr>
      </w:pPr>
      <w:proofErr w:type="spellStart"/>
      <w:r w:rsidRPr="006C32F9">
        <w:rPr>
          <w:lang w:eastAsia="bg-BG"/>
        </w:rPr>
        <w:t>Фармакотерапевтична</w:t>
      </w:r>
      <w:proofErr w:type="spellEnd"/>
      <w:r w:rsidRPr="006C32F9">
        <w:rPr>
          <w:lang w:eastAsia="bg-BG"/>
        </w:rPr>
        <w:t xml:space="preserve"> група: р-</w:t>
      </w:r>
      <w:proofErr w:type="spellStart"/>
      <w:r w:rsidRPr="006C32F9">
        <w:rPr>
          <w:lang w:eastAsia="bg-BG"/>
        </w:rPr>
        <w:t>лактамен</w:t>
      </w:r>
      <w:proofErr w:type="spellEnd"/>
      <w:r w:rsidRPr="006C32F9">
        <w:rPr>
          <w:lang w:eastAsia="bg-BG"/>
        </w:rPr>
        <w:t xml:space="preserve"> антибиотик, </w:t>
      </w:r>
      <w:proofErr w:type="spellStart"/>
      <w:r w:rsidRPr="006C32F9">
        <w:rPr>
          <w:lang w:eastAsia="bg-BG"/>
        </w:rPr>
        <w:t>З</w:t>
      </w:r>
      <w:r w:rsidRPr="006C32F9">
        <w:rPr>
          <w:vertAlign w:val="superscript"/>
          <w:lang w:eastAsia="bg-BG"/>
        </w:rPr>
        <w:t>та</w:t>
      </w:r>
      <w:proofErr w:type="spellEnd"/>
      <w:r w:rsidRPr="006C32F9">
        <w:rPr>
          <w:lang w:eastAsia="bg-BG"/>
        </w:rPr>
        <w:t xml:space="preserve"> генерация </w:t>
      </w:r>
      <w:proofErr w:type="spellStart"/>
      <w:r w:rsidRPr="006C32F9">
        <w:rPr>
          <w:lang w:eastAsia="bg-BG"/>
        </w:rPr>
        <w:t>цефалоспорини</w:t>
      </w:r>
      <w:proofErr w:type="spellEnd"/>
      <w:r w:rsidRPr="006C32F9">
        <w:rPr>
          <w:lang w:eastAsia="bg-BG"/>
        </w:rPr>
        <w:t xml:space="preserve">, АТС код: </w:t>
      </w:r>
      <w:r w:rsidRPr="006C32F9">
        <w:rPr>
          <w:lang w:val="en-US"/>
        </w:rPr>
        <w:t xml:space="preserve">J01DD </w:t>
      </w:r>
      <w:r w:rsidRPr="006C32F9">
        <w:rPr>
          <w:lang w:eastAsia="bg-BG"/>
        </w:rPr>
        <w:t>13</w:t>
      </w:r>
    </w:p>
    <w:p w14:paraId="55B99A32" w14:textId="77777777" w:rsidR="006C32F9" w:rsidRDefault="006C32F9" w:rsidP="006C32F9">
      <w:pPr>
        <w:rPr>
          <w:u w:val="single"/>
          <w:lang w:eastAsia="bg-BG"/>
        </w:rPr>
      </w:pPr>
    </w:p>
    <w:p w14:paraId="5313D0BA" w14:textId="3C59A271" w:rsidR="006C32F9" w:rsidRPr="006C32F9" w:rsidRDefault="006C32F9" w:rsidP="006C32F9">
      <w:pPr>
        <w:rPr>
          <w:sz w:val="24"/>
          <w:szCs w:val="24"/>
        </w:rPr>
      </w:pPr>
      <w:r w:rsidRPr="006C32F9">
        <w:rPr>
          <w:u w:val="single"/>
          <w:lang w:eastAsia="bg-BG"/>
        </w:rPr>
        <w:t>Механизъм на действие</w:t>
      </w:r>
    </w:p>
    <w:p w14:paraId="3A3B47FD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Както другите представители на </w:t>
      </w:r>
      <w:r w:rsidRPr="006C32F9">
        <w:rPr>
          <w:lang w:val="en-US"/>
        </w:rPr>
        <w:t>β</w:t>
      </w:r>
      <w:r w:rsidRPr="006C32F9">
        <w:rPr>
          <w:lang w:eastAsia="bg-BG"/>
        </w:rPr>
        <w:t>-</w:t>
      </w:r>
      <w:proofErr w:type="spellStart"/>
      <w:r w:rsidRPr="006C32F9">
        <w:rPr>
          <w:lang w:eastAsia="bg-BG"/>
        </w:rPr>
        <w:t>лактамите</w:t>
      </w:r>
      <w:proofErr w:type="spellEnd"/>
      <w:r w:rsidRPr="006C32F9">
        <w:rPr>
          <w:lang w:eastAsia="bg-BG"/>
        </w:rPr>
        <w:t xml:space="preserve">,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упражнява антибактериалния си ефект посредством свързване към и инхибиране на действието на някои ензими участващи в синтеза на бактериалната клетъчна стена, а именно на пеницилин свързващите протеини. Това води до прекъсване на биосинтеза на клетъчната стена (</w:t>
      </w:r>
      <w:proofErr w:type="spellStart"/>
      <w:r w:rsidRPr="006C32F9">
        <w:rPr>
          <w:lang w:eastAsia="bg-BG"/>
        </w:rPr>
        <w:t>пептидогликан</w:t>
      </w:r>
      <w:proofErr w:type="spellEnd"/>
      <w:r w:rsidRPr="006C32F9">
        <w:rPr>
          <w:lang w:eastAsia="bg-BG"/>
        </w:rPr>
        <w:t xml:space="preserve">), което води до </w:t>
      </w:r>
      <w:proofErr w:type="spellStart"/>
      <w:r w:rsidRPr="006C32F9">
        <w:rPr>
          <w:lang w:eastAsia="bg-BG"/>
        </w:rPr>
        <w:t>лизиране</w:t>
      </w:r>
      <w:proofErr w:type="spellEnd"/>
      <w:r w:rsidRPr="006C32F9">
        <w:rPr>
          <w:lang w:eastAsia="bg-BG"/>
        </w:rPr>
        <w:t xml:space="preserve"> и смърт на бактериалната клетка.</w:t>
      </w:r>
    </w:p>
    <w:p w14:paraId="6EDD56D9" w14:textId="77777777" w:rsidR="006C32F9" w:rsidRDefault="006C32F9" w:rsidP="006C32F9">
      <w:pPr>
        <w:rPr>
          <w:u w:val="single"/>
          <w:lang w:eastAsia="bg-BG"/>
        </w:rPr>
      </w:pPr>
    </w:p>
    <w:p w14:paraId="0F457547" w14:textId="43AD6A8C" w:rsidR="006C32F9" w:rsidRPr="006C32F9" w:rsidRDefault="006C32F9" w:rsidP="006C32F9">
      <w:pPr>
        <w:rPr>
          <w:sz w:val="24"/>
          <w:szCs w:val="24"/>
        </w:rPr>
      </w:pPr>
      <w:r w:rsidRPr="006C32F9">
        <w:rPr>
          <w:u w:val="single"/>
          <w:lang w:eastAsia="bg-BG"/>
        </w:rPr>
        <w:t>Механизми на резистентност</w:t>
      </w:r>
    </w:p>
    <w:p w14:paraId="76B0D964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Бактериалната резистентност спрямо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може да бъде в резултат на един или повече от следните механизми:</w:t>
      </w:r>
    </w:p>
    <w:p w14:paraId="7990BECC" w14:textId="77777777" w:rsidR="006C32F9" w:rsidRPr="006C32F9" w:rsidRDefault="006C32F9" w:rsidP="006C32F9">
      <w:pPr>
        <w:pStyle w:val="ListParagraph"/>
        <w:numPr>
          <w:ilvl w:val="0"/>
          <w:numId w:val="24"/>
        </w:numPr>
        <w:rPr>
          <w:lang w:eastAsia="bg-BG"/>
        </w:rPr>
      </w:pPr>
      <w:r w:rsidRPr="006C32F9">
        <w:rPr>
          <w:lang w:eastAsia="bg-BG"/>
        </w:rPr>
        <w:t>Хидролиза от бета-</w:t>
      </w:r>
      <w:proofErr w:type="spellStart"/>
      <w:r w:rsidRPr="006C32F9">
        <w:rPr>
          <w:lang w:eastAsia="bg-BG"/>
        </w:rPr>
        <w:t>лактамазите</w:t>
      </w:r>
      <w:proofErr w:type="spellEnd"/>
      <w:r w:rsidRPr="006C32F9">
        <w:rPr>
          <w:lang w:eastAsia="bg-BG"/>
        </w:rPr>
        <w:t xml:space="preserve">.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може ефективно да бъде хидролизиран от някои бета-</w:t>
      </w:r>
      <w:proofErr w:type="spellStart"/>
      <w:r w:rsidRPr="006C32F9">
        <w:rPr>
          <w:lang w:eastAsia="bg-BG"/>
        </w:rPr>
        <w:t>лактамази</w:t>
      </w:r>
      <w:proofErr w:type="spellEnd"/>
      <w:r w:rsidRPr="006C32F9">
        <w:rPr>
          <w:lang w:eastAsia="bg-BG"/>
        </w:rPr>
        <w:t xml:space="preserve"> с широк спектър </w:t>
      </w:r>
      <w:r w:rsidRPr="006C32F9">
        <w:rPr>
          <w:lang w:val="en-US"/>
        </w:rPr>
        <w:t xml:space="preserve">(ESBLs) </w:t>
      </w:r>
      <w:r w:rsidRPr="006C32F9">
        <w:rPr>
          <w:lang w:eastAsia="bg-BG"/>
        </w:rPr>
        <w:t>и от хромозомно-кодиран ензим (А</w:t>
      </w:r>
      <w:proofErr w:type="spellStart"/>
      <w:r w:rsidRPr="006C32F9">
        <w:rPr>
          <w:lang w:val="en-US"/>
        </w:rPr>
        <w:t>mp</w:t>
      </w:r>
      <w:proofErr w:type="spellEnd"/>
      <w:r w:rsidRPr="006C32F9">
        <w:rPr>
          <w:lang w:eastAsia="bg-BG"/>
        </w:rPr>
        <w:t>С), който може да бъде индуциран или трайно депресиран при някои аеробни Грам-негативни бактериални видове</w:t>
      </w:r>
    </w:p>
    <w:p w14:paraId="40F4807C" w14:textId="77777777" w:rsidR="006C32F9" w:rsidRPr="006C32F9" w:rsidRDefault="006C32F9" w:rsidP="006C32F9">
      <w:pPr>
        <w:pStyle w:val="ListParagraph"/>
        <w:numPr>
          <w:ilvl w:val="0"/>
          <w:numId w:val="24"/>
        </w:numPr>
        <w:rPr>
          <w:lang w:eastAsia="bg-BG"/>
        </w:rPr>
      </w:pPr>
      <w:r w:rsidRPr="006C32F9">
        <w:rPr>
          <w:lang w:eastAsia="bg-BG"/>
        </w:rPr>
        <w:t xml:space="preserve">намален афинитет на пеницилин-свързващите протеини към </w:t>
      </w:r>
      <w:proofErr w:type="spellStart"/>
      <w:r w:rsidRPr="006C32F9">
        <w:rPr>
          <w:lang w:eastAsia="bg-BG"/>
        </w:rPr>
        <w:t>цефподоксим</w:t>
      </w:r>
      <w:proofErr w:type="spellEnd"/>
    </w:p>
    <w:p w14:paraId="7EF1EFEE" w14:textId="77777777" w:rsidR="006C32F9" w:rsidRPr="006C32F9" w:rsidRDefault="006C32F9" w:rsidP="006C32F9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6C32F9">
        <w:rPr>
          <w:lang w:eastAsia="bg-BG"/>
        </w:rPr>
        <w:t>непропускливост</w:t>
      </w:r>
      <w:proofErr w:type="spellEnd"/>
      <w:r w:rsidRPr="006C32F9">
        <w:rPr>
          <w:lang w:eastAsia="bg-BG"/>
        </w:rPr>
        <w:t xml:space="preserve"> на външната мембрана, което ограничава достъпа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до пеницилин свързващите протеини при Грам-негативните микроорганизми</w:t>
      </w:r>
    </w:p>
    <w:p w14:paraId="228E8A54" w14:textId="77777777" w:rsidR="006C32F9" w:rsidRPr="006C32F9" w:rsidRDefault="006C32F9" w:rsidP="006C32F9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6C32F9">
        <w:rPr>
          <w:lang w:eastAsia="bg-BG"/>
        </w:rPr>
        <w:t>ефлуксни</w:t>
      </w:r>
      <w:proofErr w:type="spellEnd"/>
      <w:r w:rsidRPr="006C32F9">
        <w:rPr>
          <w:lang w:eastAsia="bg-BG"/>
        </w:rPr>
        <w:t xml:space="preserve"> помпи за лекарства</w:t>
      </w:r>
    </w:p>
    <w:p w14:paraId="1BDB35D8" w14:textId="77777777" w:rsidR="006C32F9" w:rsidRDefault="006C32F9" w:rsidP="006C32F9">
      <w:pPr>
        <w:rPr>
          <w:u w:val="single"/>
          <w:lang w:eastAsia="bg-BG"/>
        </w:rPr>
      </w:pPr>
    </w:p>
    <w:p w14:paraId="515D7E93" w14:textId="046117D0" w:rsidR="006C32F9" w:rsidRPr="006C32F9" w:rsidRDefault="006C32F9" w:rsidP="006C32F9">
      <w:pPr>
        <w:rPr>
          <w:sz w:val="24"/>
          <w:szCs w:val="24"/>
        </w:rPr>
      </w:pPr>
      <w:r w:rsidRPr="006C32F9">
        <w:rPr>
          <w:u w:val="single"/>
          <w:lang w:eastAsia="bg-BG"/>
        </w:rPr>
        <w:t>Граници на чувствителност:</w:t>
      </w:r>
    </w:p>
    <w:p w14:paraId="0ACDA0E0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lastRenderedPageBreak/>
        <w:t xml:space="preserve">В съответствие с </w:t>
      </w:r>
      <w:r w:rsidRPr="006C32F9">
        <w:rPr>
          <w:lang w:val="en-US"/>
        </w:rPr>
        <w:t xml:space="preserve">NCCLS (National Committee on Clinical Laboratory Standards) </w:t>
      </w:r>
      <w:r w:rsidRPr="006C32F9">
        <w:rPr>
          <w:lang w:eastAsia="bg-BG"/>
        </w:rPr>
        <w:t xml:space="preserve">за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са дефинирани следните граници:</w:t>
      </w:r>
    </w:p>
    <w:p w14:paraId="0DA17231" w14:textId="446980D0" w:rsidR="006C32F9" w:rsidRPr="006C32F9" w:rsidRDefault="006C32F9" w:rsidP="006C32F9">
      <w:pPr>
        <w:pStyle w:val="ListParagraph"/>
        <w:numPr>
          <w:ilvl w:val="0"/>
          <w:numId w:val="25"/>
        </w:numPr>
        <w:rPr>
          <w:lang w:eastAsia="bg-BG"/>
        </w:rPr>
      </w:pPr>
      <w:r w:rsidRPr="006C32F9">
        <w:rPr>
          <w:lang w:val="en-US"/>
        </w:rPr>
        <w:t xml:space="preserve">Enterobacteriaceae </w:t>
      </w:r>
      <w:r w:rsidRPr="006C32F9">
        <w:rPr>
          <w:lang w:eastAsia="bg-BG"/>
        </w:rPr>
        <w:t xml:space="preserve">и </w:t>
      </w:r>
      <w:r w:rsidRPr="006C32F9">
        <w:rPr>
          <w:i/>
          <w:iCs/>
          <w:lang w:val="en-US"/>
        </w:rPr>
        <w:t>Staphylococcus</w:t>
      </w:r>
      <w:r w:rsidRPr="006C32F9">
        <w:rPr>
          <w:lang w:val="en-US"/>
        </w:rPr>
        <w:t xml:space="preserve"> spp.: ≤</w:t>
      </w:r>
      <w:r w:rsidRPr="006C32F9">
        <w:rPr>
          <w:lang w:eastAsia="bg-BG"/>
        </w:rPr>
        <w:t xml:space="preserve">2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r w:rsidRPr="006C32F9">
        <w:rPr>
          <w:lang w:eastAsia="bg-BG"/>
        </w:rPr>
        <w:t xml:space="preserve">чувствителни, 4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proofErr w:type="spellStart"/>
      <w:r w:rsidRPr="006C32F9">
        <w:rPr>
          <w:lang w:eastAsia="bg-BG"/>
        </w:rPr>
        <w:t>интермедиерни</w:t>
      </w:r>
      <w:proofErr w:type="spellEnd"/>
      <w:r>
        <w:rPr>
          <w:lang w:eastAsia="bg-BG"/>
        </w:rPr>
        <w:t xml:space="preserve">, </w:t>
      </w:r>
      <w:r w:rsidRPr="006C32F9">
        <w:rPr>
          <w:lang w:val="en-US"/>
        </w:rPr>
        <w:t>≥</w:t>
      </w:r>
      <w:r w:rsidRPr="006C32F9">
        <w:rPr>
          <w:lang w:eastAsia="bg-BG"/>
        </w:rPr>
        <w:t xml:space="preserve">8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r w:rsidRPr="006C32F9">
        <w:rPr>
          <w:lang w:eastAsia="bg-BG"/>
        </w:rPr>
        <w:t>резистентни</w:t>
      </w:r>
    </w:p>
    <w:p w14:paraId="05A679DA" w14:textId="77777777" w:rsidR="006C32F9" w:rsidRPr="006C32F9" w:rsidRDefault="006C32F9" w:rsidP="006C32F9">
      <w:pPr>
        <w:pStyle w:val="ListParagraph"/>
        <w:numPr>
          <w:ilvl w:val="0"/>
          <w:numId w:val="25"/>
        </w:numPr>
        <w:rPr>
          <w:i/>
          <w:iCs/>
          <w:lang w:val="en-US"/>
        </w:rPr>
      </w:pPr>
      <w:proofErr w:type="spellStart"/>
      <w:r w:rsidRPr="006C32F9">
        <w:rPr>
          <w:i/>
          <w:iCs/>
          <w:lang w:val="en-US"/>
        </w:rPr>
        <w:t>Haemophilus</w:t>
      </w:r>
      <w:proofErr w:type="spellEnd"/>
      <w:r w:rsidRPr="006C32F9">
        <w:rPr>
          <w:lang w:val="en-US"/>
        </w:rPr>
        <w:t xml:space="preserve"> spp.: ≤</w:t>
      </w:r>
      <w:r w:rsidRPr="006C32F9">
        <w:rPr>
          <w:lang w:eastAsia="bg-BG"/>
        </w:rPr>
        <w:t xml:space="preserve">2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r w:rsidRPr="006C32F9">
        <w:rPr>
          <w:lang w:eastAsia="bg-BG"/>
        </w:rPr>
        <w:t>чувствителни</w:t>
      </w:r>
    </w:p>
    <w:p w14:paraId="5E9D4E93" w14:textId="5173C7A9" w:rsidR="006C32F9" w:rsidRPr="006C32F9" w:rsidRDefault="006C32F9" w:rsidP="006C32F9">
      <w:pPr>
        <w:pStyle w:val="ListParagraph"/>
        <w:numPr>
          <w:ilvl w:val="0"/>
          <w:numId w:val="25"/>
        </w:numPr>
        <w:rPr>
          <w:i/>
          <w:iCs/>
          <w:lang w:val="en-US"/>
        </w:rPr>
      </w:pPr>
      <w:r w:rsidRPr="006C32F9">
        <w:rPr>
          <w:i/>
          <w:iCs/>
          <w:lang w:val="en-US"/>
        </w:rPr>
        <w:t>Neisseria gonorrhoeae</w:t>
      </w:r>
      <w:r w:rsidRPr="006C32F9">
        <w:rPr>
          <w:lang w:val="en-US"/>
        </w:rPr>
        <w:t xml:space="preserve">: ≤0,5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r w:rsidRPr="006C32F9">
        <w:rPr>
          <w:lang w:eastAsia="bg-BG"/>
        </w:rPr>
        <w:t>чувствителни</w:t>
      </w:r>
    </w:p>
    <w:p w14:paraId="53DC47F3" w14:textId="77777777" w:rsidR="006C32F9" w:rsidRPr="006C32F9" w:rsidRDefault="006C32F9" w:rsidP="006C32F9">
      <w:pPr>
        <w:pStyle w:val="ListParagraph"/>
        <w:numPr>
          <w:ilvl w:val="0"/>
          <w:numId w:val="25"/>
        </w:numPr>
        <w:rPr>
          <w:i/>
          <w:iCs/>
          <w:lang w:val="en-US"/>
        </w:rPr>
      </w:pPr>
      <w:r w:rsidRPr="006C32F9">
        <w:rPr>
          <w:i/>
          <w:iCs/>
          <w:lang w:val="en-US"/>
        </w:rPr>
        <w:t>Streptococcus pneumoniae:</w:t>
      </w:r>
      <w:r w:rsidRPr="006C32F9">
        <w:rPr>
          <w:lang w:val="en-US"/>
        </w:rPr>
        <w:t xml:space="preserve"> ≤0,5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r w:rsidRPr="006C32F9">
        <w:rPr>
          <w:lang w:eastAsia="bg-BG"/>
        </w:rPr>
        <w:t xml:space="preserve">чувствителни, </w:t>
      </w:r>
      <w:r w:rsidRPr="006C32F9">
        <w:rPr>
          <w:lang w:val="en-US"/>
        </w:rPr>
        <w:t xml:space="preserve">1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proofErr w:type="spellStart"/>
      <w:r w:rsidRPr="006C32F9">
        <w:rPr>
          <w:lang w:eastAsia="bg-BG"/>
        </w:rPr>
        <w:t>интермедиерни</w:t>
      </w:r>
      <w:proofErr w:type="spellEnd"/>
      <w:r w:rsidRPr="006C32F9">
        <w:rPr>
          <w:lang w:eastAsia="bg-BG"/>
        </w:rPr>
        <w:t xml:space="preserve">, </w:t>
      </w:r>
      <w:r w:rsidRPr="006C32F9">
        <w:rPr>
          <w:lang w:val="en-US"/>
        </w:rPr>
        <w:t xml:space="preserve">≥ 2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 </w:t>
      </w:r>
      <w:r w:rsidRPr="006C32F9">
        <w:rPr>
          <w:lang w:eastAsia="bg-BG"/>
        </w:rPr>
        <w:t>резистентни</w:t>
      </w:r>
    </w:p>
    <w:p w14:paraId="44C11A5B" w14:textId="77777777" w:rsidR="006C32F9" w:rsidRPr="006C32F9" w:rsidRDefault="006C32F9" w:rsidP="006C32F9">
      <w:pPr>
        <w:pStyle w:val="ListParagraph"/>
        <w:numPr>
          <w:ilvl w:val="0"/>
          <w:numId w:val="25"/>
        </w:numPr>
        <w:rPr>
          <w:lang w:eastAsia="bg-BG"/>
        </w:rPr>
      </w:pPr>
      <w:r w:rsidRPr="006C32F9">
        <w:rPr>
          <w:lang w:eastAsia="bg-BG"/>
        </w:rPr>
        <w:t xml:space="preserve">Други </w:t>
      </w:r>
      <w:r w:rsidRPr="006C32F9">
        <w:rPr>
          <w:lang w:val="en-US"/>
        </w:rPr>
        <w:t xml:space="preserve">Streptococci, </w:t>
      </w:r>
      <w:r w:rsidRPr="006C32F9">
        <w:rPr>
          <w:lang w:eastAsia="bg-BG"/>
        </w:rPr>
        <w:t xml:space="preserve">които са чувствителни към пеницилин </w:t>
      </w:r>
      <w:r w:rsidRPr="006C32F9">
        <w:rPr>
          <w:lang w:val="en-US"/>
        </w:rPr>
        <w:t>(MIC</w:t>
      </w:r>
      <w:r w:rsidRPr="006C32F9">
        <w:rPr>
          <w:vertAlign w:val="subscript"/>
          <w:lang w:val="en-US"/>
        </w:rPr>
        <w:t>90</w:t>
      </w:r>
      <w:r w:rsidRPr="006C32F9">
        <w:rPr>
          <w:lang w:val="en-US"/>
        </w:rPr>
        <w:t xml:space="preserve"> ≤</w:t>
      </w:r>
      <w:r w:rsidRPr="006C32F9">
        <w:rPr>
          <w:lang w:eastAsia="bg-BG"/>
        </w:rPr>
        <w:t xml:space="preserve"> 0,12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/ml) </w:t>
      </w:r>
      <w:r w:rsidRPr="006C32F9">
        <w:rPr>
          <w:lang w:eastAsia="bg-BG"/>
        </w:rPr>
        <w:t xml:space="preserve">може да се считат за чувствителни към </w:t>
      </w:r>
      <w:proofErr w:type="spellStart"/>
      <w:r w:rsidRPr="006C32F9">
        <w:rPr>
          <w:lang w:eastAsia="bg-BG"/>
        </w:rPr>
        <w:t>цефподоксим</w:t>
      </w:r>
      <w:proofErr w:type="spellEnd"/>
    </w:p>
    <w:p w14:paraId="2DC547D2" w14:textId="77777777" w:rsidR="006C32F9" w:rsidRDefault="006C32F9" w:rsidP="006C32F9">
      <w:pPr>
        <w:rPr>
          <w:u w:val="single"/>
          <w:lang w:eastAsia="bg-BG"/>
        </w:rPr>
      </w:pPr>
    </w:p>
    <w:p w14:paraId="3F1CF02C" w14:textId="6447B3B0" w:rsidR="006C32F9" w:rsidRPr="006C32F9" w:rsidRDefault="006C32F9" w:rsidP="006C32F9">
      <w:pPr>
        <w:rPr>
          <w:sz w:val="24"/>
          <w:szCs w:val="24"/>
        </w:rPr>
      </w:pPr>
      <w:r w:rsidRPr="006C32F9">
        <w:rPr>
          <w:u w:val="single"/>
          <w:lang w:eastAsia="bg-BG"/>
        </w:rPr>
        <w:t>Чувствителност</w:t>
      </w:r>
    </w:p>
    <w:p w14:paraId="25F13068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eastAsia="bg-BG"/>
        </w:rPr>
        <w:t>Честотата на придобита резистентност може да варира в зависимост от географски регион и във времето, за определени видове е желателно да има информация по отношение на резистентността на местно ниво, особено при лечение на тежки инфекции. При необходимост</w:t>
      </w:r>
      <w:r>
        <w:rPr>
          <w:lang w:eastAsia="bg-BG"/>
        </w:rPr>
        <w:t xml:space="preserve"> </w:t>
      </w:r>
      <w:r w:rsidRPr="006C32F9">
        <w:rPr>
          <w:lang w:eastAsia="bg-BG"/>
        </w:rPr>
        <w:t>трябва да се потърси мнение от експерт, когато местните данни за честотата на резистентност са такива, че приложимостта на продукта, при поне част от инфекциите е под въпрос.</w:t>
      </w:r>
    </w:p>
    <w:p w14:paraId="644A5D2E" w14:textId="77777777" w:rsidR="006C32F9" w:rsidRDefault="006C32F9" w:rsidP="006C32F9">
      <w:pPr>
        <w:rPr>
          <w:b/>
          <w:bCs/>
          <w:lang w:eastAsia="bg-BG"/>
        </w:rPr>
      </w:pPr>
      <w:bookmarkStart w:id="1" w:name="bookmark0"/>
    </w:p>
    <w:p w14:paraId="30DAC6AC" w14:textId="19C98D9C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b/>
          <w:bCs/>
          <w:lang w:eastAsia="bg-BG"/>
        </w:rPr>
        <w:t>Видове, които обичайно са чувствителни</w:t>
      </w:r>
      <w:bookmarkEnd w:id="1"/>
    </w:p>
    <w:p w14:paraId="54047380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u w:val="single"/>
          <w:lang w:eastAsia="bg-BG"/>
        </w:rPr>
        <w:t>Аеробни, Грам-позитивни:</w:t>
      </w:r>
    </w:p>
    <w:p w14:paraId="49CFC61F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Staphylococcus aureus</w:t>
      </w:r>
      <w:r w:rsidRPr="006C32F9">
        <w:rPr>
          <w:lang w:val="en-US"/>
        </w:rPr>
        <w:t xml:space="preserve"> (methicillin </w:t>
      </w:r>
      <w:r w:rsidRPr="006C32F9">
        <w:rPr>
          <w:lang w:eastAsia="bg-BG"/>
        </w:rPr>
        <w:t>чувствителни)</w:t>
      </w:r>
    </w:p>
    <w:p w14:paraId="42F07E2F" w14:textId="77777777" w:rsidR="006C32F9" w:rsidRPr="006C32F9" w:rsidRDefault="006C32F9" w:rsidP="006C32F9">
      <w:pPr>
        <w:rPr>
          <w:sz w:val="24"/>
          <w:szCs w:val="24"/>
          <w:lang w:val="en-US"/>
        </w:rPr>
      </w:pPr>
      <w:proofErr w:type="spellStart"/>
      <w:r w:rsidRPr="006C32F9">
        <w:rPr>
          <w:lang w:eastAsia="bg-BG"/>
        </w:rPr>
        <w:t>Коагулазо</w:t>
      </w:r>
      <w:proofErr w:type="spellEnd"/>
      <w:r w:rsidRPr="006C32F9">
        <w:rPr>
          <w:lang w:eastAsia="bg-BG"/>
        </w:rPr>
        <w:t xml:space="preserve">-негативни </w:t>
      </w:r>
      <w:r w:rsidRPr="006C32F9">
        <w:rPr>
          <w:lang w:val="en-US"/>
        </w:rPr>
        <w:t>staphylococci (methicillin</w:t>
      </w:r>
      <w:r w:rsidRPr="006C32F9">
        <w:rPr>
          <w:lang w:eastAsia="bg-BG"/>
        </w:rPr>
        <w:t>-чувствителни)</w:t>
      </w:r>
    </w:p>
    <w:p w14:paraId="1F25B2A2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Streptococcus agalactiae</w:t>
      </w:r>
    </w:p>
    <w:p w14:paraId="0442B75D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Streptococcus pneumoniae</w:t>
      </w:r>
    </w:p>
    <w:p w14:paraId="0E811B58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Streptococcus pyogenes</w:t>
      </w:r>
    </w:p>
    <w:p w14:paraId="7AD33073" w14:textId="77777777" w:rsidR="006C32F9" w:rsidRDefault="006C32F9" w:rsidP="006C32F9">
      <w:pPr>
        <w:rPr>
          <w:u w:val="single"/>
          <w:lang w:eastAsia="bg-BG"/>
        </w:rPr>
      </w:pPr>
    </w:p>
    <w:p w14:paraId="0A02A70F" w14:textId="68936D40" w:rsidR="006C32F9" w:rsidRPr="006C32F9" w:rsidRDefault="006C32F9" w:rsidP="006C32F9">
      <w:pPr>
        <w:rPr>
          <w:sz w:val="24"/>
          <w:szCs w:val="24"/>
          <w:lang w:val="en-US"/>
        </w:rPr>
      </w:pPr>
      <w:proofErr w:type="spellStart"/>
      <w:r w:rsidRPr="006C32F9">
        <w:rPr>
          <w:u w:val="single"/>
          <w:lang w:eastAsia="bg-BG"/>
        </w:rPr>
        <w:t>Аероби</w:t>
      </w:r>
      <w:proofErr w:type="spellEnd"/>
      <w:r w:rsidRPr="006C32F9">
        <w:rPr>
          <w:u w:val="single"/>
          <w:lang w:eastAsia="bg-BG"/>
        </w:rPr>
        <w:t>, Грам-негативни:</w:t>
      </w:r>
    </w:p>
    <w:p w14:paraId="22CFA4BF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Escherichia coli</w:t>
      </w:r>
    </w:p>
    <w:p w14:paraId="12EFF301" w14:textId="77777777" w:rsidR="006C32F9" w:rsidRPr="006C32F9" w:rsidRDefault="006C32F9" w:rsidP="006C32F9">
      <w:pPr>
        <w:rPr>
          <w:sz w:val="24"/>
          <w:szCs w:val="24"/>
          <w:lang w:val="en-US"/>
        </w:rPr>
      </w:pPr>
      <w:proofErr w:type="spellStart"/>
      <w:r w:rsidRPr="006C32F9">
        <w:rPr>
          <w:i/>
          <w:iCs/>
          <w:lang w:val="en-US"/>
        </w:rPr>
        <w:t>Haemophilus</w:t>
      </w:r>
      <w:proofErr w:type="spellEnd"/>
      <w:r w:rsidRPr="006C32F9">
        <w:rPr>
          <w:i/>
          <w:iCs/>
          <w:lang w:val="en-US"/>
        </w:rPr>
        <w:t xml:space="preserve"> influenzae</w:t>
      </w:r>
    </w:p>
    <w:p w14:paraId="1A4A2902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>Klebsiella species</w:t>
      </w:r>
    </w:p>
    <w:p w14:paraId="2A13FBAF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Moraxella catarrhalis</w:t>
      </w:r>
    </w:p>
    <w:p w14:paraId="5BAB26C3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Neisseria gonorrhoeae</w:t>
      </w:r>
    </w:p>
    <w:p w14:paraId="4FFAFDE6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Proteus mirabilis</w:t>
      </w:r>
    </w:p>
    <w:p w14:paraId="6AEB5272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 xml:space="preserve">Proteus </w:t>
      </w:r>
      <w:proofErr w:type="spellStart"/>
      <w:r w:rsidRPr="006C32F9">
        <w:rPr>
          <w:i/>
          <w:iCs/>
          <w:lang w:val="en-US"/>
        </w:rPr>
        <w:t>rettgeri</w:t>
      </w:r>
      <w:proofErr w:type="spellEnd"/>
    </w:p>
    <w:p w14:paraId="1AF73C1B" w14:textId="77777777" w:rsidR="006C32F9" w:rsidRDefault="006C32F9" w:rsidP="006C32F9">
      <w:pPr>
        <w:rPr>
          <w:u w:val="single"/>
          <w:lang w:eastAsia="bg-BG"/>
        </w:rPr>
      </w:pPr>
    </w:p>
    <w:p w14:paraId="60C6BCD9" w14:textId="12F6A3D1" w:rsidR="006C32F9" w:rsidRPr="006C32F9" w:rsidRDefault="006C32F9" w:rsidP="006C32F9">
      <w:pPr>
        <w:rPr>
          <w:sz w:val="24"/>
          <w:szCs w:val="24"/>
          <w:lang w:val="en-US"/>
        </w:rPr>
      </w:pPr>
      <w:proofErr w:type="spellStart"/>
      <w:r w:rsidRPr="006C32F9">
        <w:rPr>
          <w:u w:val="single"/>
          <w:lang w:eastAsia="bg-BG"/>
        </w:rPr>
        <w:t>Анаероби</w:t>
      </w:r>
      <w:proofErr w:type="spellEnd"/>
      <w:r w:rsidRPr="006C32F9">
        <w:rPr>
          <w:lang w:eastAsia="bg-BG"/>
        </w:rPr>
        <w:t>:</w:t>
      </w:r>
    </w:p>
    <w:p w14:paraId="4347BE27" w14:textId="77777777" w:rsidR="006C32F9" w:rsidRPr="006C32F9" w:rsidRDefault="006C32F9" w:rsidP="006C32F9">
      <w:pPr>
        <w:rPr>
          <w:sz w:val="24"/>
          <w:szCs w:val="24"/>
          <w:lang w:val="en-US"/>
        </w:rPr>
      </w:pPr>
      <w:proofErr w:type="spellStart"/>
      <w:r w:rsidRPr="006C32F9">
        <w:rPr>
          <w:lang w:val="en-US"/>
        </w:rPr>
        <w:t>Peptococcus</w:t>
      </w:r>
      <w:proofErr w:type="spellEnd"/>
      <w:r w:rsidRPr="006C32F9">
        <w:rPr>
          <w:lang w:val="en-US"/>
        </w:rPr>
        <w:t xml:space="preserve"> species</w:t>
      </w:r>
    </w:p>
    <w:p w14:paraId="3256B888" w14:textId="77777777" w:rsidR="006C32F9" w:rsidRPr="006C32F9" w:rsidRDefault="006C32F9" w:rsidP="006C32F9">
      <w:pPr>
        <w:rPr>
          <w:sz w:val="24"/>
          <w:szCs w:val="24"/>
          <w:lang w:val="en-US"/>
        </w:rPr>
      </w:pPr>
      <w:proofErr w:type="spellStart"/>
      <w:r w:rsidRPr="006C32F9">
        <w:rPr>
          <w:lang w:val="en-US"/>
        </w:rPr>
        <w:t>Peptostreptococcus</w:t>
      </w:r>
      <w:proofErr w:type="spellEnd"/>
      <w:r w:rsidRPr="006C32F9">
        <w:rPr>
          <w:lang w:val="en-US"/>
        </w:rPr>
        <w:t xml:space="preserve"> species</w:t>
      </w:r>
    </w:p>
    <w:p w14:paraId="1844833A" w14:textId="77777777" w:rsidR="006C32F9" w:rsidRDefault="006C32F9" w:rsidP="006C32F9">
      <w:pPr>
        <w:rPr>
          <w:b/>
          <w:bCs/>
          <w:lang w:eastAsia="bg-BG"/>
        </w:rPr>
      </w:pPr>
      <w:bookmarkStart w:id="2" w:name="bookmark2"/>
    </w:p>
    <w:p w14:paraId="43F2157E" w14:textId="1AFA881D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b/>
          <w:bCs/>
          <w:lang w:eastAsia="bg-BG"/>
        </w:rPr>
        <w:t>Видове, при които резистентността може да бъде проблем</w:t>
      </w:r>
      <w:bookmarkEnd w:id="2"/>
    </w:p>
    <w:p w14:paraId="392F65AE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>Acinetobacter species</w:t>
      </w:r>
    </w:p>
    <w:p w14:paraId="6A5C950E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>Citrobacter species</w:t>
      </w:r>
    </w:p>
    <w:p w14:paraId="7CCF39E9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>Enterobacter species</w:t>
      </w:r>
    </w:p>
    <w:p w14:paraId="34ED9B34" w14:textId="77777777" w:rsidR="006C32F9" w:rsidRPr="006C32F9" w:rsidRDefault="006C32F9" w:rsidP="006C32F9">
      <w:pPr>
        <w:rPr>
          <w:sz w:val="24"/>
          <w:szCs w:val="24"/>
          <w:lang w:val="en-US"/>
        </w:rPr>
      </w:pPr>
      <w:proofErr w:type="spellStart"/>
      <w:r w:rsidRPr="006C32F9">
        <w:rPr>
          <w:i/>
          <w:iCs/>
          <w:lang w:val="en-US"/>
        </w:rPr>
        <w:t>Morganella</w:t>
      </w:r>
      <w:proofErr w:type="spellEnd"/>
      <w:r w:rsidRPr="006C32F9">
        <w:rPr>
          <w:i/>
          <w:iCs/>
          <w:lang w:val="en-US"/>
        </w:rPr>
        <w:t xml:space="preserve"> morganii.</w:t>
      </w:r>
    </w:p>
    <w:p w14:paraId="7FBF4A54" w14:textId="77777777" w:rsidR="006C32F9" w:rsidRDefault="006C32F9" w:rsidP="006C32F9">
      <w:pPr>
        <w:rPr>
          <w:b/>
          <w:bCs/>
          <w:lang w:eastAsia="bg-BG"/>
        </w:rPr>
      </w:pPr>
      <w:bookmarkStart w:id="3" w:name="bookmark4"/>
    </w:p>
    <w:p w14:paraId="1A67E19A" w14:textId="176B0584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b/>
          <w:bCs/>
          <w:lang w:eastAsia="bg-BG"/>
        </w:rPr>
        <w:t>Резистентни</w:t>
      </w:r>
      <w:bookmarkEnd w:id="3"/>
    </w:p>
    <w:p w14:paraId="1E467DE8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lastRenderedPageBreak/>
        <w:t>Bacteroides fragilis</w:t>
      </w:r>
    </w:p>
    <w:p w14:paraId="1158E029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Clostridium difficile</w:t>
      </w:r>
    </w:p>
    <w:p w14:paraId="199C4530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>Enterococci</w:t>
      </w:r>
    </w:p>
    <w:p w14:paraId="1B16F012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Listeria monocytogenes</w:t>
      </w:r>
    </w:p>
    <w:p w14:paraId="5A04ADC4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i/>
          <w:iCs/>
          <w:lang w:val="en-US"/>
        </w:rPr>
        <w:t>Proteus vulgaris</w:t>
      </w:r>
    </w:p>
    <w:p w14:paraId="008B2022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>Pseudomonas species</w:t>
      </w:r>
    </w:p>
    <w:p w14:paraId="745C695A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>Serratia species</w:t>
      </w:r>
    </w:p>
    <w:p w14:paraId="7F0B8F35" w14:textId="184299F6" w:rsidR="006C32F9" w:rsidRPr="006C32F9" w:rsidRDefault="006C32F9" w:rsidP="006C32F9"/>
    <w:p w14:paraId="0F749DE9" w14:textId="13E5A0CE" w:rsidR="009B171C" w:rsidRDefault="002C50EE" w:rsidP="00CA1B57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762E8744" w14:textId="77777777" w:rsidR="006C32F9" w:rsidRDefault="006C32F9" w:rsidP="006C32F9">
      <w:pPr>
        <w:rPr>
          <w:lang w:eastAsia="bg-BG"/>
        </w:rPr>
      </w:pPr>
    </w:p>
    <w:p w14:paraId="2B1970D2" w14:textId="79ACD32E" w:rsidR="006C32F9" w:rsidRPr="006C32F9" w:rsidRDefault="006C32F9" w:rsidP="006C32F9">
      <w:pPr>
        <w:rPr>
          <w:sz w:val="24"/>
          <w:szCs w:val="24"/>
        </w:rPr>
      </w:pP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</w:t>
      </w:r>
      <w:proofErr w:type="spellStart"/>
      <w:r w:rsidRPr="006C32F9">
        <w:rPr>
          <w:lang w:eastAsia="bg-BG"/>
        </w:rPr>
        <w:t>проксегил</w:t>
      </w:r>
      <w:proofErr w:type="spellEnd"/>
      <w:r w:rsidRPr="006C32F9">
        <w:rPr>
          <w:lang w:eastAsia="bg-BG"/>
        </w:rPr>
        <w:t xml:space="preserve"> се абсорбира в червата и се хидролизира до активен метаболит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. Когато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</w:t>
      </w:r>
      <w:proofErr w:type="spellStart"/>
      <w:r w:rsidRPr="006C32F9">
        <w:rPr>
          <w:lang w:eastAsia="bg-BG"/>
        </w:rPr>
        <w:t>проксетил</w:t>
      </w:r>
      <w:proofErr w:type="spellEnd"/>
      <w:r w:rsidRPr="006C32F9">
        <w:rPr>
          <w:lang w:eastAsia="bg-BG"/>
        </w:rPr>
        <w:t xml:space="preserve"> се прилага перорално на гладно, под формата на таблетка, която съответства на 100 </w:t>
      </w:r>
      <w:r w:rsidRPr="006C32F9">
        <w:rPr>
          <w:lang w:val="en-US"/>
        </w:rPr>
        <w:t xml:space="preserve">mg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, 51,1% се абсорбират и абсорбцията се повишава при прием на храна. Обемът на разпределение е 32,3 1 и максимални нива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се достигат 2 до 3 часа след приема. Максималната плазмена концентрация е 1,2 </w:t>
      </w:r>
      <w:r w:rsidRPr="006C32F9">
        <w:rPr>
          <w:lang w:val="en-US"/>
        </w:rPr>
        <w:t xml:space="preserve">mg/1 </w:t>
      </w:r>
      <w:r w:rsidRPr="006C32F9">
        <w:rPr>
          <w:lang w:eastAsia="bg-BG"/>
        </w:rPr>
        <w:t xml:space="preserve">и 2,5 </w:t>
      </w:r>
      <w:r w:rsidRPr="006C32F9">
        <w:rPr>
          <w:lang w:val="en-US"/>
        </w:rPr>
        <w:t xml:space="preserve">mg/1 </w:t>
      </w:r>
      <w:r w:rsidRPr="006C32F9">
        <w:rPr>
          <w:lang w:eastAsia="bg-BG"/>
        </w:rPr>
        <w:t xml:space="preserve">след прием на 100 </w:t>
      </w:r>
      <w:r w:rsidRPr="006C32F9">
        <w:rPr>
          <w:lang w:val="en-US"/>
        </w:rPr>
        <w:t xml:space="preserve">mg </w:t>
      </w:r>
      <w:r w:rsidRPr="006C32F9">
        <w:rPr>
          <w:lang w:eastAsia="bg-BG"/>
        </w:rPr>
        <w:t xml:space="preserve">и 200 </w:t>
      </w:r>
      <w:r w:rsidRPr="006C32F9">
        <w:rPr>
          <w:lang w:val="en-US"/>
        </w:rPr>
        <w:t xml:space="preserve">mg </w:t>
      </w:r>
      <w:r w:rsidRPr="006C32F9">
        <w:rPr>
          <w:lang w:eastAsia="bg-BG"/>
        </w:rPr>
        <w:t xml:space="preserve">съответно. След приложение на 100 </w:t>
      </w:r>
      <w:r w:rsidRPr="006C32F9">
        <w:rPr>
          <w:lang w:val="en-US"/>
        </w:rPr>
        <w:t xml:space="preserve">mg </w:t>
      </w:r>
      <w:r w:rsidRPr="006C32F9">
        <w:rPr>
          <w:lang w:eastAsia="bg-BG"/>
        </w:rPr>
        <w:t xml:space="preserve">и 200 </w:t>
      </w:r>
      <w:r w:rsidRPr="006C32F9">
        <w:rPr>
          <w:lang w:val="en-US"/>
        </w:rPr>
        <w:t xml:space="preserve">mg </w:t>
      </w:r>
      <w:r w:rsidRPr="006C32F9">
        <w:rPr>
          <w:lang w:eastAsia="bg-BG"/>
        </w:rPr>
        <w:t xml:space="preserve">два пъти дневно за период от 14,5 дни, плазмените </w:t>
      </w:r>
      <w:proofErr w:type="spellStart"/>
      <w:r w:rsidRPr="006C32F9">
        <w:rPr>
          <w:lang w:eastAsia="bg-BG"/>
        </w:rPr>
        <w:t>фармакокинетични</w:t>
      </w:r>
      <w:proofErr w:type="spellEnd"/>
      <w:r w:rsidRPr="006C32F9">
        <w:rPr>
          <w:lang w:eastAsia="bg-BG"/>
        </w:rPr>
        <w:t xml:space="preserve"> показатели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остават непроменени.</w:t>
      </w:r>
    </w:p>
    <w:p w14:paraId="4C65D518" w14:textId="77777777" w:rsidR="006C32F9" w:rsidRDefault="006C32F9" w:rsidP="006C32F9">
      <w:pPr>
        <w:rPr>
          <w:lang w:eastAsia="bg-BG"/>
        </w:rPr>
      </w:pPr>
    </w:p>
    <w:p w14:paraId="0A0A04E7" w14:textId="3B3A734B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Свързване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с плазмените протеини, 40% основно с албумин. Това свързване не е </w:t>
      </w:r>
      <w:proofErr w:type="spellStart"/>
      <w:r w:rsidRPr="006C32F9">
        <w:rPr>
          <w:lang w:eastAsia="bg-BG"/>
        </w:rPr>
        <w:t>насищаемо</w:t>
      </w:r>
      <w:proofErr w:type="spellEnd"/>
      <w:r w:rsidRPr="006C32F9">
        <w:rPr>
          <w:lang w:eastAsia="bg-BG"/>
        </w:rPr>
        <w:t xml:space="preserve"> по рода си.</w:t>
      </w:r>
    </w:p>
    <w:p w14:paraId="2143A5C0" w14:textId="77777777" w:rsidR="006C32F9" w:rsidRDefault="006C32F9" w:rsidP="006C32F9">
      <w:pPr>
        <w:rPr>
          <w:lang w:eastAsia="bg-BG"/>
        </w:rPr>
      </w:pPr>
    </w:p>
    <w:p w14:paraId="5D58E0C9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Концентрации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, надвишаващи минималните </w:t>
      </w:r>
      <w:proofErr w:type="spellStart"/>
      <w:r w:rsidRPr="006C32F9">
        <w:rPr>
          <w:lang w:eastAsia="bg-BG"/>
        </w:rPr>
        <w:t>инхибиторни</w:t>
      </w:r>
      <w:proofErr w:type="spellEnd"/>
      <w:r w:rsidRPr="006C32F9">
        <w:rPr>
          <w:lang w:eastAsia="bg-BG"/>
        </w:rPr>
        <w:t xml:space="preserve"> концентрации (</w:t>
      </w:r>
      <w:r w:rsidRPr="006C32F9">
        <w:rPr>
          <w:lang w:val="en-US"/>
        </w:rPr>
        <w:t>MIC)</w:t>
      </w:r>
      <w:r w:rsidRPr="006C32F9">
        <w:rPr>
          <w:lang w:eastAsia="bg-BG"/>
        </w:rPr>
        <w:t xml:space="preserve"> за често срещаните патогени, могат да бъдат достигнати в белодробния паренхим,</w:t>
      </w:r>
      <w:r>
        <w:rPr>
          <w:lang w:eastAsia="bg-BG"/>
        </w:rPr>
        <w:t xml:space="preserve"> </w:t>
      </w:r>
      <w:r w:rsidRPr="006C32F9">
        <w:rPr>
          <w:lang w:eastAsia="bg-BG"/>
        </w:rPr>
        <w:t xml:space="preserve">бронхиалната </w:t>
      </w:r>
      <w:proofErr w:type="spellStart"/>
      <w:r w:rsidRPr="006C32F9">
        <w:rPr>
          <w:lang w:eastAsia="bg-BG"/>
        </w:rPr>
        <w:t>мукоза</w:t>
      </w:r>
      <w:proofErr w:type="spellEnd"/>
      <w:r w:rsidRPr="006C32F9">
        <w:rPr>
          <w:lang w:eastAsia="bg-BG"/>
        </w:rPr>
        <w:t xml:space="preserve">, </w:t>
      </w:r>
      <w:proofErr w:type="spellStart"/>
      <w:r w:rsidRPr="006C32F9">
        <w:rPr>
          <w:lang w:eastAsia="bg-BG"/>
        </w:rPr>
        <w:t>плевралната</w:t>
      </w:r>
      <w:proofErr w:type="spellEnd"/>
      <w:r w:rsidRPr="006C32F9">
        <w:rPr>
          <w:lang w:eastAsia="bg-BG"/>
        </w:rPr>
        <w:t xml:space="preserve"> течност, </w:t>
      </w:r>
      <w:proofErr w:type="spellStart"/>
      <w:r w:rsidRPr="006C32F9">
        <w:rPr>
          <w:lang w:eastAsia="bg-BG"/>
        </w:rPr>
        <w:t>тонзилите</w:t>
      </w:r>
      <w:proofErr w:type="spellEnd"/>
      <w:r w:rsidRPr="006C32F9">
        <w:rPr>
          <w:lang w:eastAsia="bg-BG"/>
        </w:rPr>
        <w:t xml:space="preserve">, </w:t>
      </w:r>
      <w:proofErr w:type="spellStart"/>
      <w:r w:rsidRPr="006C32F9">
        <w:rPr>
          <w:lang w:eastAsia="bg-BG"/>
        </w:rPr>
        <w:t>интерстициалната</w:t>
      </w:r>
      <w:proofErr w:type="spellEnd"/>
      <w:r w:rsidRPr="006C32F9">
        <w:rPr>
          <w:lang w:eastAsia="bg-BG"/>
        </w:rPr>
        <w:t xml:space="preserve"> течност и тъканта на простатата.</w:t>
      </w:r>
    </w:p>
    <w:p w14:paraId="35B45962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Изследвания при здрави доброволци показват, че средните концентрации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в </w:t>
      </w:r>
      <w:proofErr w:type="spellStart"/>
      <w:r w:rsidRPr="006C32F9">
        <w:rPr>
          <w:lang w:eastAsia="bg-BG"/>
        </w:rPr>
        <w:t>еякулата</w:t>
      </w:r>
      <w:proofErr w:type="spellEnd"/>
      <w:r w:rsidRPr="006C32F9">
        <w:rPr>
          <w:lang w:eastAsia="bg-BG"/>
        </w:rPr>
        <w:t xml:space="preserve"> 6-12 часа след приложението на еднократна доза от 200 </w:t>
      </w:r>
      <w:r w:rsidRPr="006C32F9">
        <w:rPr>
          <w:lang w:val="en-US"/>
        </w:rPr>
        <w:t xml:space="preserve">mg </w:t>
      </w:r>
      <w:r w:rsidRPr="006C32F9">
        <w:rPr>
          <w:lang w:eastAsia="bg-BG"/>
        </w:rPr>
        <w:t>са над М</w:t>
      </w:r>
      <w:r w:rsidRPr="006C32F9">
        <w:rPr>
          <w:lang w:val="en-US"/>
        </w:rPr>
        <w:t>I</w:t>
      </w:r>
      <w:r w:rsidRPr="006C32F9">
        <w:rPr>
          <w:lang w:eastAsia="bg-BG"/>
        </w:rPr>
        <w:t>С</w:t>
      </w:r>
      <w:r w:rsidRPr="006C32F9">
        <w:rPr>
          <w:vertAlign w:val="subscript"/>
          <w:lang w:eastAsia="bg-BG"/>
        </w:rPr>
        <w:t>90</w:t>
      </w:r>
      <w:r w:rsidRPr="006C32F9">
        <w:rPr>
          <w:lang w:eastAsia="bg-BG"/>
        </w:rPr>
        <w:t xml:space="preserve"> на </w:t>
      </w:r>
      <w:r w:rsidRPr="006C32F9">
        <w:rPr>
          <w:lang w:val="en-US"/>
        </w:rPr>
        <w:t xml:space="preserve">N. </w:t>
      </w:r>
      <w:r w:rsidRPr="006C32F9">
        <w:rPr>
          <w:i/>
          <w:iCs/>
          <w:lang w:val="en-US"/>
        </w:rPr>
        <w:t>gonorrhoeae.</w:t>
      </w:r>
    </w:p>
    <w:p w14:paraId="62D5E0B0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Тъй като по-голяма част от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се елиминира посредством урината, концентрацията му там е висока. (Концентрациите в порции урина на 0-4,4-8, 8-12 час след еднократна доза надвишават </w:t>
      </w:r>
      <w:r w:rsidRPr="006C32F9">
        <w:rPr>
          <w:lang w:val="en-US"/>
        </w:rPr>
        <w:t>MIC</w:t>
      </w:r>
      <w:r w:rsidRPr="006C32F9">
        <w:rPr>
          <w:vertAlign w:val="subscript"/>
          <w:lang w:val="en-US"/>
        </w:rPr>
        <w:t>90</w:t>
      </w:r>
      <w:r w:rsidRPr="006C32F9">
        <w:rPr>
          <w:lang w:val="en-US"/>
        </w:rPr>
        <w:t xml:space="preserve"> </w:t>
      </w:r>
      <w:r w:rsidRPr="006C32F9">
        <w:rPr>
          <w:lang w:eastAsia="bg-BG"/>
        </w:rPr>
        <w:t xml:space="preserve">на честите причинители на </w:t>
      </w:r>
      <w:proofErr w:type="spellStart"/>
      <w:r w:rsidRPr="006C32F9">
        <w:rPr>
          <w:lang w:eastAsia="bg-BG"/>
        </w:rPr>
        <w:t>уринарни</w:t>
      </w:r>
      <w:proofErr w:type="spellEnd"/>
      <w:r w:rsidRPr="006C32F9">
        <w:rPr>
          <w:lang w:eastAsia="bg-BG"/>
        </w:rPr>
        <w:t xml:space="preserve"> инфекции). Също така се наблюдава добро проникване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в бъбречната тъкан, с концентрации над </w:t>
      </w:r>
      <w:r w:rsidRPr="006C32F9">
        <w:rPr>
          <w:lang w:val="en-US"/>
        </w:rPr>
        <w:t>MIC</w:t>
      </w:r>
      <w:r w:rsidRPr="006C32F9">
        <w:rPr>
          <w:vertAlign w:val="subscript"/>
          <w:lang w:val="en-US"/>
        </w:rPr>
        <w:t>90</w:t>
      </w:r>
      <w:r w:rsidRPr="006C32F9">
        <w:rPr>
          <w:lang w:val="en-US"/>
        </w:rPr>
        <w:t xml:space="preserve"> </w:t>
      </w:r>
      <w:r w:rsidRPr="006C32F9">
        <w:rPr>
          <w:lang w:eastAsia="bg-BG"/>
        </w:rPr>
        <w:t xml:space="preserve">на често срещаните причинители на </w:t>
      </w:r>
      <w:proofErr w:type="spellStart"/>
      <w:r w:rsidRPr="006C32F9">
        <w:rPr>
          <w:lang w:eastAsia="bg-BG"/>
        </w:rPr>
        <w:t>уринарни</w:t>
      </w:r>
      <w:proofErr w:type="spellEnd"/>
      <w:r w:rsidRPr="006C32F9">
        <w:rPr>
          <w:lang w:eastAsia="bg-BG"/>
        </w:rPr>
        <w:t xml:space="preserve"> инфекции 3-12 часа след приложението на еднократна доза от 200 </w:t>
      </w:r>
      <w:r w:rsidRPr="006C32F9">
        <w:rPr>
          <w:lang w:val="en-US"/>
        </w:rPr>
        <w:t xml:space="preserve">mg </w:t>
      </w:r>
      <w:r w:rsidRPr="006C32F9">
        <w:rPr>
          <w:lang w:eastAsia="bg-BG"/>
        </w:rPr>
        <w:t xml:space="preserve">(1,6-3,1 </w:t>
      </w:r>
      <w:proofErr w:type="spellStart"/>
      <w:r w:rsidRPr="006C32F9">
        <w:rPr>
          <w:lang w:val="en-US"/>
        </w:rPr>
        <w:t>μg</w:t>
      </w:r>
      <w:proofErr w:type="spellEnd"/>
      <w:r w:rsidRPr="006C32F9">
        <w:rPr>
          <w:lang w:val="en-US"/>
        </w:rPr>
        <w:t xml:space="preserve">/g). </w:t>
      </w:r>
      <w:proofErr w:type="spellStart"/>
      <w:r w:rsidRPr="006C32F9">
        <w:rPr>
          <w:lang w:eastAsia="bg-BG"/>
        </w:rPr>
        <w:t>Концентраците</w:t>
      </w:r>
      <w:proofErr w:type="spellEnd"/>
      <w:r w:rsidRPr="006C32F9">
        <w:rPr>
          <w:lang w:eastAsia="bg-BG"/>
        </w:rPr>
        <w:t xml:space="preserve">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в </w:t>
      </w:r>
      <w:proofErr w:type="spellStart"/>
      <w:r w:rsidRPr="006C32F9">
        <w:rPr>
          <w:lang w:eastAsia="bg-BG"/>
        </w:rPr>
        <w:t>медуларната</w:t>
      </w:r>
      <w:proofErr w:type="spellEnd"/>
      <w:r w:rsidRPr="006C32F9">
        <w:rPr>
          <w:lang w:eastAsia="bg-BG"/>
        </w:rPr>
        <w:t xml:space="preserve"> и </w:t>
      </w:r>
      <w:proofErr w:type="spellStart"/>
      <w:r w:rsidRPr="006C32F9">
        <w:rPr>
          <w:lang w:eastAsia="bg-BG"/>
        </w:rPr>
        <w:t>кортикалната</w:t>
      </w:r>
      <w:proofErr w:type="spellEnd"/>
      <w:r w:rsidRPr="006C32F9">
        <w:rPr>
          <w:lang w:eastAsia="bg-BG"/>
        </w:rPr>
        <w:t xml:space="preserve"> тъкан са сходни.</w:t>
      </w:r>
    </w:p>
    <w:p w14:paraId="42E79D2C" w14:textId="77777777" w:rsidR="006C32F9" w:rsidRDefault="006C32F9" w:rsidP="006C32F9">
      <w:pPr>
        <w:rPr>
          <w:lang w:eastAsia="bg-BG"/>
        </w:rPr>
      </w:pPr>
    </w:p>
    <w:p w14:paraId="4219A2D8" w14:textId="603741E3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Основният път на екскреция е бъбречен, 80% се </w:t>
      </w:r>
      <w:proofErr w:type="spellStart"/>
      <w:r w:rsidRPr="006C32F9">
        <w:rPr>
          <w:lang w:eastAsia="bg-BG"/>
        </w:rPr>
        <w:t>екскретира</w:t>
      </w:r>
      <w:proofErr w:type="spellEnd"/>
      <w:r w:rsidRPr="006C32F9">
        <w:rPr>
          <w:lang w:eastAsia="bg-BG"/>
        </w:rPr>
        <w:t xml:space="preserve"> непроменен в урината с полуживот на елиминиране 2,4 часа.</w:t>
      </w:r>
    </w:p>
    <w:p w14:paraId="3D6AD8E0" w14:textId="6C890950" w:rsidR="006C32F9" w:rsidRPr="006C32F9" w:rsidRDefault="006C32F9" w:rsidP="006C32F9">
      <w:pPr>
        <w:rPr>
          <w:sz w:val="24"/>
          <w:szCs w:val="24"/>
        </w:rPr>
      </w:pPr>
    </w:p>
    <w:p w14:paraId="6B56B24F" w14:textId="77777777" w:rsidR="006C32F9" w:rsidRPr="006C32F9" w:rsidRDefault="006C32F9" w:rsidP="006C32F9"/>
    <w:p w14:paraId="674BE4E2" w14:textId="4A85768D" w:rsidR="009B171C" w:rsidRDefault="002C50EE" w:rsidP="00CA1B57">
      <w:pPr>
        <w:pStyle w:val="Heading2"/>
      </w:pPr>
      <w:r>
        <w:t>5.3. Предклинични данни за безопасност</w:t>
      </w:r>
    </w:p>
    <w:p w14:paraId="2C652C07" w14:textId="77777777" w:rsidR="006C32F9" w:rsidRDefault="006C32F9" w:rsidP="006C32F9">
      <w:pPr>
        <w:rPr>
          <w:lang w:eastAsia="bg-BG"/>
        </w:rPr>
      </w:pPr>
    </w:p>
    <w:p w14:paraId="48C3ECE8" w14:textId="56058250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>Нежеланите реакции, които не се наблюдават при клиничните изпитвания, но се наблюдават при животни при нива на експозиция, подобни на нивата на клинична експозиция и имат възможно значение за клиничната употреба, са както следва:</w:t>
      </w:r>
    </w:p>
    <w:p w14:paraId="62367D43" w14:textId="77777777" w:rsidR="006C32F9" w:rsidRDefault="006C32F9" w:rsidP="006C32F9">
      <w:pPr>
        <w:rPr>
          <w:u w:val="single"/>
          <w:lang w:eastAsia="bg-BG"/>
        </w:rPr>
      </w:pPr>
    </w:p>
    <w:p w14:paraId="1F6462BD" w14:textId="7A2B17A1" w:rsidR="006C32F9" w:rsidRPr="006C32F9" w:rsidRDefault="006C32F9" w:rsidP="006C32F9">
      <w:pPr>
        <w:rPr>
          <w:sz w:val="24"/>
          <w:szCs w:val="24"/>
        </w:rPr>
      </w:pPr>
      <w:r w:rsidRPr="006C32F9">
        <w:rPr>
          <w:u w:val="single"/>
          <w:lang w:eastAsia="bg-BG"/>
        </w:rPr>
        <w:lastRenderedPageBreak/>
        <w:t>Остра токсичност</w:t>
      </w:r>
    </w:p>
    <w:p w14:paraId="692CBA0F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Средната летална доза при мишки и плъхове е над 8 </w:t>
      </w:r>
      <w:r w:rsidRPr="006C32F9">
        <w:rPr>
          <w:lang w:val="en-US"/>
        </w:rPr>
        <w:t xml:space="preserve">g/kg </w:t>
      </w:r>
      <w:r w:rsidRPr="006C32F9">
        <w:rPr>
          <w:lang w:eastAsia="bg-BG"/>
        </w:rPr>
        <w:t xml:space="preserve">и 4 </w:t>
      </w:r>
      <w:r w:rsidRPr="006C32F9">
        <w:rPr>
          <w:lang w:val="en-US"/>
        </w:rPr>
        <w:t xml:space="preserve">g/kg </w:t>
      </w:r>
      <w:r w:rsidRPr="006C32F9">
        <w:rPr>
          <w:lang w:eastAsia="bg-BG"/>
        </w:rPr>
        <w:t xml:space="preserve">телесно тегло, съответно. При плъхове на </w:t>
      </w:r>
      <w:r w:rsidRPr="006C32F9">
        <w:rPr>
          <w:lang w:val="en-US"/>
        </w:rPr>
        <w:t xml:space="preserve">Fisher </w:t>
      </w:r>
      <w:r w:rsidRPr="006C32F9">
        <w:rPr>
          <w:lang w:eastAsia="bg-BG"/>
        </w:rPr>
        <w:t xml:space="preserve">дози от 1 </w:t>
      </w:r>
      <w:r w:rsidRPr="006C32F9">
        <w:rPr>
          <w:lang w:val="en-US"/>
        </w:rPr>
        <w:t xml:space="preserve">g/kg </w:t>
      </w:r>
      <w:r w:rsidRPr="006C32F9">
        <w:rPr>
          <w:lang w:eastAsia="bg-BG"/>
        </w:rPr>
        <w:t xml:space="preserve">телесно тегло и по-високи повлияват навика (консистенцията) на изхождане и наддаването на тегло. Еднократни дози от 800 </w:t>
      </w:r>
      <w:r w:rsidRPr="006C32F9">
        <w:rPr>
          <w:lang w:val="en-US"/>
        </w:rPr>
        <w:t xml:space="preserve">mg/kg </w:t>
      </w:r>
      <w:r w:rsidRPr="006C32F9">
        <w:rPr>
          <w:lang w:eastAsia="bg-BG"/>
        </w:rPr>
        <w:t>телесно тегло не показват токсичност при кучета.</w:t>
      </w:r>
    </w:p>
    <w:p w14:paraId="1F00BBA3" w14:textId="77777777" w:rsidR="006C32F9" w:rsidRDefault="006C32F9" w:rsidP="006C32F9">
      <w:pPr>
        <w:rPr>
          <w:u w:val="single"/>
          <w:lang w:eastAsia="bg-BG"/>
        </w:rPr>
      </w:pPr>
    </w:p>
    <w:p w14:paraId="73EAC3A3" w14:textId="1EF7AEFC" w:rsidR="006C32F9" w:rsidRPr="006C32F9" w:rsidRDefault="006C32F9" w:rsidP="006C32F9">
      <w:pPr>
        <w:rPr>
          <w:sz w:val="24"/>
          <w:szCs w:val="24"/>
        </w:rPr>
      </w:pPr>
      <w:r w:rsidRPr="006C32F9">
        <w:rPr>
          <w:u w:val="single"/>
          <w:lang w:eastAsia="bg-BG"/>
        </w:rPr>
        <w:t>Токсичност при повтарящи се дози</w:t>
      </w:r>
    </w:p>
    <w:p w14:paraId="10603D87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Изследвания за хронична токсичност са провеждани за срок от над 12 месеца при плъхове и 6 месеца при кучета. Най-високите дневни дози (1000 </w:t>
      </w:r>
      <w:r w:rsidRPr="006C32F9">
        <w:rPr>
          <w:lang w:val="en-US"/>
        </w:rPr>
        <w:t xml:space="preserve">mg/kg </w:t>
      </w:r>
      <w:r w:rsidRPr="006C32F9">
        <w:rPr>
          <w:lang w:eastAsia="bg-BG"/>
        </w:rPr>
        <w:t xml:space="preserve">телесно тегло перорално при плъхове и 400 </w:t>
      </w:r>
      <w:r w:rsidRPr="006C32F9">
        <w:rPr>
          <w:lang w:val="en-US"/>
        </w:rPr>
        <w:t xml:space="preserve">mg/kg </w:t>
      </w:r>
      <w:r w:rsidRPr="006C32F9">
        <w:rPr>
          <w:lang w:eastAsia="bg-BG"/>
        </w:rPr>
        <w:t xml:space="preserve">перорално при кучета) са значително по-високи от препоръчваните терапевтични дози (3-8 </w:t>
      </w:r>
      <w:r w:rsidRPr="006C32F9">
        <w:rPr>
          <w:lang w:val="en-US"/>
        </w:rPr>
        <w:t xml:space="preserve">mg/kg </w:t>
      </w:r>
      <w:r w:rsidRPr="006C32F9">
        <w:rPr>
          <w:lang w:eastAsia="bg-BG"/>
        </w:rPr>
        <w:t xml:space="preserve">телесно тегло). Не се наблюдават смъртни случаи при плъхове получаващи дози от 250, 500 или 1000 </w:t>
      </w:r>
      <w:r w:rsidRPr="006C32F9">
        <w:rPr>
          <w:lang w:val="en-US"/>
        </w:rPr>
        <w:t xml:space="preserve">mg/kg </w:t>
      </w:r>
      <w:r w:rsidRPr="006C32F9">
        <w:rPr>
          <w:lang w:eastAsia="bg-BG"/>
        </w:rPr>
        <w:t xml:space="preserve">за 12 месеца. Едва при дози от 1000 </w:t>
      </w:r>
      <w:r w:rsidRPr="006C32F9">
        <w:rPr>
          <w:lang w:val="en-US"/>
        </w:rPr>
        <w:t xml:space="preserve">mg/kg </w:t>
      </w:r>
      <w:r w:rsidRPr="006C32F9">
        <w:rPr>
          <w:lang w:eastAsia="bg-BG"/>
        </w:rPr>
        <w:t xml:space="preserve">са наблюдавани ефекти върху стомашно-чревния тракт, като омекване на изпражненията и </w:t>
      </w:r>
      <w:proofErr w:type="spellStart"/>
      <w:r w:rsidRPr="006C32F9">
        <w:rPr>
          <w:lang w:eastAsia="bg-BG"/>
        </w:rPr>
        <w:t>дилатация</w:t>
      </w:r>
      <w:proofErr w:type="spellEnd"/>
      <w:r w:rsidRPr="006C32F9">
        <w:rPr>
          <w:lang w:eastAsia="bg-BG"/>
        </w:rPr>
        <w:t xml:space="preserve"> на </w:t>
      </w:r>
      <w:proofErr w:type="spellStart"/>
      <w:r w:rsidRPr="006C32F9">
        <w:rPr>
          <w:lang w:eastAsia="bg-BG"/>
        </w:rPr>
        <w:t>цекума</w:t>
      </w:r>
      <w:proofErr w:type="spellEnd"/>
      <w:r w:rsidRPr="006C32F9">
        <w:rPr>
          <w:lang w:eastAsia="bg-BG"/>
        </w:rPr>
        <w:t xml:space="preserve">. Нежеланите реакции върху червата, които са по-изразени при плъхове на </w:t>
      </w:r>
      <w:r w:rsidRPr="006C32F9">
        <w:rPr>
          <w:lang w:val="en-US"/>
        </w:rPr>
        <w:t xml:space="preserve">Fisher </w:t>
      </w:r>
      <w:r w:rsidRPr="006C32F9">
        <w:rPr>
          <w:lang w:eastAsia="bg-BG"/>
        </w:rPr>
        <w:t xml:space="preserve">се дължат на изменения в чревната флора, които са резултат от изразения антибактериален ефект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. Ежедневно приложение на 0,25,100, и 400 </w:t>
      </w:r>
      <w:r w:rsidRPr="006C32F9">
        <w:rPr>
          <w:lang w:val="en-US"/>
        </w:rPr>
        <w:t xml:space="preserve">mg/kg </w:t>
      </w:r>
      <w:r w:rsidRPr="006C32F9">
        <w:rPr>
          <w:lang w:eastAsia="bg-BG"/>
        </w:rPr>
        <w:t xml:space="preserve">телесно тегло при кучета не води до смъртни случаи. Непроменен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се установява във </w:t>
      </w:r>
      <w:proofErr w:type="spellStart"/>
      <w:r w:rsidRPr="006C32F9">
        <w:rPr>
          <w:lang w:eastAsia="bg-BG"/>
        </w:rPr>
        <w:t>фецеса</w:t>
      </w:r>
      <w:proofErr w:type="spellEnd"/>
      <w:r w:rsidRPr="006C32F9">
        <w:rPr>
          <w:lang w:eastAsia="bg-BG"/>
        </w:rPr>
        <w:t>.</w:t>
      </w:r>
    </w:p>
    <w:p w14:paraId="3C302B3E" w14:textId="77777777" w:rsidR="006C32F9" w:rsidRDefault="006C32F9" w:rsidP="006C32F9">
      <w:pPr>
        <w:rPr>
          <w:u w:val="single"/>
          <w:lang w:eastAsia="bg-BG"/>
        </w:rPr>
      </w:pPr>
    </w:p>
    <w:p w14:paraId="57251A84" w14:textId="40E56A6A" w:rsidR="006C32F9" w:rsidRPr="006C32F9" w:rsidRDefault="006C32F9" w:rsidP="006C32F9">
      <w:pPr>
        <w:rPr>
          <w:sz w:val="24"/>
          <w:szCs w:val="24"/>
        </w:rPr>
      </w:pPr>
      <w:r w:rsidRPr="006C32F9">
        <w:rPr>
          <w:u w:val="single"/>
          <w:lang w:eastAsia="bg-BG"/>
        </w:rPr>
        <w:t>Репродуктивна токсичност</w:t>
      </w:r>
    </w:p>
    <w:p w14:paraId="457715D1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Изпитвания за </w:t>
      </w:r>
      <w:proofErr w:type="spellStart"/>
      <w:r w:rsidRPr="006C32F9">
        <w:rPr>
          <w:lang w:eastAsia="bg-BG"/>
        </w:rPr>
        <w:t>ембриотоксичност</w:t>
      </w:r>
      <w:proofErr w:type="spellEnd"/>
      <w:r w:rsidRPr="006C32F9">
        <w:rPr>
          <w:lang w:eastAsia="bg-BG"/>
        </w:rPr>
        <w:t xml:space="preserve"> при плъхове и зайци не показват тератогенен потенциал.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не оказва нежелани реакции върху </w:t>
      </w:r>
      <w:proofErr w:type="spellStart"/>
      <w:r w:rsidRPr="006C32F9">
        <w:rPr>
          <w:lang w:eastAsia="bg-BG"/>
        </w:rPr>
        <w:t>фертилитета</w:t>
      </w:r>
      <w:proofErr w:type="spellEnd"/>
      <w:r w:rsidRPr="006C32F9">
        <w:rPr>
          <w:lang w:eastAsia="bg-BG"/>
        </w:rPr>
        <w:t xml:space="preserve"> и в пери/</w:t>
      </w:r>
      <w:proofErr w:type="spellStart"/>
      <w:r w:rsidRPr="006C32F9">
        <w:rPr>
          <w:lang w:eastAsia="bg-BG"/>
        </w:rPr>
        <w:t>постнатални</w:t>
      </w:r>
      <w:proofErr w:type="spellEnd"/>
      <w:r w:rsidRPr="006C32F9">
        <w:rPr>
          <w:lang w:eastAsia="bg-BG"/>
        </w:rPr>
        <w:t xml:space="preserve"> проучвания за токсичност при плъхове.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или неговите метаболити преминават през плацентата или се </w:t>
      </w:r>
      <w:proofErr w:type="spellStart"/>
      <w:r w:rsidRPr="006C32F9">
        <w:rPr>
          <w:lang w:eastAsia="bg-BG"/>
        </w:rPr>
        <w:t>екскретират</w:t>
      </w:r>
      <w:proofErr w:type="spellEnd"/>
      <w:r w:rsidRPr="006C32F9">
        <w:rPr>
          <w:lang w:eastAsia="bg-BG"/>
        </w:rPr>
        <w:t xml:space="preserve"> в кърмата при плъхове. Липсва опит с приложението на </w:t>
      </w:r>
      <w:proofErr w:type="spellStart"/>
      <w:r w:rsidRPr="006C32F9">
        <w:rPr>
          <w:lang w:eastAsia="bg-BG"/>
        </w:rPr>
        <w:t>цефподоксим</w:t>
      </w:r>
      <w:proofErr w:type="spellEnd"/>
      <w:r w:rsidRPr="006C32F9">
        <w:rPr>
          <w:lang w:eastAsia="bg-BG"/>
        </w:rPr>
        <w:t xml:space="preserve"> през бременността и по време на кърменето при хора.</w:t>
      </w:r>
    </w:p>
    <w:p w14:paraId="5958DB64" w14:textId="77777777" w:rsidR="006C32F9" w:rsidRDefault="006C32F9" w:rsidP="006C32F9">
      <w:pPr>
        <w:rPr>
          <w:u w:val="single"/>
          <w:lang w:eastAsia="bg-BG"/>
        </w:rPr>
      </w:pPr>
    </w:p>
    <w:p w14:paraId="048CC0EE" w14:textId="6654AC0A" w:rsidR="006C32F9" w:rsidRPr="006C32F9" w:rsidRDefault="006C32F9" w:rsidP="006C32F9">
      <w:pPr>
        <w:rPr>
          <w:sz w:val="24"/>
          <w:szCs w:val="24"/>
        </w:rPr>
      </w:pPr>
      <w:proofErr w:type="spellStart"/>
      <w:r w:rsidRPr="006C32F9">
        <w:rPr>
          <w:u w:val="single"/>
          <w:lang w:eastAsia="bg-BG"/>
        </w:rPr>
        <w:t>Мутагенност</w:t>
      </w:r>
      <w:proofErr w:type="spellEnd"/>
    </w:p>
    <w:p w14:paraId="26D2214F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 xml:space="preserve">Екстензивни изследвания за </w:t>
      </w:r>
      <w:proofErr w:type="spellStart"/>
      <w:r w:rsidRPr="006C32F9">
        <w:rPr>
          <w:lang w:eastAsia="bg-BG"/>
        </w:rPr>
        <w:t>мутагенност</w:t>
      </w:r>
      <w:proofErr w:type="spellEnd"/>
      <w:r w:rsidRPr="006C32F9">
        <w:rPr>
          <w:lang w:eastAsia="bg-BG"/>
        </w:rPr>
        <w:t xml:space="preserve"> при различни модели на изпитване</w:t>
      </w:r>
      <w:r w:rsidRPr="006C32F9">
        <w:rPr>
          <w:lang w:val="en-US"/>
        </w:rPr>
        <w:t xml:space="preserve"> </w:t>
      </w:r>
      <w:r w:rsidRPr="006C32F9">
        <w:rPr>
          <w:lang w:eastAsia="bg-BG"/>
        </w:rPr>
        <w:t>дават негативни резултати.</w:t>
      </w:r>
    </w:p>
    <w:p w14:paraId="7D21E9B1" w14:textId="77777777" w:rsidR="006C32F9" w:rsidRPr="006C32F9" w:rsidRDefault="006C32F9" w:rsidP="006C32F9"/>
    <w:p w14:paraId="6940F72E" w14:textId="4056D0C6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24B79446" w14:textId="77777777" w:rsidR="006C32F9" w:rsidRPr="006C32F9" w:rsidRDefault="006C32F9" w:rsidP="006C32F9">
      <w:pPr>
        <w:rPr>
          <w:sz w:val="24"/>
          <w:szCs w:val="24"/>
          <w:lang w:val="en-US"/>
        </w:rPr>
      </w:pPr>
      <w:r w:rsidRPr="006C32F9">
        <w:rPr>
          <w:lang w:val="en-US"/>
        </w:rPr>
        <w:t xml:space="preserve">Sandoz </w:t>
      </w:r>
      <w:proofErr w:type="spellStart"/>
      <w:r w:rsidRPr="006C32F9">
        <w:rPr>
          <w:lang w:val="en-US"/>
        </w:rPr>
        <w:t>d.d.</w:t>
      </w:r>
      <w:proofErr w:type="spellEnd"/>
    </w:p>
    <w:p w14:paraId="5D9419AA" w14:textId="31C0065D" w:rsidR="006C32F9" w:rsidRPr="006C32F9" w:rsidRDefault="006C32F9" w:rsidP="006C32F9">
      <w:proofErr w:type="spellStart"/>
      <w:r w:rsidRPr="006C32F9">
        <w:rPr>
          <w:lang w:val="en-US"/>
        </w:rPr>
        <w:t>Verovskova</w:t>
      </w:r>
      <w:proofErr w:type="spellEnd"/>
      <w:r w:rsidRPr="006C32F9">
        <w:rPr>
          <w:lang w:val="en-US"/>
        </w:rPr>
        <w:t xml:space="preserve"> </w:t>
      </w:r>
      <w:r w:rsidRPr="006C32F9">
        <w:rPr>
          <w:lang w:eastAsia="bg-BG"/>
        </w:rPr>
        <w:t xml:space="preserve">57, 1526 </w:t>
      </w:r>
      <w:r w:rsidRPr="006C32F9">
        <w:rPr>
          <w:lang w:val="en-US"/>
        </w:rPr>
        <w:t xml:space="preserve">Ljubljana, </w:t>
      </w:r>
      <w:r w:rsidRPr="006C32F9">
        <w:rPr>
          <w:lang w:eastAsia="bg-BG"/>
        </w:rPr>
        <w:t>Словения</w:t>
      </w:r>
    </w:p>
    <w:p w14:paraId="04840D59" w14:textId="2EC0FBD2" w:rsidR="002C50EE" w:rsidRDefault="002C50EE" w:rsidP="002C50EE">
      <w:pPr>
        <w:pStyle w:val="Heading1"/>
      </w:pPr>
      <w:r>
        <w:t>8. НОМЕР НА РАЗРЕШЕНИЕТО ЗА УПОТРЕБА</w:t>
      </w:r>
    </w:p>
    <w:p w14:paraId="1B110CAF" w14:textId="77777777" w:rsidR="006C32F9" w:rsidRPr="006C32F9" w:rsidRDefault="006C32F9" w:rsidP="006C32F9">
      <w:pPr>
        <w:rPr>
          <w:sz w:val="24"/>
          <w:szCs w:val="24"/>
        </w:rPr>
      </w:pPr>
      <w:proofErr w:type="spellStart"/>
      <w:r w:rsidRPr="006C32F9">
        <w:rPr>
          <w:lang w:eastAsia="bg-BG"/>
        </w:rPr>
        <w:t>Ксимебак</w:t>
      </w:r>
      <w:proofErr w:type="spellEnd"/>
      <w:r w:rsidRPr="006C32F9">
        <w:rPr>
          <w:lang w:eastAsia="bg-BG"/>
        </w:rPr>
        <w:t xml:space="preserve"> 100 </w:t>
      </w:r>
      <w:r w:rsidRPr="006C32F9">
        <w:rPr>
          <w:lang w:val="en-US"/>
        </w:rPr>
        <w:t xml:space="preserve">mg: </w:t>
      </w:r>
      <w:r w:rsidRPr="006C32F9">
        <w:rPr>
          <w:lang w:eastAsia="bg-BG"/>
        </w:rPr>
        <w:t>20100472</w:t>
      </w:r>
    </w:p>
    <w:p w14:paraId="3C897F8E" w14:textId="7820679E" w:rsidR="006C32F9" w:rsidRPr="006C32F9" w:rsidRDefault="006C32F9" w:rsidP="006C32F9">
      <w:proofErr w:type="spellStart"/>
      <w:r w:rsidRPr="006C32F9">
        <w:rPr>
          <w:lang w:eastAsia="bg-BG"/>
        </w:rPr>
        <w:t>Ксимебак</w:t>
      </w:r>
      <w:proofErr w:type="spellEnd"/>
      <w:r w:rsidRPr="006C32F9">
        <w:rPr>
          <w:lang w:eastAsia="bg-BG"/>
        </w:rPr>
        <w:t xml:space="preserve"> 200 </w:t>
      </w:r>
      <w:r w:rsidRPr="006C32F9">
        <w:rPr>
          <w:lang w:val="en-US"/>
        </w:rPr>
        <w:t xml:space="preserve">mg: </w:t>
      </w:r>
      <w:r w:rsidRPr="006C32F9">
        <w:rPr>
          <w:lang w:eastAsia="bg-BG"/>
        </w:rPr>
        <w:t>20100473</w:t>
      </w:r>
    </w:p>
    <w:p w14:paraId="5900CBF3" w14:textId="0E3414A2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336F288A" w14:textId="77777777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>Дата на първо РУ: 16.07.2010</w:t>
      </w:r>
    </w:p>
    <w:p w14:paraId="7F08449E" w14:textId="3A38C0A4" w:rsidR="006C32F9" w:rsidRPr="006C32F9" w:rsidRDefault="006C32F9" w:rsidP="006C32F9">
      <w:pPr>
        <w:rPr>
          <w:sz w:val="24"/>
          <w:szCs w:val="24"/>
        </w:rPr>
      </w:pPr>
      <w:r w:rsidRPr="006C32F9">
        <w:rPr>
          <w:lang w:eastAsia="bg-BG"/>
        </w:rPr>
        <w:t>Дата на подновяване на РУ: 23.12.2014</w:t>
      </w:r>
    </w:p>
    <w:p w14:paraId="0E9D0119" w14:textId="0245C6D7" w:rsidR="002C50EE" w:rsidRDefault="002C50EE" w:rsidP="002C50EE">
      <w:pPr>
        <w:pStyle w:val="Heading1"/>
      </w:pPr>
      <w:r>
        <w:lastRenderedPageBreak/>
        <w:t>10. ДАТА НА АКТУАЛИЗИРАНЕ НА ТЕКСТА</w:t>
      </w:r>
    </w:p>
    <w:bookmarkEnd w:id="0"/>
    <w:p w14:paraId="423F4C2A" w14:textId="75B3CCD7" w:rsidR="00C87E90" w:rsidRPr="003E3126" w:rsidRDefault="006C32F9" w:rsidP="006C32F9">
      <w:r>
        <w:t>03/2016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71636B"/>
    <w:multiLevelType w:val="hybridMultilevel"/>
    <w:tmpl w:val="76006BC8"/>
    <w:lvl w:ilvl="0" w:tplc="D180C85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6024F"/>
    <w:multiLevelType w:val="hybridMultilevel"/>
    <w:tmpl w:val="A38CC66A"/>
    <w:lvl w:ilvl="0" w:tplc="D180C85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E1218"/>
    <w:multiLevelType w:val="hybridMultilevel"/>
    <w:tmpl w:val="558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736A"/>
    <w:multiLevelType w:val="hybridMultilevel"/>
    <w:tmpl w:val="6DF2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23"/>
  </w:num>
  <w:num w:numId="12">
    <w:abstractNumId w:val="12"/>
  </w:num>
  <w:num w:numId="13">
    <w:abstractNumId w:val="16"/>
  </w:num>
  <w:num w:numId="14">
    <w:abstractNumId w:val="10"/>
  </w:num>
  <w:num w:numId="15">
    <w:abstractNumId w:val="22"/>
  </w:num>
  <w:num w:numId="16">
    <w:abstractNumId w:val="8"/>
  </w:num>
  <w:num w:numId="17">
    <w:abstractNumId w:val="19"/>
  </w:num>
  <w:num w:numId="18">
    <w:abstractNumId w:val="7"/>
  </w:num>
  <w:num w:numId="19">
    <w:abstractNumId w:val="20"/>
  </w:num>
  <w:num w:numId="20">
    <w:abstractNumId w:val="17"/>
  </w:num>
  <w:num w:numId="21">
    <w:abstractNumId w:val="15"/>
  </w:num>
  <w:num w:numId="22">
    <w:abstractNumId w:val="6"/>
  </w:num>
  <w:num w:numId="23">
    <w:abstractNumId w:val="5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33F6E"/>
    <w:rsid w:val="00672487"/>
    <w:rsid w:val="00672600"/>
    <w:rsid w:val="00681D4A"/>
    <w:rsid w:val="00685882"/>
    <w:rsid w:val="006C32F9"/>
    <w:rsid w:val="007067F1"/>
    <w:rsid w:val="0075649D"/>
    <w:rsid w:val="00814073"/>
    <w:rsid w:val="00826F0D"/>
    <w:rsid w:val="00893B92"/>
    <w:rsid w:val="008C70A2"/>
    <w:rsid w:val="009773E4"/>
    <w:rsid w:val="009B171C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CA1B57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2021-08-03T09:10:00Z</dcterms:created>
  <dcterms:modified xsi:type="dcterms:W3CDTF">2021-08-03T09:10:00Z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