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0308FB46" w:rsidR="009F77A4" w:rsidRDefault="00DD466D" w:rsidP="00387A66">
      <w:pPr>
        <w:pStyle w:val="Heading1"/>
      </w:pPr>
      <w:r>
        <w:t>1.ИМЕ НА ЛЕКАРСТВЕНИЯ ПРОДУКТ</w:t>
      </w:r>
    </w:p>
    <w:p w14:paraId="37AD9886" w14:textId="77777777" w:rsidR="00B4092E" w:rsidRDefault="00B4092E" w:rsidP="00B4092E"/>
    <w:p w14:paraId="5862C82F" w14:textId="77777777" w:rsidR="00B4092E" w:rsidRPr="00B4092E" w:rsidRDefault="00B4092E" w:rsidP="00B4092E">
      <w:pPr>
        <w:rPr>
          <w:sz w:val="24"/>
          <w:szCs w:val="24"/>
          <w:lang w:val="en-US" w:eastAsia="bg-BG"/>
        </w:rPr>
      </w:pPr>
      <w:r w:rsidRPr="00B4092E">
        <w:rPr>
          <w:lang w:eastAsia="bg-BG"/>
        </w:rPr>
        <w:t xml:space="preserve">Джаз 0,02 </w:t>
      </w:r>
      <w:r w:rsidRPr="00B4092E">
        <w:rPr>
          <w:lang w:val="en-US"/>
        </w:rPr>
        <w:t xml:space="preserve">mg/3 mg </w:t>
      </w:r>
      <w:r w:rsidRPr="00B4092E">
        <w:rPr>
          <w:lang w:eastAsia="bg-BG"/>
        </w:rPr>
        <w:t>филмирани таблетки</w:t>
      </w:r>
    </w:p>
    <w:p w14:paraId="60A6983A" w14:textId="77777777" w:rsidR="00B4092E" w:rsidRPr="00B4092E" w:rsidRDefault="00B4092E" w:rsidP="00B4092E">
      <w:pPr>
        <w:rPr>
          <w:sz w:val="24"/>
          <w:szCs w:val="24"/>
          <w:lang w:val="en-US" w:eastAsia="bg-BG"/>
        </w:rPr>
      </w:pPr>
      <w:proofErr w:type="spellStart"/>
      <w:r w:rsidRPr="00B4092E">
        <w:rPr>
          <w:lang w:val="en-US"/>
        </w:rPr>
        <w:t>Yaz</w:t>
      </w:r>
      <w:proofErr w:type="spellEnd"/>
      <w:r w:rsidRPr="00B4092E">
        <w:rPr>
          <w:lang w:val="en-US"/>
        </w:rPr>
        <w:t xml:space="preserve"> </w:t>
      </w:r>
      <w:r w:rsidRPr="00B4092E">
        <w:rPr>
          <w:lang w:eastAsia="bg-BG"/>
        </w:rPr>
        <w:t xml:space="preserve">0,02 </w:t>
      </w:r>
      <w:r w:rsidRPr="00B4092E">
        <w:rPr>
          <w:lang w:val="en-US"/>
        </w:rPr>
        <w:t>mg/3 mg film-coated tablets</w:t>
      </w:r>
    </w:p>
    <w:p w14:paraId="2231AB04" w14:textId="77777777" w:rsidR="00B4092E" w:rsidRPr="00B4092E" w:rsidRDefault="00B4092E" w:rsidP="00B4092E"/>
    <w:p w14:paraId="0DF202EC" w14:textId="10882A08" w:rsidR="00F53FB7" w:rsidRDefault="00DD466D" w:rsidP="00A93499">
      <w:pPr>
        <w:pStyle w:val="Heading1"/>
      </w:pPr>
      <w:r>
        <w:t>2. КАЧЕСТВЕН И КОЛИЧЕСТВЕН СЪСТАВ</w:t>
      </w:r>
    </w:p>
    <w:p w14:paraId="40F180BB" w14:textId="77777777" w:rsidR="00B4092E" w:rsidRDefault="00B4092E" w:rsidP="00B4092E"/>
    <w:p w14:paraId="0554C444" w14:textId="77777777"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24 светло розови филмирани таблетки:</w:t>
      </w:r>
    </w:p>
    <w:p w14:paraId="1FFA0779" w14:textId="77777777"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 xml:space="preserve">Всяка филмирана таблетка съдържа 0,020 </w:t>
      </w:r>
      <w:r w:rsidRPr="00B4092E">
        <w:rPr>
          <w:rFonts w:eastAsia="Times New Roman" w:cs="Arial"/>
          <w:color w:val="000000"/>
          <w:lang w:val="en-US"/>
        </w:rPr>
        <w:t xml:space="preserve">mg </w:t>
      </w:r>
      <w:r w:rsidRPr="00B4092E">
        <w:rPr>
          <w:rFonts w:eastAsia="Times New Roman" w:cs="Arial"/>
          <w:color w:val="000000"/>
          <w:lang w:eastAsia="bg-BG"/>
        </w:rPr>
        <w:t xml:space="preserve">етинилестрадиол </w:t>
      </w:r>
      <w:r w:rsidRPr="00B4092E">
        <w:rPr>
          <w:rFonts w:eastAsia="Times New Roman" w:cs="Arial"/>
          <w:i/>
          <w:iCs/>
          <w:color w:val="000000"/>
          <w:lang w:val="en-US"/>
        </w:rPr>
        <w:t>(</w:t>
      </w:r>
      <w:proofErr w:type="spellStart"/>
      <w:r w:rsidRPr="00B4092E">
        <w:rPr>
          <w:rFonts w:eastAsia="Times New Roman" w:cs="Arial"/>
          <w:i/>
          <w:iCs/>
          <w:color w:val="000000"/>
          <w:lang w:val="en-US"/>
        </w:rPr>
        <w:t>ethinylestradiol</w:t>
      </w:r>
      <w:proofErr w:type="spellEnd"/>
      <w:r w:rsidRPr="00B4092E">
        <w:rPr>
          <w:rFonts w:eastAsia="Times New Roman" w:cs="Arial"/>
          <w:i/>
          <w:iCs/>
          <w:color w:val="000000"/>
          <w:lang w:eastAsia="bg-BG"/>
        </w:rPr>
        <w:t>)</w:t>
      </w:r>
      <w:r w:rsidRPr="00B4092E">
        <w:rPr>
          <w:rFonts w:eastAsia="Times New Roman" w:cs="Arial"/>
          <w:color w:val="000000"/>
          <w:lang w:eastAsia="bg-BG"/>
        </w:rPr>
        <w:t xml:space="preserve"> (като бетадексо клатрат) </w:t>
      </w:r>
      <w:r w:rsidRPr="00B4092E">
        <w:rPr>
          <w:rFonts w:eastAsia="Times New Roman" w:cs="Arial"/>
          <w:i/>
          <w:iCs/>
          <w:color w:val="000000"/>
          <w:lang w:val="en-US"/>
        </w:rPr>
        <w:t>(</w:t>
      </w:r>
      <w:proofErr w:type="spellStart"/>
      <w:r w:rsidRPr="00B4092E">
        <w:rPr>
          <w:rFonts w:eastAsia="Times New Roman" w:cs="Arial"/>
          <w:i/>
          <w:iCs/>
          <w:color w:val="000000"/>
          <w:lang w:val="en-US"/>
        </w:rPr>
        <w:t>betadex</w:t>
      </w:r>
      <w:proofErr w:type="spellEnd"/>
      <w:r w:rsidRPr="00B4092E">
        <w:rPr>
          <w:rFonts w:eastAsia="Times New Roman" w:cs="Arial"/>
          <w:i/>
          <w:iCs/>
          <w:color w:val="000000"/>
          <w:lang w:val="en-US"/>
        </w:rPr>
        <w:t xml:space="preserve"> clathrate)</w:t>
      </w:r>
      <w:r w:rsidRPr="00B4092E">
        <w:rPr>
          <w:rFonts w:eastAsia="Times New Roman" w:cs="Arial"/>
          <w:color w:val="000000"/>
          <w:lang w:val="en-US"/>
        </w:rPr>
        <w:t xml:space="preserve"> </w:t>
      </w:r>
      <w:r w:rsidRPr="00B4092E">
        <w:rPr>
          <w:rFonts w:eastAsia="Times New Roman" w:cs="Arial"/>
          <w:color w:val="000000"/>
          <w:lang w:eastAsia="bg-BG"/>
        </w:rPr>
        <w:t xml:space="preserve">и 3 </w:t>
      </w:r>
      <w:r w:rsidRPr="00B4092E">
        <w:rPr>
          <w:rFonts w:eastAsia="Times New Roman" w:cs="Arial"/>
          <w:color w:val="000000"/>
          <w:lang w:val="en-US"/>
        </w:rPr>
        <w:t xml:space="preserve">mg </w:t>
      </w:r>
      <w:r w:rsidRPr="00B4092E">
        <w:rPr>
          <w:rFonts w:eastAsia="Times New Roman" w:cs="Arial"/>
          <w:color w:val="000000"/>
          <w:lang w:eastAsia="bg-BG"/>
        </w:rPr>
        <w:t xml:space="preserve">дроспиренон </w:t>
      </w:r>
      <w:r w:rsidRPr="00B4092E">
        <w:rPr>
          <w:rFonts w:eastAsia="Times New Roman" w:cs="Arial"/>
          <w:i/>
          <w:iCs/>
          <w:color w:val="000000"/>
          <w:lang w:val="en-US"/>
        </w:rPr>
        <w:t>(</w:t>
      </w:r>
      <w:proofErr w:type="spellStart"/>
      <w:r w:rsidRPr="00B4092E">
        <w:rPr>
          <w:rFonts w:eastAsia="Times New Roman" w:cs="Arial"/>
          <w:i/>
          <w:iCs/>
          <w:color w:val="000000"/>
          <w:lang w:val="en-US"/>
        </w:rPr>
        <w:t>drospirenone</w:t>
      </w:r>
      <w:proofErr w:type="spellEnd"/>
      <w:r w:rsidRPr="00B4092E">
        <w:rPr>
          <w:rFonts w:eastAsia="Times New Roman" w:cs="Arial"/>
          <w:i/>
          <w:iCs/>
          <w:color w:val="000000"/>
          <w:lang w:val="en-US"/>
        </w:rPr>
        <w:t>).</w:t>
      </w:r>
    </w:p>
    <w:p w14:paraId="104D4A05" w14:textId="77777777" w:rsidR="00B4092E" w:rsidRPr="00B4092E" w:rsidRDefault="00B4092E" w:rsidP="00B4092E">
      <w:pPr>
        <w:spacing w:line="240" w:lineRule="auto"/>
        <w:rPr>
          <w:rFonts w:eastAsia="Times New Roman" w:cs="Arial"/>
          <w:color w:val="000000"/>
          <w:u w:val="single"/>
          <w:lang w:eastAsia="bg-BG"/>
        </w:rPr>
      </w:pPr>
    </w:p>
    <w:p w14:paraId="379035D2" w14:textId="77777777" w:rsidR="00B4092E" w:rsidRPr="00B4092E" w:rsidRDefault="00B4092E" w:rsidP="00B4092E">
      <w:pPr>
        <w:spacing w:line="240" w:lineRule="auto"/>
        <w:rPr>
          <w:rFonts w:eastAsia="Times New Roman" w:cs="Arial"/>
          <w:color w:val="000000"/>
          <w:lang w:eastAsia="bg-BG"/>
        </w:rPr>
      </w:pPr>
      <w:r w:rsidRPr="00B4092E">
        <w:rPr>
          <w:rFonts w:eastAsia="Times New Roman" w:cs="Arial"/>
          <w:color w:val="000000"/>
          <w:u w:val="single"/>
          <w:lang w:eastAsia="bg-BG"/>
        </w:rPr>
        <w:t>Помощно(и) вещество(а) с известно действие:</w:t>
      </w:r>
      <w:r w:rsidRPr="00B4092E">
        <w:rPr>
          <w:rFonts w:eastAsia="Times New Roman" w:cs="Arial"/>
          <w:color w:val="000000"/>
          <w:lang w:eastAsia="bg-BG"/>
        </w:rPr>
        <w:t xml:space="preserve"> </w:t>
      </w:r>
    </w:p>
    <w:p w14:paraId="55FD6B39" w14:textId="16A0F2D3"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 xml:space="preserve">лактоза 46 </w:t>
      </w:r>
      <w:r w:rsidRPr="00B4092E">
        <w:rPr>
          <w:rFonts w:eastAsia="Times New Roman" w:cs="Arial"/>
          <w:color w:val="000000"/>
          <w:lang w:val="en-US"/>
        </w:rPr>
        <w:t xml:space="preserve">mg </w:t>
      </w:r>
      <w:r w:rsidRPr="00B4092E">
        <w:rPr>
          <w:rFonts w:eastAsia="Times New Roman" w:cs="Arial"/>
          <w:color w:val="000000"/>
          <w:lang w:eastAsia="bg-BG"/>
        </w:rPr>
        <w:t xml:space="preserve">(като лактоза монохидрат 48,18 </w:t>
      </w:r>
      <w:r w:rsidRPr="00B4092E">
        <w:rPr>
          <w:rFonts w:eastAsia="Times New Roman" w:cs="Arial"/>
          <w:color w:val="000000"/>
          <w:lang w:val="en-US"/>
        </w:rPr>
        <w:t>mg).</w:t>
      </w:r>
    </w:p>
    <w:p w14:paraId="304EFF29" w14:textId="77777777" w:rsidR="00B4092E" w:rsidRPr="00B4092E" w:rsidRDefault="00B4092E" w:rsidP="00B4092E">
      <w:pPr>
        <w:spacing w:line="240" w:lineRule="auto"/>
        <w:rPr>
          <w:rFonts w:eastAsia="Times New Roman" w:cs="Arial"/>
          <w:color w:val="000000"/>
          <w:lang w:eastAsia="bg-BG"/>
        </w:rPr>
      </w:pPr>
    </w:p>
    <w:p w14:paraId="7607415F" w14:textId="326D908B"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4 бели филмирани плацебо таблетки:</w:t>
      </w:r>
    </w:p>
    <w:p w14:paraId="0F63C749" w14:textId="77777777"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Таблетката не съдържа активни вещества.</w:t>
      </w:r>
    </w:p>
    <w:p w14:paraId="5D6A9E4F" w14:textId="77777777" w:rsidR="00B4092E" w:rsidRPr="00B4092E" w:rsidRDefault="00B4092E" w:rsidP="00B4092E">
      <w:pPr>
        <w:spacing w:line="240" w:lineRule="auto"/>
        <w:rPr>
          <w:rFonts w:eastAsia="Times New Roman" w:cs="Arial"/>
          <w:color w:val="000000"/>
          <w:u w:val="single"/>
          <w:lang w:eastAsia="bg-BG"/>
        </w:rPr>
      </w:pPr>
    </w:p>
    <w:p w14:paraId="038B6B53" w14:textId="77777777" w:rsidR="00B4092E" w:rsidRPr="00B4092E" w:rsidRDefault="00B4092E" w:rsidP="00B4092E">
      <w:pPr>
        <w:spacing w:line="240" w:lineRule="auto"/>
        <w:rPr>
          <w:rFonts w:eastAsia="Times New Roman" w:cs="Arial"/>
          <w:color w:val="000000"/>
          <w:lang w:eastAsia="bg-BG"/>
        </w:rPr>
      </w:pPr>
      <w:r w:rsidRPr="00B4092E">
        <w:rPr>
          <w:rFonts w:eastAsia="Times New Roman" w:cs="Arial"/>
          <w:color w:val="000000"/>
          <w:u w:val="single"/>
          <w:lang w:eastAsia="bg-BG"/>
        </w:rPr>
        <w:t>Помощно(и) вещество(а) с известно действие:</w:t>
      </w:r>
      <w:r w:rsidRPr="00B4092E">
        <w:rPr>
          <w:rFonts w:eastAsia="Times New Roman" w:cs="Arial"/>
          <w:color w:val="000000"/>
          <w:lang w:eastAsia="bg-BG"/>
        </w:rPr>
        <w:t xml:space="preserve"> </w:t>
      </w:r>
    </w:p>
    <w:p w14:paraId="01E0F30C" w14:textId="001D6A80"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 xml:space="preserve">лактоза 22 </w:t>
      </w:r>
      <w:r w:rsidRPr="00B4092E">
        <w:rPr>
          <w:rFonts w:eastAsia="Times New Roman" w:cs="Arial"/>
          <w:color w:val="000000"/>
          <w:lang w:val="en-US"/>
        </w:rPr>
        <w:t xml:space="preserve">mg </w:t>
      </w:r>
      <w:r w:rsidRPr="00B4092E">
        <w:rPr>
          <w:rFonts w:eastAsia="Times New Roman" w:cs="Arial"/>
          <w:color w:val="000000"/>
          <w:lang w:eastAsia="bg-BG"/>
        </w:rPr>
        <w:t xml:space="preserve">(като лактоза монохидрат 23,21 </w:t>
      </w:r>
      <w:r w:rsidRPr="00B4092E">
        <w:rPr>
          <w:rFonts w:eastAsia="Times New Roman" w:cs="Arial"/>
          <w:color w:val="000000"/>
          <w:lang w:val="en-US"/>
        </w:rPr>
        <w:t>mg).</w:t>
      </w:r>
    </w:p>
    <w:p w14:paraId="555A4828" w14:textId="77777777" w:rsidR="00B4092E" w:rsidRPr="00B4092E" w:rsidRDefault="00B4092E" w:rsidP="00B4092E"/>
    <w:p w14:paraId="4CABB9ED" w14:textId="2740FB4D" w:rsidR="00F53FB7" w:rsidRDefault="00DD466D" w:rsidP="00A93499">
      <w:pPr>
        <w:pStyle w:val="Heading1"/>
      </w:pPr>
      <w:r>
        <w:t>3. ЛЕКАРСТВЕНА ФОРМА</w:t>
      </w:r>
    </w:p>
    <w:p w14:paraId="5B52056A" w14:textId="77777777" w:rsidR="00B4092E" w:rsidRDefault="00B4092E" w:rsidP="00B4092E"/>
    <w:p w14:paraId="64F5C33E" w14:textId="77777777"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Филмирана таблетка</w:t>
      </w:r>
    </w:p>
    <w:p w14:paraId="10F9D0EA" w14:textId="77777777" w:rsidR="00B4092E" w:rsidRPr="00B4092E" w:rsidRDefault="00B4092E" w:rsidP="00B4092E">
      <w:pPr>
        <w:spacing w:line="240" w:lineRule="auto"/>
        <w:rPr>
          <w:rFonts w:eastAsia="Times New Roman" w:cs="Arial"/>
          <w:color w:val="000000"/>
          <w:lang w:eastAsia="bg-BG"/>
        </w:rPr>
      </w:pPr>
    </w:p>
    <w:p w14:paraId="43500926" w14:textId="387238CD"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 xml:space="preserve">Активните таблетки са светло розови, кръгли, с изпъкнали повърхности, от едната страна маркиран с буквите </w:t>
      </w:r>
      <w:r w:rsidRPr="00B4092E">
        <w:rPr>
          <w:rFonts w:eastAsia="Times New Roman" w:cs="Arial"/>
          <w:color w:val="000000"/>
          <w:lang w:val="en-US"/>
        </w:rPr>
        <w:t xml:space="preserve">"DS" </w:t>
      </w:r>
      <w:r w:rsidRPr="00B4092E">
        <w:rPr>
          <w:rFonts w:eastAsia="Times New Roman" w:cs="Arial"/>
          <w:color w:val="000000"/>
          <w:lang w:eastAsia="bg-BG"/>
        </w:rPr>
        <w:t>в правилен шестоъгълник.</w:t>
      </w:r>
    </w:p>
    <w:p w14:paraId="4585C8B9" w14:textId="77777777" w:rsidR="00B4092E" w:rsidRPr="00B4092E" w:rsidRDefault="00B4092E" w:rsidP="00B4092E">
      <w:pPr>
        <w:spacing w:line="240" w:lineRule="auto"/>
        <w:rPr>
          <w:rFonts w:eastAsia="Times New Roman" w:cs="Arial"/>
          <w:color w:val="000000"/>
          <w:lang w:eastAsia="bg-BG"/>
        </w:rPr>
      </w:pPr>
    </w:p>
    <w:p w14:paraId="707BD8A9" w14:textId="7D5F2119"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 xml:space="preserve">Плацебо таблетките са бели, кръгли, с изпъкнали повърхности, от едната страна маркирани с букви! </w:t>
      </w:r>
      <w:r w:rsidRPr="00B4092E">
        <w:rPr>
          <w:rFonts w:eastAsia="Times New Roman" w:cs="Arial"/>
          <w:color w:val="000000"/>
          <w:lang w:val="en-US"/>
        </w:rPr>
        <w:t xml:space="preserve">"DP'' </w:t>
      </w:r>
      <w:r w:rsidRPr="00B4092E">
        <w:rPr>
          <w:rFonts w:eastAsia="Times New Roman" w:cs="Arial"/>
          <w:color w:val="000000"/>
          <w:lang w:eastAsia="bg-BG"/>
        </w:rPr>
        <w:t>в правилен шестоъгълник.</w:t>
      </w:r>
    </w:p>
    <w:p w14:paraId="37E1FA77" w14:textId="77777777" w:rsidR="00B4092E" w:rsidRPr="00B4092E" w:rsidRDefault="00B4092E" w:rsidP="00B4092E"/>
    <w:p w14:paraId="490FC2C4" w14:textId="6899DE43" w:rsidR="002C50EE" w:rsidRDefault="002C50EE" w:rsidP="002C50EE">
      <w:pPr>
        <w:pStyle w:val="Heading1"/>
      </w:pPr>
      <w:r>
        <w:t>4. КЛИНИЧНИ ДАННИ</w:t>
      </w:r>
    </w:p>
    <w:p w14:paraId="461901E4" w14:textId="0A9C51D3" w:rsidR="009F77A4" w:rsidRDefault="002C50EE" w:rsidP="00387A66">
      <w:pPr>
        <w:pStyle w:val="Heading2"/>
      </w:pPr>
      <w:r>
        <w:t>4.1. Терапевтични показания</w:t>
      </w:r>
    </w:p>
    <w:p w14:paraId="47F98A7F" w14:textId="77777777" w:rsidR="00B4092E" w:rsidRDefault="00B4092E" w:rsidP="00B4092E"/>
    <w:p w14:paraId="28D0C126" w14:textId="77777777" w:rsidR="00B4092E" w:rsidRPr="00B4092E" w:rsidRDefault="00B4092E" w:rsidP="00B4092E">
      <w:pPr>
        <w:rPr>
          <w:sz w:val="24"/>
          <w:szCs w:val="24"/>
          <w:lang w:eastAsia="bg-BG"/>
        </w:rPr>
      </w:pPr>
      <w:r w:rsidRPr="00B4092E">
        <w:rPr>
          <w:lang w:eastAsia="bg-BG"/>
        </w:rPr>
        <w:t>Перорална контрацепция.</w:t>
      </w:r>
    </w:p>
    <w:p w14:paraId="52D24503" w14:textId="77777777" w:rsidR="00B4092E" w:rsidRDefault="00B4092E" w:rsidP="00B4092E">
      <w:pPr>
        <w:rPr>
          <w:lang w:eastAsia="bg-BG"/>
        </w:rPr>
      </w:pPr>
    </w:p>
    <w:p w14:paraId="6B8E9097" w14:textId="2C8704DC" w:rsidR="00B4092E" w:rsidRPr="00B4092E" w:rsidRDefault="00B4092E" w:rsidP="00B4092E">
      <w:pPr>
        <w:rPr>
          <w:sz w:val="24"/>
          <w:szCs w:val="24"/>
          <w:lang w:eastAsia="bg-BG"/>
        </w:rPr>
      </w:pPr>
      <w:r w:rsidRPr="00B4092E">
        <w:rPr>
          <w:lang w:eastAsia="bg-BG"/>
        </w:rPr>
        <w:t>При вземане на решение за предписване на Джаз трябва да се имат предвид настоящите рискови фактори на отделната жена, особено тези за венозна тромбоемболия (ВТЕ) и това какъв е рискът от ВТЕ при Джаз в сравнение с този при други комбинирани хормонални контрацептиви (КХК) (вж. точки 4.3 и 4.4).</w:t>
      </w:r>
    </w:p>
    <w:p w14:paraId="65191E32" w14:textId="77777777" w:rsidR="00B4092E" w:rsidRPr="00B4092E" w:rsidRDefault="00B4092E" w:rsidP="00B4092E"/>
    <w:p w14:paraId="31744E5A" w14:textId="29FBB145" w:rsidR="009F77A4" w:rsidRDefault="002C50EE" w:rsidP="00387A66">
      <w:pPr>
        <w:pStyle w:val="Heading2"/>
      </w:pPr>
      <w:r>
        <w:lastRenderedPageBreak/>
        <w:t>4.2. Дозировка и начин на приложение</w:t>
      </w:r>
    </w:p>
    <w:p w14:paraId="476C78E9" w14:textId="77777777" w:rsidR="00B4092E" w:rsidRDefault="00B4092E" w:rsidP="00B4092E"/>
    <w:p w14:paraId="052D9D44" w14:textId="77777777" w:rsidR="00B4092E" w:rsidRPr="00B4092E" w:rsidRDefault="00B4092E" w:rsidP="00B4092E">
      <w:pPr>
        <w:pStyle w:val="Heading3"/>
        <w:rPr>
          <w:rFonts w:eastAsia="Times New Roman"/>
          <w:u w:val="single"/>
          <w:lang w:eastAsia="bg-BG"/>
        </w:rPr>
      </w:pPr>
      <w:r w:rsidRPr="00B4092E">
        <w:rPr>
          <w:rFonts w:eastAsia="Times New Roman"/>
          <w:u w:val="single"/>
          <w:lang w:eastAsia="bg-BG"/>
        </w:rPr>
        <w:t>Дозировка</w:t>
      </w:r>
    </w:p>
    <w:p w14:paraId="6242CA80" w14:textId="77777777" w:rsidR="00B4092E" w:rsidRPr="00B4092E" w:rsidRDefault="00B4092E" w:rsidP="00B4092E">
      <w:pPr>
        <w:spacing w:line="240" w:lineRule="auto"/>
        <w:rPr>
          <w:rFonts w:eastAsia="Times New Roman" w:cs="Arial"/>
          <w:b/>
          <w:bCs/>
          <w:color w:val="000000"/>
          <w:lang w:eastAsia="bg-BG"/>
        </w:rPr>
      </w:pPr>
      <w:bookmarkStart w:id="1" w:name="bookmark0"/>
    </w:p>
    <w:p w14:paraId="41F6DCD8" w14:textId="241C06EF" w:rsidR="00B4092E" w:rsidRPr="00B4092E" w:rsidRDefault="00B4092E" w:rsidP="00B4092E">
      <w:pPr>
        <w:spacing w:line="240" w:lineRule="auto"/>
        <w:rPr>
          <w:rFonts w:eastAsia="Times New Roman" w:cs="Arial"/>
          <w:lang w:eastAsia="bg-BG"/>
        </w:rPr>
      </w:pPr>
      <w:r w:rsidRPr="00B4092E">
        <w:rPr>
          <w:rFonts w:eastAsia="Times New Roman" w:cs="Arial"/>
          <w:b/>
          <w:bCs/>
          <w:color w:val="000000"/>
          <w:lang w:eastAsia="bg-BG"/>
        </w:rPr>
        <w:t>Как да се приема Джаз</w:t>
      </w:r>
      <w:bookmarkEnd w:id="1"/>
    </w:p>
    <w:p w14:paraId="651FFF03" w14:textId="77777777" w:rsidR="00B4092E" w:rsidRPr="00B4092E" w:rsidRDefault="00B4092E" w:rsidP="00B4092E">
      <w:pPr>
        <w:spacing w:line="240" w:lineRule="auto"/>
        <w:rPr>
          <w:rFonts w:eastAsia="Times New Roman" w:cs="Arial"/>
          <w:color w:val="000000"/>
          <w:lang w:eastAsia="bg-BG"/>
        </w:rPr>
      </w:pPr>
    </w:p>
    <w:p w14:paraId="36832B94" w14:textId="375F7BE0"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Таблетките трябва да се вземат всеки ден по едно и също време, ако е необходимо с</w:t>
      </w:r>
      <w:r w:rsidRPr="00B4092E">
        <w:rPr>
          <w:rFonts w:eastAsia="Times New Roman" w:cs="Arial"/>
          <w:color w:val="000000"/>
          <w:lang w:val="en-US"/>
        </w:rPr>
        <w:t xml:space="preserve"> </w:t>
      </w:r>
      <w:r w:rsidRPr="00B4092E">
        <w:rPr>
          <w:rFonts w:eastAsia="Times New Roman" w:cs="Arial"/>
          <w:color w:val="000000"/>
          <w:lang w:eastAsia="bg-BG"/>
        </w:rPr>
        <w:t>малко течност, по реда указан върху блистера. Вземането на таблетките е последователно. Взема се една таблетка дневно в продължение на 28 последователни дни. Всяка следваща опаковка се започва в деня след вземане на последната таблетка от предходната опаковка. Отпадно кървене обикновено се появява 3 дни след започване на плацебо таблетките (последна редица) и може да не е свършило преди започване на следващата опаковка.</w:t>
      </w:r>
    </w:p>
    <w:p w14:paraId="44F49FF7" w14:textId="77777777" w:rsidR="00B4092E" w:rsidRPr="00B4092E" w:rsidRDefault="00B4092E" w:rsidP="00B4092E">
      <w:pPr>
        <w:rPr>
          <w:rFonts w:cs="Arial"/>
        </w:rPr>
      </w:pPr>
    </w:p>
    <w:p w14:paraId="170711FD" w14:textId="77777777" w:rsidR="00B4092E" w:rsidRPr="00B4092E" w:rsidRDefault="00B4092E" w:rsidP="00B4092E">
      <w:pPr>
        <w:spacing w:line="240" w:lineRule="auto"/>
        <w:rPr>
          <w:rFonts w:eastAsia="Times New Roman" w:cs="Arial"/>
          <w:lang w:eastAsia="bg-BG"/>
        </w:rPr>
      </w:pPr>
      <w:r w:rsidRPr="00B4092E">
        <w:rPr>
          <w:rFonts w:eastAsia="Times New Roman" w:cs="Arial"/>
          <w:b/>
          <w:bCs/>
          <w:color w:val="000000"/>
          <w:lang w:eastAsia="bg-BG"/>
        </w:rPr>
        <w:t>Как се започва приема на Джаз</w:t>
      </w:r>
    </w:p>
    <w:p w14:paraId="376EC763" w14:textId="77777777" w:rsidR="00B4092E" w:rsidRPr="00B4092E" w:rsidRDefault="00B4092E" w:rsidP="00B4092E">
      <w:pPr>
        <w:spacing w:line="240" w:lineRule="auto"/>
        <w:rPr>
          <w:rFonts w:eastAsia="Times New Roman" w:cs="Arial"/>
          <w:color w:val="000000"/>
          <w:lang w:eastAsia="bg-BG"/>
        </w:rPr>
      </w:pPr>
    </w:p>
    <w:p w14:paraId="0549C5D2" w14:textId="51D36FA4" w:rsidR="00B4092E" w:rsidRPr="00B4092E" w:rsidRDefault="00B4092E" w:rsidP="00B4092E">
      <w:pPr>
        <w:pStyle w:val="ListParagraph"/>
        <w:numPr>
          <w:ilvl w:val="0"/>
          <w:numId w:val="40"/>
        </w:numPr>
        <w:spacing w:line="240" w:lineRule="auto"/>
        <w:rPr>
          <w:rFonts w:eastAsia="Times New Roman" w:cs="Arial"/>
          <w:color w:val="000000"/>
          <w:lang w:eastAsia="bg-BG"/>
        </w:rPr>
      </w:pPr>
      <w:r w:rsidRPr="00B4092E">
        <w:rPr>
          <w:rFonts w:eastAsia="Times New Roman" w:cs="Arial"/>
          <w:color w:val="000000"/>
          <w:lang w:eastAsia="bg-BG"/>
        </w:rPr>
        <w:t>Без предходно хормонално контрацептивно приложение (през миналия месец)</w:t>
      </w:r>
    </w:p>
    <w:p w14:paraId="7A36B186"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Приемът на таблетките трябва да започне в Ден 1-ви от естествения месечен цикъл на жената (т.е. първия ден от нейното менструално кървене).</w:t>
      </w:r>
    </w:p>
    <w:p w14:paraId="675BB956" w14:textId="77777777" w:rsidR="00B4092E" w:rsidRPr="00B4092E" w:rsidRDefault="00B4092E" w:rsidP="00B4092E">
      <w:pPr>
        <w:spacing w:line="240" w:lineRule="auto"/>
        <w:rPr>
          <w:rFonts w:eastAsia="Times New Roman" w:cs="Arial"/>
          <w:color w:val="000000"/>
          <w:lang w:eastAsia="bg-BG"/>
        </w:rPr>
      </w:pPr>
    </w:p>
    <w:p w14:paraId="1F455047" w14:textId="62440AB5" w:rsidR="00B4092E" w:rsidRPr="00B4092E" w:rsidRDefault="00B4092E" w:rsidP="00B4092E">
      <w:pPr>
        <w:pStyle w:val="ListParagraph"/>
        <w:numPr>
          <w:ilvl w:val="0"/>
          <w:numId w:val="40"/>
        </w:numPr>
        <w:spacing w:line="240" w:lineRule="auto"/>
        <w:rPr>
          <w:rFonts w:eastAsia="Times New Roman" w:cs="Arial"/>
          <w:color w:val="000000"/>
          <w:lang w:eastAsia="bg-BG"/>
        </w:rPr>
      </w:pPr>
      <w:r w:rsidRPr="00B4092E">
        <w:rPr>
          <w:rFonts w:eastAsia="Times New Roman" w:cs="Arial"/>
          <w:color w:val="000000"/>
          <w:lang w:eastAsia="bg-BG"/>
        </w:rPr>
        <w:t>Преминаване от комбиниран перорален контрацептив (комбиниран (пер)орален контрацептив (КОК), вагинален пръстен или трансдермален пластир)</w:t>
      </w:r>
    </w:p>
    <w:p w14:paraId="41256B2A"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Жената трябва да започне приемането на Джаз в деня след приемането на последната активна таблетка (последната таблетка съдържаща активно вещество) на вземания преди това КОК, но не по- късно от деня след обичайния интервал без прием на таблетка или интервал с вземане на плацебо таблетки от предишния КОК. Ако е използвала вагинален пръстен или трансдермален пластир, жената трябва да започне да приема Джаз в деня на свалянето им, но не по-късно от деня, в който е трябвало да се прави следващата апликация.</w:t>
      </w:r>
    </w:p>
    <w:p w14:paraId="764AE9BB" w14:textId="77777777" w:rsidR="00B4092E" w:rsidRPr="00B4092E" w:rsidRDefault="00B4092E" w:rsidP="00B4092E">
      <w:pPr>
        <w:spacing w:line="240" w:lineRule="auto"/>
        <w:rPr>
          <w:rFonts w:eastAsia="Times New Roman" w:cs="Arial"/>
          <w:color w:val="000000"/>
          <w:lang w:eastAsia="bg-BG"/>
        </w:rPr>
      </w:pPr>
    </w:p>
    <w:p w14:paraId="538D0D03" w14:textId="405E21FE" w:rsidR="00B4092E" w:rsidRPr="00B4092E" w:rsidRDefault="00B4092E" w:rsidP="00B4092E">
      <w:pPr>
        <w:pStyle w:val="ListParagraph"/>
        <w:numPr>
          <w:ilvl w:val="0"/>
          <w:numId w:val="40"/>
        </w:numPr>
        <w:spacing w:line="240" w:lineRule="auto"/>
        <w:rPr>
          <w:rFonts w:eastAsia="Times New Roman" w:cs="Arial"/>
          <w:color w:val="000000"/>
          <w:lang w:eastAsia="bg-BG"/>
        </w:rPr>
      </w:pPr>
      <w:r w:rsidRPr="00B4092E">
        <w:rPr>
          <w:rFonts w:eastAsia="Times New Roman" w:cs="Arial"/>
          <w:color w:val="000000"/>
          <w:lang w:eastAsia="bg-BG"/>
        </w:rPr>
        <w:t>Преминаване от метод само на прогестоген (хапче само с прогестоген, инжекция, имплант) или от вътрематочна система освобождаваща прогестоген (ВМС)</w:t>
      </w:r>
    </w:p>
    <w:p w14:paraId="6539155D"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Жената може да премине в който и да е ден от хапче съдържащо само прогестоген (от имплант или ВМС в деня на отстраняването й, от инжекционна форма, когато трябва да се прави следващата инжекция), но при всички тези случаи би следвало да използва допълнително бариерен метод през първите 7 дни от приемането на таблетките.</w:t>
      </w:r>
    </w:p>
    <w:p w14:paraId="61008286" w14:textId="77777777" w:rsidR="00B4092E" w:rsidRPr="00B4092E" w:rsidRDefault="00B4092E" w:rsidP="00B4092E">
      <w:pPr>
        <w:spacing w:line="240" w:lineRule="auto"/>
        <w:rPr>
          <w:rFonts w:eastAsia="Times New Roman" w:cs="Arial"/>
          <w:color w:val="000000"/>
          <w:lang w:eastAsia="bg-BG"/>
        </w:rPr>
      </w:pPr>
    </w:p>
    <w:p w14:paraId="59F5727E" w14:textId="0FAC5333" w:rsidR="00B4092E" w:rsidRPr="00B4092E" w:rsidRDefault="00B4092E" w:rsidP="00B4092E">
      <w:pPr>
        <w:pStyle w:val="ListParagraph"/>
        <w:numPr>
          <w:ilvl w:val="0"/>
          <w:numId w:val="40"/>
        </w:numPr>
        <w:spacing w:line="240" w:lineRule="auto"/>
        <w:rPr>
          <w:rFonts w:eastAsia="Times New Roman" w:cs="Arial"/>
          <w:color w:val="000000"/>
          <w:lang w:eastAsia="bg-BG"/>
        </w:rPr>
      </w:pPr>
      <w:r w:rsidRPr="00B4092E">
        <w:rPr>
          <w:rFonts w:eastAsia="Times New Roman" w:cs="Arial"/>
          <w:color w:val="000000"/>
          <w:lang w:eastAsia="bg-BG"/>
        </w:rPr>
        <w:t>След аборт в първите три месеца на бременността</w:t>
      </w:r>
    </w:p>
    <w:p w14:paraId="38362038"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Жената може да започне незабавно. Когато прави това, тя не се нуждае от допълнителни противозачатъчни мерки.</w:t>
      </w:r>
    </w:p>
    <w:p w14:paraId="43B1EFF4" w14:textId="77777777" w:rsidR="00B4092E" w:rsidRPr="00B4092E" w:rsidRDefault="00B4092E" w:rsidP="00B4092E">
      <w:pPr>
        <w:spacing w:line="240" w:lineRule="auto"/>
        <w:rPr>
          <w:rFonts w:eastAsia="Times New Roman" w:cs="Arial"/>
          <w:color w:val="000000"/>
          <w:lang w:eastAsia="bg-BG"/>
        </w:rPr>
      </w:pPr>
    </w:p>
    <w:p w14:paraId="0F7ED306" w14:textId="3AC8C81E" w:rsidR="00B4092E" w:rsidRPr="00B4092E" w:rsidRDefault="00B4092E" w:rsidP="00B4092E">
      <w:pPr>
        <w:pStyle w:val="ListParagraph"/>
        <w:numPr>
          <w:ilvl w:val="0"/>
          <w:numId w:val="40"/>
        </w:numPr>
        <w:spacing w:line="240" w:lineRule="auto"/>
        <w:rPr>
          <w:rFonts w:eastAsia="Times New Roman" w:cs="Arial"/>
          <w:color w:val="000000"/>
          <w:lang w:eastAsia="bg-BG"/>
        </w:rPr>
      </w:pPr>
      <w:r w:rsidRPr="00B4092E">
        <w:rPr>
          <w:rFonts w:eastAsia="Times New Roman" w:cs="Arial"/>
          <w:color w:val="000000"/>
          <w:lang w:eastAsia="bg-BG"/>
        </w:rPr>
        <w:t>След раждане или аборт във второто тримесечие на бременността</w:t>
      </w:r>
    </w:p>
    <w:p w14:paraId="0F723605"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Жените трябва да бъдат инструктирани да започнат приемането в периода от 21 до 28 ден след раждането или аборт през второто тримесечие на бременността. Когато започне по-късно, жената следва да бъде инструктирана да прилага допълнително бариерен метод през първите 7 дни. Ако, обаче, междувременно е имала полов контакт, трябва да се изключи бременност преди започване приложението на КОК или жената трябва да изчака своя първи менструален цикъл.</w:t>
      </w:r>
    </w:p>
    <w:p w14:paraId="418B7996" w14:textId="77777777" w:rsidR="00B4092E" w:rsidRPr="00B4092E" w:rsidRDefault="00B4092E" w:rsidP="00B4092E">
      <w:pPr>
        <w:spacing w:line="240" w:lineRule="auto"/>
        <w:rPr>
          <w:rFonts w:eastAsia="Times New Roman" w:cs="Arial"/>
          <w:color w:val="000000"/>
          <w:lang w:eastAsia="bg-BG"/>
        </w:rPr>
      </w:pPr>
    </w:p>
    <w:p w14:paraId="2B8F1112" w14:textId="642D8671"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За кърмачки, вж. точка 4.6.</w:t>
      </w:r>
    </w:p>
    <w:p w14:paraId="6D1E1DF3" w14:textId="77777777" w:rsidR="00B4092E" w:rsidRPr="00B4092E" w:rsidRDefault="00B4092E" w:rsidP="00B4092E">
      <w:pPr>
        <w:spacing w:line="240" w:lineRule="auto"/>
        <w:rPr>
          <w:rFonts w:eastAsia="Times New Roman" w:cs="Arial"/>
          <w:b/>
          <w:bCs/>
          <w:color w:val="000000"/>
          <w:lang w:eastAsia="bg-BG"/>
        </w:rPr>
      </w:pPr>
      <w:bookmarkStart w:id="2" w:name="bookmark2"/>
    </w:p>
    <w:p w14:paraId="2A8E9C4F" w14:textId="1EC455D9" w:rsidR="00B4092E" w:rsidRPr="00B4092E" w:rsidRDefault="00B4092E" w:rsidP="00B4092E">
      <w:pPr>
        <w:spacing w:line="240" w:lineRule="auto"/>
        <w:rPr>
          <w:rFonts w:eastAsia="Times New Roman" w:cs="Arial"/>
          <w:lang w:eastAsia="bg-BG"/>
        </w:rPr>
      </w:pPr>
      <w:r w:rsidRPr="00B4092E">
        <w:rPr>
          <w:rFonts w:eastAsia="Times New Roman" w:cs="Arial"/>
          <w:b/>
          <w:bCs/>
          <w:color w:val="000000"/>
          <w:lang w:eastAsia="bg-BG"/>
        </w:rPr>
        <w:t>Поведение при пропуснати таблетки</w:t>
      </w:r>
      <w:bookmarkEnd w:id="2"/>
    </w:p>
    <w:p w14:paraId="5D24641F" w14:textId="77777777" w:rsidR="00B4092E" w:rsidRPr="00B4092E" w:rsidRDefault="00B4092E" w:rsidP="00B4092E">
      <w:pPr>
        <w:spacing w:line="240" w:lineRule="auto"/>
        <w:rPr>
          <w:rFonts w:eastAsia="Times New Roman" w:cs="Arial"/>
          <w:color w:val="000000"/>
          <w:lang w:eastAsia="bg-BG"/>
        </w:rPr>
      </w:pPr>
    </w:p>
    <w:p w14:paraId="3C0F4217" w14:textId="376FF55B" w:rsidR="00B4092E" w:rsidRPr="00B4092E" w:rsidRDefault="00B4092E" w:rsidP="00B4092E">
      <w:pPr>
        <w:spacing w:line="240" w:lineRule="auto"/>
        <w:rPr>
          <w:rFonts w:eastAsia="Times New Roman" w:cs="Arial"/>
          <w:b/>
          <w:bCs/>
          <w:color w:val="000000"/>
          <w:lang w:eastAsia="bg-BG"/>
        </w:rPr>
      </w:pPr>
      <w:r w:rsidRPr="00B4092E">
        <w:rPr>
          <w:rFonts w:eastAsia="Times New Roman" w:cs="Arial"/>
          <w:color w:val="000000"/>
          <w:lang w:eastAsia="bg-BG"/>
        </w:rPr>
        <w:t xml:space="preserve">Плацебо таблетките от последната (4-та) редица от блистера, могат да бъдат игнорирани. В същото време, те трябва да бъдат изхвърлени, за да се избегне по невнимание удължаване на периода на приемане на плацебо таблетки. Следният съвет се отнася само за </w:t>
      </w:r>
      <w:r w:rsidRPr="00B4092E">
        <w:rPr>
          <w:rFonts w:eastAsia="Times New Roman" w:cs="Arial"/>
          <w:b/>
          <w:bCs/>
          <w:color w:val="000000"/>
          <w:lang w:eastAsia="bg-BG"/>
        </w:rPr>
        <w:t>пропуснати активни таблетки:</w:t>
      </w:r>
    </w:p>
    <w:p w14:paraId="2669EA13" w14:textId="77777777" w:rsidR="00B4092E" w:rsidRPr="00B4092E" w:rsidRDefault="00B4092E" w:rsidP="00B4092E">
      <w:pPr>
        <w:spacing w:line="240" w:lineRule="auto"/>
        <w:rPr>
          <w:rFonts w:eastAsia="Times New Roman" w:cs="Arial"/>
          <w:b/>
          <w:bCs/>
          <w:color w:val="000000"/>
          <w:lang w:eastAsia="bg-BG"/>
        </w:rPr>
      </w:pPr>
    </w:p>
    <w:p w14:paraId="71E43D06"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 xml:space="preserve">Ако пациентката е закъсняла с приема на следващата таблетка с </w:t>
      </w:r>
      <w:r w:rsidRPr="00B4092E">
        <w:rPr>
          <w:rFonts w:eastAsia="Times New Roman" w:cs="Arial"/>
          <w:b/>
          <w:bCs/>
          <w:color w:val="000000"/>
          <w:lang w:eastAsia="bg-BG"/>
        </w:rPr>
        <w:t xml:space="preserve">по-малко от 24 часа, </w:t>
      </w:r>
      <w:r w:rsidRPr="00B4092E">
        <w:rPr>
          <w:rFonts w:eastAsia="Times New Roman" w:cs="Arial"/>
          <w:color w:val="000000"/>
          <w:lang w:eastAsia="bg-BG"/>
        </w:rPr>
        <w:t>контрацептивната защита не е намалена. Жената трябва да вземе таблетката веднага щом си спомни и да продължи приема на следващите таблетки в обичайното време.</w:t>
      </w:r>
    </w:p>
    <w:p w14:paraId="1AE6DE42" w14:textId="77777777" w:rsidR="00B4092E" w:rsidRPr="00B4092E" w:rsidRDefault="00B4092E" w:rsidP="00B4092E">
      <w:pPr>
        <w:spacing w:line="240" w:lineRule="auto"/>
        <w:rPr>
          <w:rFonts w:eastAsia="Times New Roman" w:cs="Arial"/>
          <w:color w:val="000000"/>
          <w:lang w:eastAsia="bg-BG"/>
        </w:rPr>
      </w:pPr>
    </w:p>
    <w:p w14:paraId="5C0604D1" w14:textId="16C4E73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 xml:space="preserve">Ако е закъсняла </w:t>
      </w:r>
      <w:r w:rsidRPr="00B4092E">
        <w:rPr>
          <w:rFonts w:eastAsia="Times New Roman" w:cs="Arial"/>
          <w:b/>
          <w:bCs/>
          <w:color w:val="000000"/>
          <w:lang w:eastAsia="bg-BG"/>
        </w:rPr>
        <w:t xml:space="preserve">повече от 24 часа, </w:t>
      </w:r>
      <w:r w:rsidRPr="00B4092E">
        <w:rPr>
          <w:rFonts w:eastAsia="Times New Roman" w:cs="Arial"/>
          <w:color w:val="000000"/>
          <w:lang w:eastAsia="bg-BG"/>
        </w:rPr>
        <w:t>контрацептивната защита може да отслабне. В такъв случай поведението спрямо пропуснатите таблетки се ръководи от следните две основни правила:</w:t>
      </w:r>
    </w:p>
    <w:p w14:paraId="1F9214FC" w14:textId="77777777" w:rsidR="00B4092E" w:rsidRPr="00B4092E" w:rsidRDefault="00B4092E" w:rsidP="00B4092E">
      <w:pPr>
        <w:spacing w:line="240" w:lineRule="auto"/>
        <w:rPr>
          <w:rFonts w:eastAsia="Times New Roman" w:cs="Arial"/>
          <w:color w:val="000000"/>
          <w:lang w:eastAsia="bg-BG"/>
        </w:rPr>
      </w:pPr>
    </w:p>
    <w:p w14:paraId="6DF3A6A8" w14:textId="24F5665B" w:rsidR="00B4092E" w:rsidRPr="00B4092E" w:rsidRDefault="00B4092E" w:rsidP="00B4092E">
      <w:pPr>
        <w:spacing w:line="240" w:lineRule="auto"/>
        <w:rPr>
          <w:rFonts w:eastAsia="Times New Roman" w:cs="Arial"/>
          <w:color w:val="000000"/>
          <w:lang w:eastAsia="bg-BG"/>
        </w:rPr>
      </w:pPr>
      <w:r w:rsidRPr="00B4092E">
        <w:rPr>
          <w:rFonts w:eastAsia="Times New Roman" w:cs="Arial"/>
          <w:color w:val="000000"/>
          <w:lang w:val="en-US" w:eastAsia="bg-BG"/>
        </w:rPr>
        <w:t xml:space="preserve">1. </w:t>
      </w:r>
      <w:r w:rsidRPr="00B4092E">
        <w:rPr>
          <w:rFonts w:eastAsia="Times New Roman" w:cs="Arial"/>
          <w:color w:val="000000"/>
          <w:lang w:eastAsia="bg-BG"/>
        </w:rPr>
        <w:t>препоръчваният интервал за прием на плацебо таблетки е 4 дни, приемът на таблетки не трябва да се прекратява за повече от 7 дни</w:t>
      </w:r>
    </w:p>
    <w:p w14:paraId="374D67FA" w14:textId="28E75CA1"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2.</w:t>
      </w:r>
      <w:r w:rsidRPr="00B4092E">
        <w:rPr>
          <w:rFonts w:eastAsia="Times New Roman" w:cs="Arial"/>
          <w:color w:val="000000"/>
          <w:lang w:val="en-US" w:eastAsia="bg-BG"/>
        </w:rPr>
        <w:t xml:space="preserve"> </w:t>
      </w:r>
      <w:r w:rsidRPr="00B4092E">
        <w:rPr>
          <w:rFonts w:eastAsia="Times New Roman" w:cs="Arial"/>
          <w:color w:val="000000"/>
          <w:lang w:eastAsia="bg-BG"/>
        </w:rPr>
        <w:t>необходим е 7 дневен непрекъснат прием на таблетки за потискане на хипоталамо- хипофизарно-овариалната ос.</w:t>
      </w:r>
    </w:p>
    <w:p w14:paraId="0559F4A4" w14:textId="77777777" w:rsidR="00B4092E" w:rsidRPr="00B4092E" w:rsidRDefault="00B4092E" w:rsidP="00B4092E">
      <w:pPr>
        <w:spacing w:line="240" w:lineRule="auto"/>
        <w:rPr>
          <w:rFonts w:eastAsia="Times New Roman" w:cs="Arial"/>
          <w:color w:val="000000"/>
          <w:lang w:eastAsia="bg-BG"/>
        </w:rPr>
      </w:pPr>
    </w:p>
    <w:p w14:paraId="2F9ABFDB" w14:textId="4ED9673A"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Следователно, за всекидневата практика могат да бъдат дадени следните съвети:</w:t>
      </w:r>
    </w:p>
    <w:p w14:paraId="272D9DAD" w14:textId="77777777" w:rsidR="00B4092E" w:rsidRPr="00B4092E" w:rsidRDefault="00B4092E" w:rsidP="00B4092E">
      <w:pPr>
        <w:spacing w:line="240" w:lineRule="auto"/>
        <w:rPr>
          <w:rFonts w:eastAsia="Times New Roman" w:cs="Arial"/>
          <w:color w:val="000000"/>
          <w:lang w:eastAsia="bg-BG"/>
        </w:rPr>
      </w:pPr>
    </w:p>
    <w:p w14:paraId="5EBF0CD3" w14:textId="670ADF83" w:rsidR="00B4092E" w:rsidRPr="00B4092E" w:rsidRDefault="00B4092E" w:rsidP="00B4092E">
      <w:pPr>
        <w:pStyle w:val="ListParagraph"/>
        <w:numPr>
          <w:ilvl w:val="0"/>
          <w:numId w:val="40"/>
        </w:numPr>
        <w:spacing w:line="240" w:lineRule="auto"/>
        <w:rPr>
          <w:rFonts w:eastAsia="Times New Roman" w:cs="Arial"/>
          <w:color w:val="000000"/>
          <w:lang w:eastAsia="bg-BG"/>
        </w:rPr>
      </w:pPr>
      <w:r w:rsidRPr="00B4092E">
        <w:rPr>
          <w:rFonts w:eastAsia="Times New Roman" w:cs="Arial"/>
          <w:color w:val="000000"/>
          <w:lang w:eastAsia="bg-BG"/>
        </w:rPr>
        <w:t>Дни 1 - 7</w:t>
      </w:r>
    </w:p>
    <w:p w14:paraId="625BD371"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Пациентката трябва да приеме пропуснатата таблетка веднага щом си спомни, дори това да означава прием на две таблетки едновременно. Следващите таблетки се приемат в обичайното време. Необходимо е използването на допълнителни бариерни методи като презерватив в следващите 7 дни. В случай на полов контакт в предишните 7 дни не може да се изключи евентуална бременност. Колкото повече таблетки са пропуснати и колкото по-близо са те до фазата с плацебо таблетки, толкова по-голям е рискът от бременност.</w:t>
      </w:r>
    </w:p>
    <w:p w14:paraId="3E59BAB6" w14:textId="77777777" w:rsidR="00B4092E" w:rsidRPr="00B4092E" w:rsidRDefault="00B4092E" w:rsidP="00B4092E">
      <w:pPr>
        <w:spacing w:line="240" w:lineRule="auto"/>
        <w:rPr>
          <w:rFonts w:eastAsia="Times New Roman" w:cs="Arial"/>
          <w:color w:val="000000"/>
          <w:lang w:eastAsia="bg-BG"/>
        </w:rPr>
      </w:pPr>
    </w:p>
    <w:p w14:paraId="77CB7941" w14:textId="17E16E86" w:rsidR="00B4092E" w:rsidRPr="00B4092E" w:rsidRDefault="00B4092E" w:rsidP="00B4092E">
      <w:pPr>
        <w:pStyle w:val="ListParagraph"/>
        <w:numPr>
          <w:ilvl w:val="0"/>
          <w:numId w:val="40"/>
        </w:numPr>
        <w:spacing w:line="240" w:lineRule="auto"/>
        <w:rPr>
          <w:rFonts w:eastAsia="Times New Roman" w:cs="Arial"/>
          <w:color w:val="000000"/>
          <w:lang w:eastAsia="bg-BG"/>
        </w:rPr>
      </w:pPr>
      <w:r w:rsidRPr="00B4092E">
        <w:rPr>
          <w:rFonts w:eastAsia="Times New Roman" w:cs="Arial"/>
          <w:color w:val="000000"/>
          <w:lang w:eastAsia="bg-BG"/>
        </w:rPr>
        <w:t>Дни 8-14</w:t>
      </w:r>
    </w:p>
    <w:p w14:paraId="53F79F55"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Пациентката трябва да приеме пропуснатата таблетка веднага щом си спомни, дори това да означава прием на две таблетки едновременно. Следващите таблетки се приемат в обичайното време. При условие, че жената е приемала таблетките правилно през периода от 7 дни преди първата пропусната таблетка, не се налага употреба на допълнителни контрацептивни методи. Ако обаче, тя е пропуснала повече от 1 таблетка, жената трябва да бъде посъветвана да използва допълнителни предпазни мерки в продължение на 7 дни.</w:t>
      </w:r>
    </w:p>
    <w:p w14:paraId="13AA7223" w14:textId="77777777" w:rsidR="00B4092E" w:rsidRPr="00B4092E" w:rsidRDefault="00B4092E" w:rsidP="00B4092E">
      <w:pPr>
        <w:spacing w:line="240" w:lineRule="auto"/>
        <w:rPr>
          <w:rFonts w:eastAsia="Times New Roman" w:cs="Arial"/>
          <w:color w:val="000000"/>
          <w:lang w:eastAsia="bg-BG"/>
        </w:rPr>
      </w:pPr>
    </w:p>
    <w:p w14:paraId="5DA86F4C" w14:textId="120CE499" w:rsidR="00B4092E" w:rsidRPr="00B4092E" w:rsidRDefault="00B4092E" w:rsidP="00B4092E">
      <w:pPr>
        <w:pStyle w:val="ListParagraph"/>
        <w:numPr>
          <w:ilvl w:val="0"/>
          <w:numId w:val="40"/>
        </w:numPr>
        <w:spacing w:line="240" w:lineRule="auto"/>
        <w:rPr>
          <w:rFonts w:eastAsia="Times New Roman" w:cs="Arial"/>
          <w:color w:val="000000"/>
          <w:lang w:eastAsia="bg-BG"/>
        </w:rPr>
      </w:pPr>
      <w:r w:rsidRPr="00B4092E">
        <w:rPr>
          <w:rFonts w:eastAsia="Times New Roman" w:cs="Arial"/>
          <w:color w:val="000000"/>
          <w:lang w:eastAsia="bg-BG"/>
        </w:rPr>
        <w:t>Дни 15-24</w:t>
      </w:r>
    </w:p>
    <w:p w14:paraId="21C29446"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Съществува риск от намаляване на надежността, поради предстоящата фаза на плацебо таблетки. Въпреки това, чрез адаптиране на схемата на приема може все още да се предотврати намалената контрацептивна защита. При спазване на едно от следните две правила не е необходима употребата на допълнителни контрацептивни мерки, ако през всичките 7 дни преди първата пропусната таблетка, жената е приела правилно всички таблетки. В противен случай, пациентката трябва да бъде посъветвана да спази първото правило и същевременно да използва и допълнителни предпазни мерки в следващите 7 дни.</w:t>
      </w:r>
    </w:p>
    <w:p w14:paraId="3C8258A8" w14:textId="77777777" w:rsidR="00B4092E" w:rsidRPr="00B4092E" w:rsidRDefault="00B4092E" w:rsidP="00B4092E">
      <w:pPr>
        <w:spacing w:line="240" w:lineRule="auto"/>
        <w:rPr>
          <w:rFonts w:eastAsia="Times New Roman" w:cs="Arial"/>
          <w:color w:val="000000"/>
          <w:lang w:eastAsia="bg-BG"/>
        </w:rPr>
      </w:pPr>
    </w:p>
    <w:p w14:paraId="40BEF6DB" w14:textId="18A2E6F1"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lastRenderedPageBreak/>
        <w:t>1. Пациентката трябва да вземе последната пропусната таблетка веднага щом си спомни, дори това да означава да вземе 2 таблетки едновременно. След това приемът трябва да продължи в обичайното време, докато използва всички активни таблетки. 4-те плацебо таблетки от последната редица трябва да се игнорират. Следващата опаковка трябва да бъде започната веднага. Малко веротно е пациентката да получи отпадно кървене, докато не свърши частта с активите таблетки от втората опаковка, но може да се появи зацапване или пробивно кървене в дните, в които приема таблетките.</w:t>
      </w:r>
    </w:p>
    <w:p w14:paraId="7910F696"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2. Жената също така може да бъде посъветвана да преустанови приемането активни таблетки от текущата блистерна опаковка. Тогава тя трябва да взема плацебо таблетка от последната редица в продължение на не повече от 4 дни, включително дните, в които е пропуснала таблетки, и след това да продължи със следващата блистерна опаковка.</w:t>
      </w:r>
    </w:p>
    <w:p w14:paraId="04312BAB" w14:textId="77777777" w:rsidR="00B4092E" w:rsidRPr="00B4092E" w:rsidRDefault="00B4092E" w:rsidP="00B4092E">
      <w:pPr>
        <w:spacing w:line="240" w:lineRule="auto"/>
        <w:rPr>
          <w:rFonts w:eastAsia="Times New Roman" w:cs="Arial"/>
          <w:color w:val="000000"/>
          <w:lang w:eastAsia="bg-BG"/>
        </w:rPr>
      </w:pPr>
    </w:p>
    <w:p w14:paraId="1AD0E031" w14:textId="6F900C34"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Ако жената пропусне таблетки и след това не получи отпадно кървене, когато е на плацебо таблетки, трябва да се има пред вид, че съществува възможност за забременяване.</w:t>
      </w:r>
    </w:p>
    <w:p w14:paraId="31653A8A" w14:textId="77777777" w:rsidR="00B4092E" w:rsidRPr="00B4092E" w:rsidRDefault="00B4092E" w:rsidP="00B4092E">
      <w:pPr>
        <w:spacing w:line="240" w:lineRule="auto"/>
        <w:rPr>
          <w:rFonts w:eastAsia="Times New Roman" w:cs="Arial"/>
          <w:lang w:eastAsia="bg-BG"/>
        </w:rPr>
      </w:pPr>
    </w:p>
    <w:p w14:paraId="12D6152D" w14:textId="77777777" w:rsidR="00B4092E" w:rsidRPr="00B4092E" w:rsidRDefault="00B4092E" w:rsidP="00B4092E">
      <w:pPr>
        <w:spacing w:line="240" w:lineRule="auto"/>
        <w:rPr>
          <w:rFonts w:eastAsia="Times New Roman" w:cs="Arial"/>
          <w:lang w:eastAsia="bg-BG"/>
        </w:rPr>
      </w:pPr>
      <w:r w:rsidRPr="00B4092E">
        <w:rPr>
          <w:rFonts w:eastAsia="Times New Roman" w:cs="Arial"/>
          <w:b/>
          <w:bCs/>
          <w:color w:val="000000"/>
          <w:lang w:eastAsia="bg-BG"/>
        </w:rPr>
        <w:t>Съвет в случай на стомашно-чревни нарушения</w:t>
      </w:r>
    </w:p>
    <w:p w14:paraId="39F70CE8"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В случай на тежки стомашно-чревни нарушения (напр. повръщане или диария), абсорбцията може да не е пълна и трябва да се вземат допълнителни контрацептивни мерки. Ако се появи повръщане до 3- 4 часа след приема на таблетка, трябва колкото е възможно по-скоро да се вземе нова (заместваща) таблетка. Новата таблетка трябва да се вземе до 24 часа след обичайното време за вземане на таблетка, ако това е възможно. Ако са минали повече от 24 часа, трябва да се следва съветът за пропуснати таблетки, така както е даден в точка 4.2 „Поведение при пропуснати таблетки”. Ако жената не желае да промени своята обичайна схема на приемане на таблетки, тя трябва да вземе допълнителни таблетки от друга блистерна опаковка.</w:t>
      </w:r>
    </w:p>
    <w:p w14:paraId="512460A9" w14:textId="77777777" w:rsidR="00B4092E" w:rsidRPr="00B4092E" w:rsidRDefault="00B4092E" w:rsidP="00B4092E">
      <w:pPr>
        <w:spacing w:line="240" w:lineRule="auto"/>
        <w:rPr>
          <w:rFonts w:eastAsia="Times New Roman" w:cs="Arial"/>
          <w:b/>
          <w:bCs/>
          <w:color w:val="000000"/>
          <w:lang w:eastAsia="bg-BG"/>
        </w:rPr>
      </w:pPr>
    </w:p>
    <w:p w14:paraId="55B6E48A" w14:textId="64F2C960" w:rsidR="00B4092E" w:rsidRPr="00B4092E" w:rsidRDefault="00B4092E" w:rsidP="00B4092E">
      <w:pPr>
        <w:spacing w:line="240" w:lineRule="auto"/>
        <w:rPr>
          <w:rFonts w:eastAsia="Times New Roman" w:cs="Arial"/>
          <w:lang w:eastAsia="bg-BG"/>
        </w:rPr>
      </w:pPr>
      <w:r w:rsidRPr="00B4092E">
        <w:rPr>
          <w:rFonts w:eastAsia="Times New Roman" w:cs="Arial"/>
          <w:b/>
          <w:bCs/>
          <w:color w:val="000000"/>
          <w:lang w:eastAsia="bg-BG"/>
        </w:rPr>
        <w:t>Как да се отложи отпадното кървене</w:t>
      </w:r>
    </w:p>
    <w:p w14:paraId="646A6E2D"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За да се отложи във времето менструалният цикъл на жената, трябва да се продължи с друга блистерна опаковка Джаз без да се приемат плацебо таблетките от настоящата опаковка. Удължението може да бъде толкова дълго, колкото желаете до края на втората опаковка. По време на удължаването жената може да получи пробивно кървене или зацапване. Редовният прием на Джаз се възстановява след фазата с плацебо таблетките.</w:t>
      </w:r>
    </w:p>
    <w:p w14:paraId="51F21567" w14:textId="77777777" w:rsidR="00B4092E" w:rsidRPr="00B4092E" w:rsidRDefault="00B4092E" w:rsidP="00B4092E">
      <w:pPr>
        <w:spacing w:line="240" w:lineRule="auto"/>
        <w:rPr>
          <w:rFonts w:eastAsia="Times New Roman" w:cs="Arial"/>
          <w:color w:val="000000"/>
          <w:lang w:eastAsia="bg-BG"/>
        </w:rPr>
      </w:pPr>
    </w:p>
    <w:p w14:paraId="6211B1B3" w14:textId="7B9D05BD"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За преместване на цикъла в друг ден от седмицата, различен от използвания от жената при настоящата схема, тя може да бъде посъветвана да съкрати предстоящия интервал без прием на таблетки с толкова дни, колкото желае. Колкото по-къс е интервалът, толкова по-голям е рискът тя да не получи отпадно кървене, а да има пробивно кървене или зацапване по време на приема на следващата опаковка (точно както при забавяне появата на менструален цикъл).</w:t>
      </w:r>
    </w:p>
    <w:p w14:paraId="613FC93C" w14:textId="77777777" w:rsidR="00B4092E" w:rsidRPr="00B4092E" w:rsidRDefault="00B4092E" w:rsidP="00B4092E">
      <w:pPr>
        <w:spacing w:line="240" w:lineRule="auto"/>
        <w:rPr>
          <w:rFonts w:eastAsia="Times New Roman" w:cs="Arial"/>
          <w:b/>
          <w:bCs/>
          <w:i/>
          <w:iCs/>
          <w:color w:val="000000"/>
          <w:lang w:eastAsia="bg-BG"/>
        </w:rPr>
      </w:pPr>
    </w:p>
    <w:p w14:paraId="5BDB1BCF" w14:textId="4F2BE011" w:rsidR="00B4092E" w:rsidRPr="00B4092E" w:rsidRDefault="00B4092E" w:rsidP="00B4092E">
      <w:pPr>
        <w:spacing w:line="240" w:lineRule="auto"/>
        <w:rPr>
          <w:rFonts w:eastAsia="Times New Roman" w:cs="Arial"/>
          <w:lang w:eastAsia="bg-BG"/>
        </w:rPr>
      </w:pPr>
      <w:r w:rsidRPr="00B4092E">
        <w:rPr>
          <w:rFonts w:eastAsia="Times New Roman" w:cs="Arial"/>
          <w:b/>
          <w:bCs/>
          <w:i/>
          <w:iCs/>
          <w:color w:val="000000"/>
          <w:lang w:eastAsia="bg-BG"/>
        </w:rPr>
        <w:t>Допълнителна информация за специални популации</w:t>
      </w:r>
    </w:p>
    <w:p w14:paraId="42EFD83A" w14:textId="77777777" w:rsidR="00B4092E" w:rsidRPr="00B4092E" w:rsidRDefault="00B4092E" w:rsidP="00B4092E">
      <w:pPr>
        <w:spacing w:line="240" w:lineRule="auto"/>
        <w:rPr>
          <w:rFonts w:eastAsia="Times New Roman" w:cs="Arial"/>
          <w:i/>
          <w:iCs/>
          <w:color w:val="000000"/>
          <w:lang w:eastAsia="bg-BG"/>
        </w:rPr>
      </w:pPr>
    </w:p>
    <w:p w14:paraId="7FC6B0BB" w14:textId="59B65536" w:rsidR="00B4092E" w:rsidRPr="00B4092E" w:rsidRDefault="00B4092E" w:rsidP="00B4092E">
      <w:pPr>
        <w:spacing w:line="240" w:lineRule="auto"/>
        <w:rPr>
          <w:rFonts w:eastAsia="Times New Roman" w:cs="Arial"/>
          <w:lang w:eastAsia="bg-BG"/>
        </w:rPr>
      </w:pPr>
      <w:r w:rsidRPr="00B4092E">
        <w:rPr>
          <w:rFonts w:eastAsia="Times New Roman" w:cs="Arial"/>
          <w:i/>
          <w:iCs/>
          <w:color w:val="000000"/>
          <w:lang w:eastAsia="bg-BG"/>
        </w:rPr>
        <w:t>Педиатрична популация</w:t>
      </w:r>
    </w:p>
    <w:p w14:paraId="047702A7"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Джаз е показан за приложение само след менархе.</w:t>
      </w:r>
    </w:p>
    <w:p w14:paraId="0FAC228E" w14:textId="77777777" w:rsidR="00B4092E" w:rsidRPr="00B4092E" w:rsidRDefault="00B4092E" w:rsidP="00B4092E">
      <w:pPr>
        <w:spacing w:line="240" w:lineRule="auto"/>
        <w:rPr>
          <w:rFonts w:eastAsia="Times New Roman" w:cs="Arial"/>
          <w:i/>
          <w:iCs/>
          <w:color w:val="000000"/>
          <w:lang w:eastAsia="bg-BG"/>
        </w:rPr>
      </w:pPr>
    </w:p>
    <w:p w14:paraId="64AD78F0" w14:textId="475B2BCD" w:rsidR="00B4092E" w:rsidRPr="00B4092E" w:rsidRDefault="00B4092E" w:rsidP="00B4092E">
      <w:pPr>
        <w:spacing w:line="240" w:lineRule="auto"/>
        <w:rPr>
          <w:rFonts w:eastAsia="Times New Roman" w:cs="Arial"/>
          <w:lang w:eastAsia="bg-BG"/>
        </w:rPr>
      </w:pPr>
      <w:r w:rsidRPr="00B4092E">
        <w:rPr>
          <w:rFonts w:eastAsia="Times New Roman" w:cs="Arial"/>
          <w:i/>
          <w:iCs/>
          <w:color w:val="000000"/>
          <w:lang w:eastAsia="bg-BG"/>
        </w:rPr>
        <w:t>Старческа възраст</w:t>
      </w:r>
    </w:p>
    <w:p w14:paraId="6E0578D5"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Джаз не е показан за приложение след менопауза.</w:t>
      </w:r>
    </w:p>
    <w:p w14:paraId="3880FC48" w14:textId="77777777" w:rsidR="00B4092E" w:rsidRPr="00B4092E" w:rsidRDefault="00B4092E" w:rsidP="00B4092E">
      <w:pPr>
        <w:spacing w:line="240" w:lineRule="auto"/>
        <w:rPr>
          <w:rFonts w:eastAsia="Times New Roman" w:cs="Arial"/>
          <w:i/>
          <w:iCs/>
          <w:color w:val="000000"/>
          <w:lang w:eastAsia="bg-BG"/>
        </w:rPr>
      </w:pPr>
    </w:p>
    <w:p w14:paraId="62F987ED" w14:textId="7EB673AF" w:rsidR="00B4092E" w:rsidRPr="00B4092E" w:rsidRDefault="00B4092E" w:rsidP="00B4092E">
      <w:pPr>
        <w:spacing w:line="240" w:lineRule="auto"/>
        <w:rPr>
          <w:rFonts w:eastAsia="Times New Roman" w:cs="Arial"/>
          <w:lang w:eastAsia="bg-BG"/>
        </w:rPr>
      </w:pPr>
      <w:r w:rsidRPr="00B4092E">
        <w:rPr>
          <w:rFonts w:eastAsia="Times New Roman" w:cs="Arial"/>
          <w:i/>
          <w:iCs/>
          <w:color w:val="000000"/>
          <w:lang w:eastAsia="bg-BG"/>
        </w:rPr>
        <w:t>Пациенти с чернодробно увреждане</w:t>
      </w:r>
    </w:p>
    <w:p w14:paraId="19E07561"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lastRenderedPageBreak/>
        <w:t>Джаз е противопоказан при жени с тежки чернодробни заболявалия. Вижте също точки 4.3 и 5.2.</w:t>
      </w:r>
    </w:p>
    <w:p w14:paraId="6D94C0D4" w14:textId="77777777" w:rsidR="00B4092E" w:rsidRPr="00B4092E" w:rsidRDefault="00B4092E" w:rsidP="00B4092E">
      <w:pPr>
        <w:spacing w:line="240" w:lineRule="auto"/>
        <w:rPr>
          <w:rFonts w:eastAsia="Times New Roman" w:cs="Arial"/>
          <w:i/>
          <w:iCs/>
          <w:color w:val="000000"/>
          <w:lang w:eastAsia="bg-BG"/>
        </w:rPr>
      </w:pPr>
    </w:p>
    <w:p w14:paraId="5303BB64" w14:textId="023CB267" w:rsidR="00B4092E" w:rsidRPr="00B4092E" w:rsidRDefault="00B4092E" w:rsidP="00B4092E">
      <w:pPr>
        <w:spacing w:line="240" w:lineRule="auto"/>
        <w:rPr>
          <w:rFonts w:eastAsia="Times New Roman" w:cs="Arial"/>
          <w:lang w:eastAsia="bg-BG"/>
        </w:rPr>
      </w:pPr>
      <w:r w:rsidRPr="00B4092E">
        <w:rPr>
          <w:rFonts w:eastAsia="Times New Roman" w:cs="Arial"/>
          <w:i/>
          <w:iCs/>
          <w:color w:val="000000"/>
          <w:lang w:eastAsia="bg-BG"/>
        </w:rPr>
        <w:t>Пациенти с бъбречно увреждане</w:t>
      </w:r>
    </w:p>
    <w:p w14:paraId="5138CB29"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Джаз е противопоказан при жени с тежка бъбречна недостатъчност или остра бъбречна недостатъчност. Вижте също точки 4.3 и 5.2.</w:t>
      </w:r>
    </w:p>
    <w:p w14:paraId="1CE7C351" w14:textId="77777777" w:rsidR="00B4092E" w:rsidRPr="00B4092E" w:rsidRDefault="00B4092E" w:rsidP="00B4092E">
      <w:pPr>
        <w:spacing w:line="240" w:lineRule="auto"/>
        <w:rPr>
          <w:rFonts w:eastAsia="Times New Roman" w:cs="Arial"/>
          <w:color w:val="000000"/>
          <w:u w:val="single"/>
          <w:lang w:eastAsia="bg-BG"/>
        </w:rPr>
      </w:pPr>
    </w:p>
    <w:p w14:paraId="0AD6C9F3" w14:textId="6717F390" w:rsidR="00B4092E" w:rsidRPr="00B4092E" w:rsidRDefault="00B4092E" w:rsidP="00B4092E">
      <w:pPr>
        <w:pStyle w:val="Heading3"/>
        <w:rPr>
          <w:rFonts w:eastAsia="Times New Roman"/>
          <w:u w:val="single"/>
          <w:lang w:eastAsia="bg-BG"/>
        </w:rPr>
      </w:pPr>
      <w:r w:rsidRPr="00B4092E">
        <w:rPr>
          <w:rFonts w:eastAsia="Times New Roman"/>
          <w:u w:val="single"/>
          <w:lang w:eastAsia="bg-BG"/>
        </w:rPr>
        <w:t>Начин на приложение</w:t>
      </w:r>
    </w:p>
    <w:p w14:paraId="6D0E31E3"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Перорално приложение.</w:t>
      </w:r>
    </w:p>
    <w:p w14:paraId="51A56D6D" w14:textId="77777777" w:rsidR="00B4092E" w:rsidRPr="00B4092E" w:rsidRDefault="00B4092E" w:rsidP="00B4092E"/>
    <w:p w14:paraId="5D9E65DA" w14:textId="37CC7594" w:rsidR="009F77A4" w:rsidRDefault="002C50EE" w:rsidP="00387A66">
      <w:pPr>
        <w:pStyle w:val="Heading2"/>
      </w:pPr>
      <w:r>
        <w:t>4.3. Противопоказания</w:t>
      </w:r>
    </w:p>
    <w:p w14:paraId="0EFA0D32" w14:textId="77777777" w:rsidR="00B4092E" w:rsidRDefault="00B4092E" w:rsidP="00B4092E"/>
    <w:p w14:paraId="0A260BBF" w14:textId="77777777"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Комбинираните хормонални контрацептиви (КХК) не трябва да се използват при следните състояния. Ако някое от тези състояния се появи за първи път при прилагане на КХК, приемането на лекарствения продукт трябва незабавно да бъде преустановено.</w:t>
      </w:r>
      <w:r w:rsidRPr="00B4092E">
        <w:rPr>
          <w:rFonts w:eastAsia="Times New Roman" w:cs="Arial"/>
          <w:color w:val="000000"/>
          <w:lang w:eastAsia="bg-BG"/>
        </w:rPr>
        <w:tab/>
      </w:r>
      <w:r w:rsidRPr="00B4092E">
        <w:rPr>
          <w:rFonts w:eastAsia="Times New Roman" w:cs="Arial"/>
          <w:color w:val="000000"/>
          <w:lang w:eastAsia="bg-BG"/>
        </w:rPr>
        <w:tab/>
      </w:r>
    </w:p>
    <w:p w14:paraId="709D554E" w14:textId="77777777" w:rsidR="00B4092E" w:rsidRPr="00B4092E" w:rsidRDefault="00B4092E" w:rsidP="00B4092E">
      <w:pPr>
        <w:pStyle w:val="ListParagraph"/>
        <w:numPr>
          <w:ilvl w:val="0"/>
          <w:numId w:val="40"/>
        </w:numPr>
        <w:spacing w:line="240" w:lineRule="auto"/>
        <w:rPr>
          <w:rFonts w:eastAsia="Times New Roman" w:cs="Arial"/>
          <w:color w:val="000000"/>
          <w:lang w:eastAsia="bg-BG"/>
        </w:rPr>
      </w:pPr>
      <w:r w:rsidRPr="00B4092E">
        <w:rPr>
          <w:rFonts w:eastAsia="Times New Roman" w:cs="Arial"/>
          <w:color w:val="000000"/>
          <w:lang w:eastAsia="bg-BG"/>
        </w:rPr>
        <w:t>Наличие на или риск от венозна тромбоемболия (ВТЕ)</w:t>
      </w:r>
    </w:p>
    <w:p w14:paraId="5EDE9702" w14:textId="77777777"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о Венозна тромбоемболия - настояща ВТЕ (на антикоагуланти) или анамнеза за такава</w:t>
      </w:r>
    </w:p>
    <w:p w14:paraId="1C54035E" w14:textId="77777777"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(напр. дълбока венозна тромбоза [ДВТ] или белодробна емболия [БЕ])</w:t>
      </w:r>
    </w:p>
    <w:p w14:paraId="11536347" w14:textId="77777777"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 xml:space="preserve">о Известно наследствено или придобито предразположние към венозна тромбоемболия, като резистентност към активиран протеин С (АРС) (включително фактор V на </w:t>
      </w:r>
      <w:r w:rsidRPr="00B4092E">
        <w:rPr>
          <w:rFonts w:eastAsia="Times New Roman" w:cs="Arial"/>
          <w:color w:val="000000"/>
          <w:lang w:val="en-US"/>
        </w:rPr>
        <w:t xml:space="preserve">Leiden), </w:t>
      </w:r>
      <w:r w:rsidRPr="00B4092E">
        <w:rPr>
          <w:rFonts w:eastAsia="Times New Roman" w:cs="Arial"/>
          <w:color w:val="000000"/>
          <w:lang w:eastAsia="bg-BG"/>
        </w:rPr>
        <w:t xml:space="preserve">дефицит на антитромбин </w:t>
      </w:r>
      <w:r w:rsidRPr="00B4092E">
        <w:rPr>
          <w:rFonts w:eastAsia="Times New Roman" w:cs="Arial"/>
          <w:color w:val="000000"/>
          <w:lang w:val="en-US"/>
        </w:rPr>
        <w:t>III</w:t>
      </w:r>
      <w:r w:rsidRPr="00B4092E">
        <w:rPr>
          <w:rFonts w:eastAsia="Times New Roman" w:cs="Arial"/>
          <w:color w:val="000000"/>
          <w:lang w:eastAsia="bg-BG"/>
        </w:rPr>
        <w:t xml:space="preserve">, дефицит на протеин С, дефицит на протеин </w:t>
      </w:r>
      <w:r w:rsidRPr="00B4092E">
        <w:rPr>
          <w:rFonts w:eastAsia="Times New Roman" w:cs="Arial"/>
          <w:color w:val="000000"/>
          <w:lang w:val="en-US"/>
        </w:rPr>
        <w:t>S</w:t>
      </w:r>
    </w:p>
    <w:p w14:paraId="47146366" w14:textId="77777777"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о Голяма хирургична намеса с продължителна имобилизация (вж. точка 4.4)</w:t>
      </w:r>
    </w:p>
    <w:p w14:paraId="74361A44" w14:textId="77777777"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о Висок риск за венозна тромбоемболия вследствие на наличие на множество рискови фактори (вж. точка 4.4)</w:t>
      </w:r>
    </w:p>
    <w:p w14:paraId="7D10560C" w14:textId="77777777" w:rsidR="00B4092E" w:rsidRPr="00B4092E" w:rsidRDefault="00B4092E" w:rsidP="00B4092E">
      <w:pPr>
        <w:spacing w:line="240" w:lineRule="auto"/>
        <w:rPr>
          <w:rFonts w:eastAsia="Times New Roman" w:cs="Arial"/>
          <w:color w:val="000000"/>
          <w:lang w:eastAsia="bg-BG"/>
        </w:rPr>
      </w:pPr>
    </w:p>
    <w:p w14:paraId="5A9A9737" w14:textId="66B30694" w:rsidR="00B4092E" w:rsidRPr="00B4092E" w:rsidRDefault="00B4092E" w:rsidP="00B4092E">
      <w:pPr>
        <w:pStyle w:val="ListParagraph"/>
        <w:numPr>
          <w:ilvl w:val="0"/>
          <w:numId w:val="40"/>
        </w:numPr>
        <w:spacing w:line="240" w:lineRule="auto"/>
        <w:rPr>
          <w:rFonts w:eastAsia="Times New Roman" w:cs="Arial"/>
          <w:sz w:val="24"/>
          <w:szCs w:val="24"/>
          <w:lang w:eastAsia="bg-BG"/>
        </w:rPr>
      </w:pPr>
      <w:r w:rsidRPr="00B4092E">
        <w:rPr>
          <w:rFonts w:eastAsia="Times New Roman" w:cs="Arial"/>
          <w:color w:val="000000"/>
          <w:lang w:eastAsia="bg-BG"/>
        </w:rPr>
        <w:t>Наличие на или риск от артериална тромбоемболия (АТЕ)</w:t>
      </w:r>
    </w:p>
    <w:p w14:paraId="77A80433" w14:textId="77777777"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о Артериална тромбоемболия - настояща артериална тромбоемболия, анамнеза за артериална тромбоемболия (напр. инфаркт на миокарда) или продромално състояние (напр. стенокардия)</w:t>
      </w:r>
    </w:p>
    <w:p w14:paraId="03B615F6" w14:textId="77777777"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о Мозъчно-съдова болест - настоящ инсулт, анамнеза за инсулт или продромално състояние (напр. преходна исхемична атака, ПИА)</w:t>
      </w:r>
    </w:p>
    <w:p w14:paraId="7B753489" w14:textId="77777777"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о Известно наследствено или придобито предразположение към артериална тромбоемболия, като хиперхомоцистеинемия и антифосфолипидни антитела (антикардиолипинови антитела, лупусен антикоагулант).</w:t>
      </w:r>
    </w:p>
    <w:p w14:paraId="5A6D787C" w14:textId="77777777"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о Анамнеза за мигрена с фокални неврологични симптоми.</w:t>
      </w:r>
    </w:p>
    <w:p w14:paraId="34B40BAF" w14:textId="77777777"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о Висок риск от артериална тромбоемболия вследствие на множество рискови фактори (вж. точка 4.4) или на наличието на един сериозен рисков фактор, като например:</w:t>
      </w:r>
    </w:p>
    <w:p w14:paraId="34A22054" w14:textId="77777777" w:rsidR="00B4092E" w:rsidRPr="00B4092E" w:rsidRDefault="00B4092E" w:rsidP="00B4092E">
      <w:pPr>
        <w:pStyle w:val="ListParagraph"/>
        <w:numPr>
          <w:ilvl w:val="0"/>
          <w:numId w:val="40"/>
        </w:numPr>
        <w:spacing w:line="240" w:lineRule="auto"/>
        <w:rPr>
          <w:rFonts w:eastAsia="Times New Roman" w:cs="Arial"/>
          <w:color w:val="000000"/>
          <w:lang w:eastAsia="bg-BG"/>
        </w:rPr>
      </w:pPr>
      <w:r w:rsidRPr="00B4092E">
        <w:rPr>
          <w:rFonts w:eastAsia="Times New Roman" w:cs="Arial"/>
          <w:color w:val="000000"/>
          <w:lang w:eastAsia="bg-BG"/>
        </w:rPr>
        <w:t>захарен диабет със съдови симптоми</w:t>
      </w:r>
    </w:p>
    <w:p w14:paraId="29BD8211" w14:textId="77777777" w:rsidR="00B4092E" w:rsidRPr="00B4092E" w:rsidRDefault="00B4092E" w:rsidP="00B4092E">
      <w:pPr>
        <w:pStyle w:val="ListParagraph"/>
        <w:numPr>
          <w:ilvl w:val="0"/>
          <w:numId w:val="40"/>
        </w:numPr>
        <w:spacing w:line="240" w:lineRule="auto"/>
        <w:rPr>
          <w:rFonts w:eastAsia="Times New Roman" w:cs="Arial"/>
          <w:color w:val="000000"/>
          <w:lang w:eastAsia="bg-BG"/>
        </w:rPr>
      </w:pPr>
      <w:r w:rsidRPr="00B4092E">
        <w:rPr>
          <w:rFonts w:eastAsia="Times New Roman" w:cs="Arial"/>
          <w:color w:val="000000"/>
          <w:lang w:eastAsia="bg-BG"/>
        </w:rPr>
        <w:t>тежка хипертония</w:t>
      </w:r>
    </w:p>
    <w:p w14:paraId="383C6FEC" w14:textId="77777777" w:rsidR="00B4092E" w:rsidRPr="00B4092E" w:rsidRDefault="00B4092E" w:rsidP="00B4092E">
      <w:pPr>
        <w:pStyle w:val="ListParagraph"/>
        <w:numPr>
          <w:ilvl w:val="0"/>
          <w:numId w:val="40"/>
        </w:numPr>
        <w:spacing w:line="240" w:lineRule="auto"/>
        <w:rPr>
          <w:rFonts w:eastAsia="Times New Roman" w:cs="Arial"/>
          <w:color w:val="000000"/>
          <w:lang w:eastAsia="bg-BG"/>
        </w:rPr>
      </w:pPr>
      <w:r w:rsidRPr="00B4092E">
        <w:rPr>
          <w:rFonts w:eastAsia="Times New Roman" w:cs="Arial"/>
          <w:color w:val="000000"/>
          <w:lang w:eastAsia="bg-BG"/>
        </w:rPr>
        <w:t>тежка дислипопротеинемия</w:t>
      </w:r>
    </w:p>
    <w:p w14:paraId="655D702A" w14:textId="77777777" w:rsidR="00B4092E" w:rsidRPr="00B4092E" w:rsidRDefault="00B4092E" w:rsidP="00B4092E">
      <w:pPr>
        <w:pStyle w:val="ListParagraph"/>
        <w:numPr>
          <w:ilvl w:val="0"/>
          <w:numId w:val="40"/>
        </w:numPr>
        <w:spacing w:line="240" w:lineRule="auto"/>
        <w:rPr>
          <w:rFonts w:eastAsia="Times New Roman" w:cs="Arial"/>
          <w:color w:val="000000"/>
          <w:lang w:eastAsia="bg-BG"/>
        </w:rPr>
      </w:pPr>
      <w:r w:rsidRPr="00B4092E">
        <w:rPr>
          <w:rFonts w:eastAsia="Times New Roman" w:cs="Arial"/>
          <w:color w:val="000000"/>
          <w:lang w:eastAsia="bg-BG"/>
        </w:rPr>
        <w:t>Съществуващо или анамнестично тежко чернодробно заболяване при положение, че чернодробните функционални стойности не са се върнали към норма</w:t>
      </w:r>
    </w:p>
    <w:p w14:paraId="686093F1" w14:textId="77777777" w:rsidR="00B4092E" w:rsidRPr="00B4092E" w:rsidRDefault="00B4092E" w:rsidP="00B4092E">
      <w:pPr>
        <w:pStyle w:val="ListParagraph"/>
        <w:numPr>
          <w:ilvl w:val="0"/>
          <w:numId w:val="40"/>
        </w:numPr>
        <w:spacing w:line="240" w:lineRule="auto"/>
        <w:rPr>
          <w:rFonts w:eastAsia="Times New Roman" w:cs="Arial"/>
          <w:color w:val="000000"/>
          <w:lang w:eastAsia="bg-BG"/>
        </w:rPr>
      </w:pPr>
      <w:r w:rsidRPr="00B4092E">
        <w:rPr>
          <w:rFonts w:eastAsia="Times New Roman" w:cs="Arial"/>
          <w:color w:val="000000"/>
          <w:lang w:eastAsia="bg-BG"/>
        </w:rPr>
        <w:t>Тежка бъбречна недостатъчност или остра бъбречна недостатъчност</w:t>
      </w:r>
    </w:p>
    <w:p w14:paraId="0AF74DFD" w14:textId="77777777" w:rsidR="00B4092E" w:rsidRPr="00B4092E" w:rsidRDefault="00B4092E" w:rsidP="00B4092E">
      <w:pPr>
        <w:pStyle w:val="ListParagraph"/>
        <w:numPr>
          <w:ilvl w:val="0"/>
          <w:numId w:val="40"/>
        </w:numPr>
        <w:spacing w:line="240" w:lineRule="auto"/>
        <w:rPr>
          <w:rFonts w:eastAsia="Times New Roman" w:cs="Arial"/>
          <w:color w:val="000000"/>
          <w:lang w:eastAsia="bg-BG"/>
        </w:rPr>
      </w:pPr>
      <w:r w:rsidRPr="00B4092E">
        <w:rPr>
          <w:rFonts w:eastAsia="Times New Roman" w:cs="Arial"/>
          <w:color w:val="000000"/>
          <w:lang w:eastAsia="bg-BG"/>
        </w:rPr>
        <w:t>Съществуващи или анамнестични чернодробни тумори (доброкачествени или злокачествени)</w:t>
      </w:r>
    </w:p>
    <w:p w14:paraId="5D863CE2" w14:textId="77777777" w:rsidR="00B4092E" w:rsidRPr="00B4092E" w:rsidRDefault="00B4092E" w:rsidP="00B4092E">
      <w:pPr>
        <w:pStyle w:val="ListParagraph"/>
        <w:numPr>
          <w:ilvl w:val="0"/>
          <w:numId w:val="40"/>
        </w:numPr>
        <w:spacing w:line="240" w:lineRule="auto"/>
        <w:rPr>
          <w:rFonts w:eastAsia="Times New Roman" w:cs="Arial"/>
          <w:color w:val="000000"/>
          <w:lang w:eastAsia="bg-BG"/>
        </w:rPr>
      </w:pPr>
      <w:r w:rsidRPr="00B4092E">
        <w:rPr>
          <w:rFonts w:eastAsia="Times New Roman" w:cs="Arial"/>
          <w:color w:val="000000"/>
          <w:lang w:eastAsia="bg-BG"/>
        </w:rPr>
        <w:t>Доказано или суспектно злокачествено заболяване повлияно от полови хормони (например на гениталиите или гърдите)</w:t>
      </w:r>
    </w:p>
    <w:p w14:paraId="6D3EBD75" w14:textId="77777777" w:rsidR="00B4092E" w:rsidRPr="00B4092E" w:rsidRDefault="00B4092E" w:rsidP="00B4092E">
      <w:pPr>
        <w:pStyle w:val="ListParagraph"/>
        <w:numPr>
          <w:ilvl w:val="0"/>
          <w:numId w:val="40"/>
        </w:numPr>
        <w:spacing w:line="240" w:lineRule="auto"/>
        <w:rPr>
          <w:rFonts w:eastAsia="Times New Roman" w:cs="Arial"/>
          <w:color w:val="000000"/>
          <w:lang w:eastAsia="bg-BG"/>
        </w:rPr>
      </w:pPr>
      <w:r w:rsidRPr="00B4092E">
        <w:rPr>
          <w:rFonts w:eastAsia="Times New Roman" w:cs="Arial"/>
          <w:color w:val="000000"/>
          <w:lang w:eastAsia="bg-BG"/>
        </w:rPr>
        <w:t>Недиагностицирано вагинално кървене</w:t>
      </w:r>
    </w:p>
    <w:p w14:paraId="41255819" w14:textId="0E0B9423" w:rsidR="00B4092E" w:rsidRPr="00B4092E" w:rsidRDefault="00B4092E" w:rsidP="00B4092E">
      <w:pPr>
        <w:pStyle w:val="ListParagraph"/>
        <w:numPr>
          <w:ilvl w:val="0"/>
          <w:numId w:val="40"/>
        </w:numPr>
        <w:spacing w:line="240" w:lineRule="auto"/>
        <w:rPr>
          <w:rFonts w:eastAsia="Times New Roman" w:cs="Arial"/>
          <w:color w:val="000000"/>
          <w:lang w:eastAsia="bg-BG"/>
        </w:rPr>
      </w:pPr>
      <w:r w:rsidRPr="00B4092E">
        <w:rPr>
          <w:rFonts w:eastAsia="Times New Roman" w:cs="Arial"/>
          <w:color w:val="000000"/>
          <w:lang w:eastAsia="bg-BG"/>
        </w:rPr>
        <w:lastRenderedPageBreak/>
        <w:t>Свръхчувствителност към активните вещества или към някое от помощните вещества, изброени в точка 6.1</w:t>
      </w:r>
    </w:p>
    <w:p w14:paraId="14D0E5D2" w14:textId="77777777" w:rsidR="00B4092E" w:rsidRPr="00B4092E" w:rsidRDefault="00B4092E" w:rsidP="00B4092E">
      <w:pPr>
        <w:spacing w:line="240" w:lineRule="auto"/>
        <w:rPr>
          <w:rFonts w:eastAsia="Times New Roman" w:cs="Arial"/>
          <w:color w:val="000000"/>
          <w:lang w:eastAsia="bg-BG"/>
        </w:rPr>
      </w:pPr>
    </w:p>
    <w:p w14:paraId="50B18442" w14:textId="1AF71AEE" w:rsidR="00B4092E" w:rsidRPr="00B4092E" w:rsidRDefault="00B4092E" w:rsidP="00B4092E">
      <w:pPr>
        <w:spacing w:line="240" w:lineRule="auto"/>
        <w:rPr>
          <w:rFonts w:ascii="Times New Roman" w:eastAsia="Times New Roman" w:hAnsi="Times New Roman" w:cs="Times New Roman"/>
          <w:sz w:val="24"/>
          <w:szCs w:val="24"/>
          <w:lang w:eastAsia="bg-BG"/>
        </w:rPr>
      </w:pPr>
      <w:r w:rsidRPr="00B4092E">
        <w:rPr>
          <w:rFonts w:eastAsia="Times New Roman" w:cs="Arial"/>
          <w:color w:val="000000"/>
          <w:lang w:eastAsia="bg-BG"/>
        </w:rPr>
        <w:t xml:space="preserve">Употребата на Джаз (етинилестрадиол 0,02 </w:t>
      </w:r>
      <w:r w:rsidRPr="00B4092E">
        <w:rPr>
          <w:rFonts w:eastAsia="Times New Roman" w:cs="Arial"/>
          <w:color w:val="000000"/>
          <w:lang w:val="en-US"/>
        </w:rPr>
        <w:t xml:space="preserve">mg </w:t>
      </w:r>
      <w:r w:rsidRPr="00B4092E">
        <w:rPr>
          <w:rFonts w:eastAsia="Times New Roman" w:cs="Arial"/>
          <w:color w:val="000000"/>
          <w:lang w:eastAsia="bg-BG"/>
        </w:rPr>
        <w:t xml:space="preserve">и дроспиренон 3 </w:t>
      </w:r>
      <w:r w:rsidRPr="00B4092E">
        <w:rPr>
          <w:rFonts w:eastAsia="Times New Roman" w:cs="Arial"/>
          <w:color w:val="000000"/>
          <w:lang w:val="en-US"/>
        </w:rPr>
        <w:t xml:space="preserve">mg) </w:t>
      </w:r>
      <w:r w:rsidRPr="00B4092E">
        <w:rPr>
          <w:rFonts w:eastAsia="Times New Roman" w:cs="Arial"/>
          <w:color w:val="000000"/>
          <w:lang w:eastAsia="bg-BG"/>
        </w:rPr>
        <w:t>филмирани таблетки е противопоказана едновременно с лекарствени продукти, съдържащи омбитасвир/паритапревир/ритонавир и дазабувир, лекарствени продукти, съдържащи глекапревир/пибрентасвир или софосбувир/велпатасвир/воксилапревир (вж. точка 4.5).</w:t>
      </w:r>
    </w:p>
    <w:p w14:paraId="029FDC64" w14:textId="77777777" w:rsidR="00B4092E" w:rsidRPr="00B4092E" w:rsidRDefault="00B4092E" w:rsidP="00B4092E"/>
    <w:p w14:paraId="1C27CE53" w14:textId="39C79156" w:rsidR="009F77A4" w:rsidRDefault="002C50EE" w:rsidP="00387A66">
      <w:pPr>
        <w:pStyle w:val="Heading2"/>
      </w:pPr>
      <w:r>
        <w:t>4.4. Специални предупреждения и предпазни мерки при употреба</w:t>
      </w:r>
    </w:p>
    <w:p w14:paraId="201081EB" w14:textId="77777777" w:rsidR="00B4092E" w:rsidRDefault="00B4092E" w:rsidP="00B4092E"/>
    <w:p w14:paraId="6DCE6351" w14:textId="77777777" w:rsidR="00B4092E" w:rsidRPr="00B4092E" w:rsidRDefault="00B4092E" w:rsidP="00B4092E">
      <w:pPr>
        <w:spacing w:line="240" w:lineRule="auto"/>
        <w:rPr>
          <w:rFonts w:eastAsia="Times New Roman" w:cs="Arial"/>
          <w:sz w:val="24"/>
          <w:szCs w:val="24"/>
          <w:lang w:eastAsia="bg-BG"/>
        </w:rPr>
      </w:pPr>
      <w:r w:rsidRPr="00B4092E">
        <w:rPr>
          <w:rFonts w:eastAsia="Times New Roman" w:cs="Arial"/>
          <w:b/>
          <w:bCs/>
          <w:color w:val="000000"/>
          <w:lang w:eastAsia="bg-BG"/>
        </w:rPr>
        <w:t>Предупреждения</w:t>
      </w:r>
    </w:p>
    <w:p w14:paraId="3BADCA33" w14:textId="77777777" w:rsidR="00B4092E" w:rsidRPr="00B4092E" w:rsidRDefault="00B4092E" w:rsidP="00B4092E">
      <w:pPr>
        <w:spacing w:line="240" w:lineRule="auto"/>
        <w:rPr>
          <w:rFonts w:eastAsia="Times New Roman" w:cs="Arial"/>
          <w:color w:val="000000"/>
          <w:lang w:eastAsia="bg-BG"/>
        </w:rPr>
      </w:pPr>
    </w:p>
    <w:p w14:paraId="21C514C9" w14:textId="1F4881F1"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Ако е налично някое от споменатите по-долу състояния или рискови фактори, трябва да се обсъди с жената дали Джаз е подходящ.</w:t>
      </w:r>
    </w:p>
    <w:p w14:paraId="5C51E242" w14:textId="77777777" w:rsidR="00B4092E" w:rsidRPr="00B4092E" w:rsidRDefault="00B4092E" w:rsidP="00B4092E">
      <w:pPr>
        <w:spacing w:line="240" w:lineRule="auto"/>
        <w:rPr>
          <w:rFonts w:eastAsia="Times New Roman" w:cs="Arial"/>
          <w:color w:val="000000"/>
          <w:lang w:eastAsia="bg-BG"/>
        </w:rPr>
      </w:pPr>
    </w:p>
    <w:p w14:paraId="20BB2E53" w14:textId="1532E397"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В случай на влошаване или първа поява на някое от тези състояния или рискови фактори, жената трябва да бъде посъветвана да се свърже със своя лекар, за да се определи дали употребата на Джаз трябва да се прекрати.</w:t>
      </w:r>
    </w:p>
    <w:p w14:paraId="62C08627" w14:textId="77777777" w:rsidR="00B4092E" w:rsidRPr="00B4092E" w:rsidRDefault="00B4092E" w:rsidP="00B4092E">
      <w:pPr>
        <w:spacing w:line="240" w:lineRule="auto"/>
        <w:rPr>
          <w:rFonts w:eastAsia="Times New Roman" w:cs="Arial"/>
          <w:color w:val="000000"/>
          <w:lang w:eastAsia="bg-BG"/>
        </w:rPr>
      </w:pPr>
    </w:p>
    <w:p w14:paraId="47ECEEAF" w14:textId="4C61E5FA"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В случай на подозирана или потвърдена ВТЕ или АТЕ, употребата на КХК трябва</w:t>
      </w:r>
      <w:r w:rsidRPr="00B4092E">
        <w:rPr>
          <w:rFonts w:eastAsia="Times New Roman" w:cs="Arial"/>
          <w:color w:val="000000"/>
          <w:lang w:val="en-US"/>
        </w:rPr>
        <w:t xml:space="preserve"> </w:t>
      </w:r>
      <w:r w:rsidRPr="00B4092E">
        <w:rPr>
          <w:rFonts w:eastAsia="Times New Roman" w:cs="Arial"/>
          <w:color w:val="000000"/>
          <w:lang w:eastAsia="bg-BG"/>
        </w:rPr>
        <w:t>да се преустанови В случаи че е започната терапия с антикоагуланти, трябва да бъде започната адекватна алтернативна терапия контрацепция, поради тератогенността на антикоагулантната терапия (кумарини).</w:t>
      </w:r>
    </w:p>
    <w:p w14:paraId="336F8269" w14:textId="77777777" w:rsidR="00B4092E" w:rsidRPr="00B4092E" w:rsidRDefault="00B4092E" w:rsidP="00B4092E">
      <w:pPr>
        <w:rPr>
          <w:rFonts w:cs="Arial"/>
        </w:rPr>
      </w:pPr>
    </w:p>
    <w:p w14:paraId="6B91371D" w14:textId="3D32DDF0" w:rsidR="00B4092E" w:rsidRPr="00B4092E" w:rsidRDefault="00B4092E" w:rsidP="00B4092E">
      <w:pPr>
        <w:pStyle w:val="ListParagraph"/>
        <w:numPr>
          <w:ilvl w:val="0"/>
          <w:numId w:val="41"/>
        </w:numPr>
        <w:spacing w:line="240" w:lineRule="auto"/>
        <w:rPr>
          <w:rFonts w:eastAsia="Times New Roman" w:cs="Arial"/>
          <w:sz w:val="24"/>
          <w:szCs w:val="24"/>
          <w:lang w:eastAsia="bg-BG"/>
        </w:rPr>
      </w:pPr>
      <w:r w:rsidRPr="00B4092E">
        <w:rPr>
          <w:rFonts w:eastAsia="Times New Roman" w:cs="Arial"/>
          <w:color w:val="000000"/>
          <w:lang w:eastAsia="bg-BG"/>
        </w:rPr>
        <w:t>Циркулаторни нарушения</w:t>
      </w:r>
    </w:p>
    <w:p w14:paraId="5D736735" w14:textId="77777777" w:rsidR="00B4092E" w:rsidRPr="00B4092E" w:rsidRDefault="00B4092E" w:rsidP="00B4092E">
      <w:pPr>
        <w:spacing w:line="240" w:lineRule="auto"/>
        <w:rPr>
          <w:rFonts w:eastAsia="Times New Roman" w:cs="Arial"/>
          <w:b/>
          <w:bCs/>
          <w:color w:val="000000"/>
          <w:lang w:eastAsia="bg-BG"/>
        </w:rPr>
      </w:pPr>
    </w:p>
    <w:p w14:paraId="3CFC3458" w14:textId="36EDD78F" w:rsidR="00B4092E" w:rsidRPr="00B4092E" w:rsidRDefault="00B4092E" w:rsidP="00B4092E">
      <w:pPr>
        <w:spacing w:line="240" w:lineRule="auto"/>
        <w:rPr>
          <w:rFonts w:eastAsia="Times New Roman" w:cs="Arial"/>
          <w:sz w:val="24"/>
          <w:szCs w:val="24"/>
          <w:lang w:eastAsia="bg-BG"/>
        </w:rPr>
      </w:pPr>
      <w:r w:rsidRPr="00B4092E">
        <w:rPr>
          <w:rFonts w:eastAsia="Times New Roman" w:cs="Arial"/>
          <w:b/>
          <w:bCs/>
          <w:color w:val="000000"/>
          <w:lang w:eastAsia="bg-BG"/>
        </w:rPr>
        <w:t>Риск от венозна тромбоемболия (ВТЕ)</w:t>
      </w:r>
    </w:p>
    <w:p w14:paraId="764CA706" w14:textId="77777777" w:rsidR="00B4092E" w:rsidRPr="00B4092E" w:rsidRDefault="00B4092E" w:rsidP="00B4092E">
      <w:pPr>
        <w:spacing w:line="240" w:lineRule="auto"/>
        <w:rPr>
          <w:rFonts w:eastAsia="Times New Roman" w:cs="Arial"/>
          <w:color w:val="000000"/>
          <w:lang w:eastAsia="bg-BG"/>
        </w:rPr>
      </w:pPr>
    </w:p>
    <w:p w14:paraId="3270E185" w14:textId="2F4B496D"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 xml:space="preserve">Употребата на всеки комбиниран хормонален контрацептив (КХК) повишава риска от венозна тромбоемболия (ВТЕ) в сравнение с този при лицата, които не употребяват КХК. </w:t>
      </w:r>
      <w:r w:rsidRPr="00B4092E">
        <w:rPr>
          <w:rFonts w:eastAsia="Times New Roman" w:cs="Arial"/>
          <w:b/>
          <w:bCs/>
          <w:color w:val="000000"/>
          <w:lang w:eastAsia="bg-BG"/>
        </w:rPr>
        <w:t>Продукти, които съдържат левоноргестрел, норгестимат или норетистерон, са свързани с най-ниския риск от ВТЕ. Други продукти, като Джаз могат да носят до два пъти по-голям риск. Решението за употреба на всеки продукт, различен от някой от тези с най-нисък риск от ВТЕ, трябва да се взема само след обсъждане с жената, за да се гарантира, че тя разбира риска от ВТЕ при Джаз, как нейните настоящи рискови фактори влияят върху този риск и това, че рискът от ВТЕ е най-висок в първата година на употреба. Има също известни данни, че рискът се увеличава, когато приемът на КХК започне отново след прекъсване на употреба от 4 седмици или повече.</w:t>
      </w:r>
    </w:p>
    <w:p w14:paraId="0D98DE76" w14:textId="77777777" w:rsidR="00B4092E" w:rsidRPr="00B4092E" w:rsidRDefault="00B4092E" w:rsidP="00B4092E">
      <w:pPr>
        <w:spacing w:line="240" w:lineRule="auto"/>
        <w:rPr>
          <w:rFonts w:eastAsia="Times New Roman" w:cs="Arial"/>
          <w:color w:val="000000"/>
          <w:lang w:eastAsia="bg-BG"/>
        </w:rPr>
      </w:pPr>
    </w:p>
    <w:p w14:paraId="2F888515" w14:textId="75B07581"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При жени, които не използват КХК и не са бременни, около 2 от 10 000 ще развият ВТЕ за период от една година. Въпреки това, при всяка отделна жена рискът може да бъде далеч по-висок, в зависимост от нейните съществуващи рискови фактори (вж. по-долу).</w:t>
      </w:r>
    </w:p>
    <w:p w14:paraId="235F60D9" w14:textId="77777777" w:rsidR="00B4092E" w:rsidRPr="00B4092E" w:rsidRDefault="00B4092E" w:rsidP="00B4092E">
      <w:pPr>
        <w:spacing w:line="240" w:lineRule="auto"/>
        <w:rPr>
          <w:rFonts w:eastAsia="Times New Roman" w:cs="Arial"/>
          <w:color w:val="000000"/>
          <w:lang w:eastAsia="bg-BG"/>
        </w:rPr>
      </w:pPr>
    </w:p>
    <w:p w14:paraId="23664156" w14:textId="3C9B0D70"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Изчислено е,</w:t>
      </w:r>
      <w:r w:rsidRPr="00B4092E">
        <w:rPr>
          <w:rFonts w:eastAsia="Times New Roman" w:cs="Arial"/>
          <w:color w:val="000000"/>
          <w:vertAlign w:val="superscript"/>
          <w:lang w:eastAsia="bg-BG"/>
        </w:rPr>
        <w:t>1</w:t>
      </w:r>
      <w:r w:rsidRPr="00B4092E">
        <w:rPr>
          <w:rFonts w:eastAsia="Times New Roman" w:cs="Arial"/>
          <w:color w:val="000000"/>
          <w:lang w:eastAsia="bg-BG"/>
        </w:rPr>
        <w:t xml:space="preserve"> че от 10 000 жени, които използват КХК, съдържащи [прогестоген], между 9 и 12 жени ще развият ВТЕ в рамките на една година; това е сравнимо с около 6</w:t>
      </w:r>
      <w:r w:rsidRPr="00B4092E">
        <w:rPr>
          <w:rFonts w:eastAsia="Times New Roman" w:cs="Arial"/>
          <w:color w:val="000000"/>
          <w:vertAlign w:val="superscript"/>
          <w:lang w:eastAsia="bg-BG"/>
        </w:rPr>
        <w:t>2</w:t>
      </w:r>
      <w:r w:rsidRPr="00B4092E">
        <w:rPr>
          <w:rFonts w:eastAsia="Times New Roman" w:cs="Arial"/>
          <w:color w:val="000000"/>
          <w:lang w:eastAsia="bg-BG"/>
        </w:rPr>
        <w:t xml:space="preserve"> при жени, които използват КХК, съдържащи левоноргестрел.</w:t>
      </w:r>
    </w:p>
    <w:p w14:paraId="0486731C" w14:textId="77777777" w:rsidR="00B4092E" w:rsidRPr="00B4092E" w:rsidRDefault="00B4092E" w:rsidP="00B4092E">
      <w:pPr>
        <w:spacing w:line="240" w:lineRule="auto"/>
        <w:rPr>
          <w:rFonts w:eastAsia="Times New Roman" w:cs="Arial"/>
          <w:color w:val="000000"/>
          <w:lang w:eastAsia="bg-BG"/>
        </w:rPr>
      </w:pPr>
    </w:p>
    <w:p w14:paraId="24E53764" w14:textId="1D133289"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И в двата случая, броят на случаите на ВТЕ годишно е по-малък от броя, очакван при жени по време на бременност или в следродилния период.</w:t>
      </w:r>
    </w:p>
    <w:p w14:paraId="11FD141D" w14:textId="77777777" w:rsidR="00B4092E" w:rsidRPr="00B4092E" w:rsidRDefault="00B4092E" w:rsidP="00B4092E">
      <w:pPr>
        <w:rPr>
          <w:rFonts w:eastAsia="Times New Roman" w:cs="Arial"/>
          <w:color w:val="000000"/>
          <w:u w:val="single"/>
          <w:lang w:eastAsia="bg-BG"/>
        </w:rPr>
      </w:pPr>
    </w:p>
    <w:p w14:paraId="614BF101" w14:textId="34FABBA2" w:rsidR="00B4092E" w:rsidRDefault="00B4092E" w:rsidP="00B4092E">
      <w:pPr>
        <w:rPr>
          <w:rFonts w:eastAsia="Times New Roman" w:cs="Arial"/>
          <w:color w:val="000000"/>
          <w:u w:val="single"/>
          <w:lang w:eastAsia="bg-BG"/>
        </w:rPr>
      </w:pPr>
      <w:r w:rsidRPr="00B4092E">
        <w:rPr>
          <w:rFonts w:eastAsia="Times New Roman" w:cs="Arial"/>
          <w:color w:val="000000"/>
          <w:u w:val="single"/>
          <w:lang w:eastAsia="bg-BG"/>
        </w:rPr>
        <w:t>ВТЕ може да бъде фатален в 1 -2% от случаите.</w:t>
      </w:r>
    </w:p>
    <w:p w14:paraId="7C4F6E98" w14:textId="28AB7C45" w:rsidR="00B4092E" w:rsidRPr="00B4092E" w:rsidRDefault="00B4092E" w:rsidP="00B4092E">
      <w:pPr>
        <w:rPr>
          <w:rFonts w:eastAsia="Times New Roman" w:cs="Arial"/>
          <w:color w:val="000000"/>
          <w:u w:val="single"/>
          <w:lang w:eastAsia="bg-BG"/>
        </w:rPr>
      </w:pPr>
      <w:r>
        <w:rPr>
          <w:noProof/>
        </w:rPr>
        <w:drawing>
          <wp:inline distT="0" distB="0" distL="0" distR="0" wp14:anchorId="55CB3AE2" wp14:editId="709EC571">
            <wp:extent cx="5743575" cy="4105275"/>
            <wp:effectExtent l="0" t="0" r="9525" b="9525"/>
            <wp:docPr id="962339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39563" name=""/>
                    <pic:cNvPicPr/>
                  </pic:nvPicPr>
                  <pic:blipFill>
                    <a:blip r:embed="rId5"/>
                    <a:stretch>
                      <a:fillRect/>
                    </a:stretch>
                  </pic:blipFill>
                  <pic:spPr>
                    <a:xfrm>
                      <a:off x="0" y="0"/>
                      <a:ext cx="5743575" cy="4105275"/>
                    </a:xfrm>
                    <a:prstGeom prst="rect">
                      <a:avLst/>
                    </a:prstGeom>
                  </pic:spPr>
                </pic:pic>
              </a:graphicData>
            </a:graphic>
          </wp:inline>
        </w:drawing>
      </w:r>
    </w:p>
    <w:p w14:paraId="5E64F365" w14:textId="77777777" w:rsidR="00B4092E" w:rsidRDefault="00B4092E" w:rsidP="00B4092E"/>
    <w:p w14:paraId="66FF5677" w14:textId="77777777" w:rsidR="00B4092E" w:rsidRPr="00B4092E" w:rsidRDefault="00B4092E" w:rsidP="00B4092E">
      <w:pPr>
        <w:spacing w:line="240" w:lineRule="auto"/>
        <w:rPr>
          <w:rFonts w:ascii="Times New Roman" w:eastAsia="Times New Roman" w:hAnsi="Times New Roman" w:cs="Times New Roman"/>
          <w:sz w:val="32"/>
          <w:szCs w:val="32"/>
          <w:lang w:eastAsia="bg-BG"/>
        </w:rPr>
      </w:pPr>
      <w:r w:rsidRPr="00B4092E">
        <w:rPr>
          <w:rFonts w:eastAsia="Times New Roman" w:cs="Arial"/>
          <w:color w:val="000000"/>
          <w:sz w:val="18"/>
          <w:szCs w:val="18"/>
          <w:vertAlign w:val="superscript"/>
          <w:lang w:eastAsia="bg-BG"/>
        </w:rPr>
        <w:t>1</w:t>
      </w:r>
      <w:r w:rsidRPr="00B4092E">
        <w:rPr>
          <w:rFonts w:eastAsia="Times New Roman" w:cs="Arial"/>
          <w:color w:val="000000"/>
          <w:sz w:val="18"/>
          <w:szCs w:val="18"/>
          <w:lang w:eastAsia="bg-BG"/>
        </w:rPr>
        <w:t xml:space="preserve"> Тези случаи са били изчислени от общия брой данни от епидемиологични проучвания, като се използва относителен риск за различните продукти, сравнени с КХК, съдържащи левоноргестрел.</w:t>
      </w:r>
    </w:p>
    <w:p w14:paraId="3AF19E65" w14:textId="49EC98B7" w:rsidR="00B4092E" w:rsidRDefault="00B4092E" w:rsidP="00B4092E">
      <w:pPr>
        <w:spacing w:line="240" w:lineRule="auto"/>
        <w:rPr>
          <w:rFonts w:eastAsia="Times New Roman" w:cs="Arial"/>
          <w:color w:val="000000"/>
          <w:sz w:val="18"/>
          <w:szCs w:val="18"/>
          <w:lang w:eastAsia="bg-BG"/>
        </w:rPr>
      </w:pPr>
      <w:r w:rsidRPr="00B4092E">
        <w:rPr>
          <w:rFonts w:eastAsia="Times New Roman" w:cs="Arial"/>
          <w:color w:val="000000"/>
          <w:sz w:val="18"/>
          <w:szCs w:val="18"/>
          <w:vertAlign w:val="superscript"/>
          <w:lang w:eastAsia="bg-BG"/>
        </w:rPr>
        <w:t>2</w:t>
      </w:r>
      <w:r w:rsidRPr="00B4092E">
        <w:rPr>
          <w:rFonts w:eastAsia="Times New Roman" w:cs="Arial"/>
          <w:color w:val="000000"/>
          <w:sz w:val="18"/>
          <w:szCs w:val="18"/>
          <w:lang w:eastAsia="bg-BG"/>
        </w:rPr>
        <w:t xml:space="preserve"> Средна точка в интервал от 5 - 7 на 10 000 жени, въз основа на относителен риск за КХК, съдържащи левоноргестред спрямо жени, които не използват КХК, от приблизително 2,3 до 3,6</w:t>
      </w:r>
    </w:p>
    <w:p w14:paraId="117328F7" w14:textId="77777777" w:rsidR="00B4092E" w:rsidRDefault="00B4092E" w:rsidP="00B4092E">
      <w:pPr>
        <w:spacing w:line="240" w:lineRule="auto"/>
        <w:rPr>
          <w:rFonts w:eastAsia="Times New Roman" w:cs="Arial"/>
          <w:color w:val="000000"/>
          <w:sz w:val="18"/>
          <w:szCs w:val="18"/>
          <w:lang w:eastAsia="bg-BG"/>
        </w:rPr>
      </w:pPr>
    </w:p>
    <w:p w14:paraId="28A34836" w14:textId="77777777"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Има изключително редки съобщения за тромбоза в други кръвоносни съдове, напр. чернодробни, мезентериални, бъбречни или ретинални вени и артерии, при жени, използващи КХК.</w:t>
      </w:r>
    </w:p>
    <w:p w14:paraId="7862883B" w14:textId="77777777" w:rsidR="00B4092E" w:rsidRPr="00B4092E" w:rsidRDefault="00B4092E" w:rsidP="00B4092E">
      <w:pPr>
        <w:spacing w:line="240" w:lineRule="auto"/>
        <w:rPr>
          <w:rFonts w:eastAsia="Times New Roman" w:cs="Arial"/>
          <w:b/>
          <w:bCs/>
          <w:color w:val="000000"/>
          <w:u w:val="single"/>
          <w:lang w:eastAsia="bg-BG"/>
        </w:rPr>
      </w:pPr>
    </w:p>
    <w:p w14:paraId="1B161ACF" w14:textId="044C2636" w:rsidR="00B4092E" w:rsidRPr="00B4092E" w:rsidRDefault="00B4092E" w:rsidP="00B4092E">
      <w:pPr>
        <w:spacing w:line="240" w:lineRule="auto"/>
        <w:rPr>
          <w:rFonts w:eastAsia="Times New Roman" w:cs="Arial"/>
          <w:sz w:val="24"/>
          <w:szCs w:val="24"/>
          <w:lang w:eastAsia="bg-BG"/>
        </w:rPr>
      </w:pPr>
      <w:r w:rsidRPr="00B4092E">
        <w:rPr>
          <w:rFonts w:eastAsia="Times New Roman" w:cs="Arial"/>
          <w:b/>
          <w:bCs/>
          <w:color w:val="000000"/>
          <w:u w:val="single"/>
          <w:lang w:eastAsia="bg-BG"/>
        </w:rPr>
        <w:t>Рискови фактори за ВТЕ</w:t>
      </w:r>
    </w:p>
    <w:p w14:paraId="3A0F2CD9" w14:textId="77777777"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Рискът от венозни тромбоемболични усложнения при жени, използващи КХК, може съществено да се увеличи при жена с допълнителни рискови фактори, особено ако има множество рискови фактори (вж. таблицата).</w:t>
      </w:r>
    </w:p>
    <w:p w14:paraId="6B4A6764" w14:textId="77777777" w:rsidR="00B4092E" w:rsidRPr="00B4092E" w:rsidRDefault="00B4092E" w:rsidP="00B4092E">
      <w:pPr>
        <w:spacing w:line="240" w:lineRule="auto"/>
        <w:rPr>
          <w:rFonts w:eastAsia="Times New Roman" w:cs="Arial"/>
          <w:color w:val="000000"/>
          <w:lang w:eastAsia="bg-BG"/>
        </w:rPr>
      </w:pPr>
    </w:p>
    <w:p w14:paraId="73385CC4" w14:textId="77113C7C"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Джаз е противопоказан, ако дадена жена има множество рискови фактори, които я излагат на висок риск от венозна тромбоемболия (вж. точка 4.3). Ако дадена жена има повече от един рисков фактор, възможно е увеличението на риска да е по-голямо от сумата на отделните фактори - в този случай общият риск от ВТЕ за нея трябва да се прецени. Ако съотношението полза/риск се счита за отрицателно, КХК не трябва да се предписват (вж. точка 4.3).</w:t>
      </w:r>
    </w:p>
    <w:p w14:paraId="1E57F31B" w14:textId="77777777" w:rsidR="00B4092E" w:rsidRPr="00B4092E" w:rsidRDefault="00B4092E" w:rsidP="00B4092E">
      <w:pPr>
        <w:spacing w:line="240" w:lineRule="auto"/>
        <w:rPr>
          <w:rFonts w:eastAsia="Times New Roman" w:cs="Arial"/>
          <w:b/>
          <w:bCs/>
          <w:color w:val="000000"/>
          <w:lang w:eastAsia="bg-BG"/>
        </w:rPr>
      </w:pPr>
    </w:p>
    <w:p w14:paraId="6E829770" w14:textId="206D5B65" w:rsidR="00B4092E" w:rsidRDefault="00B4092E" w:rsidP="00B4092E">
      <w:pPr>
        <w:spacing w:line="240" w:lineRule="auto"/>
        <w:rPr>
          <w:rFonts w:eastAsia="Times New Roman" w:cs="Arial"/>
          <w:b/>
          <w:bCs/>
          <w:color w:val="000000"/>
          <w:lang w:eastAsia="bg-BG"/>
        </w:rPr>
      </w:pPr>
      <w:r w:rsidRPr="00B4092E">
        <w:rPr>
          <w:rFonts w:eastAsia="Times New Roman" w:cs="Arial"/>
          <w:b/>
          <w:bCs/>
          <w:color w:val="000000"/>
          <w:lang w:eastAsia="bg-BG"/>
        </w:rPr>
        <w:t>Таблица: Рискови фактори за ВТЕ</w:t>
      </w:r>
    </w:p>
    <w:tbl>
      <w:tblPr>
        <w:tblStyle w:val="TableGrid"/>
        <w:tblW w:w="0" w:type="auto"/>
        <w:tblLook w:val="04A0" w:firstRow="1" w:lastRow="0" w:firstColumn="1" w:lastColumn="0" w:noHBand="0" w:noVBand="1"/>
      </w:tblPr>
      <w:tblGrid>
        <w:gridCol w:w="4666"/>
        <w:gridCol w:w="4684"/>
      </w:tblGrid>
      <w:tr w:rsidR="00B4092E" w14:paraId="76A7621E" w14:textId="77777777" w:rsidTr="00E00BEA">
        <w:tc>
          <w:tcPr>
            <w:tcW w:w="4750" w:type="dxa"/>
            <w:vAlign w:val="bottom"/>
          </w:tcPr>
          <w:p w14:paraId="6A698C35" w14:textId="4A314022" w:rsidR="00B4092E" w:rsidRDefault="00B4092E" w:rsidP="00B4092E">
            <w:pPr>
              <w:spacing w:line="240" w:lineRule="auto"/>
              <w:rPr>
                <w:rFonts w:eastAsia="Times New Roman" w:cs="Arial"/>
                <w:sz w:val="32"/>
                <w:szCs w:val="32"/>
                <w:lang w:eastAsia="bg-BG"/>
              </w:rPr>
            </w:pPr>
            <w:r>
              <w:rPr>
                <w:b/>
                <w:bCs/>
              </w:rPr>
              <w:t>Рисков фактор</w:t>
            </w:r>
          </w:p>
        </w:tc>
        <w:tc>
          <w:tcPr>
            <w:tcW w:w="4750" w:type="dxa"/>
            <w:vAlign w:val="bottom"/>
          </w:tcPr>
          <w:p w14:paraId="6E34B241" w14:textId="5E763F74" w:rsidR="00B4092E" w:rsidRDefault="00B4092E" w:rsidP="00B4092E">
            <w:pPr>
              <w:spacing w:line="240" w:lineRule="auto"/>
              <w:rPr>
                <w:rFonts w:eastAsia="Times New Roman" w:cs="Arial"/>
                <w:sz w:val="32"/>
                <w:szCs w:val="32"/>
                <w:lang w:eastAsia="bg-BG"/>
              </w:rPr>
            </w:pPr>
            <w:r>
              <w:rPr>
                <w:b/>
                <w:bCs/>
              </w:rPr>
              <w:t>Коментар</w:t>
            </w:r>
          </w:p>
        </w:tc>
      </w:tr>
      <w:tr w:rsidR="00B4092E" w14:paraId="41720509" w14:textId="77777777" w:rsidTr="00E00BEA">
        <w:tc>
          <w:tcPr>
            <w:tcW w:w="4750" w:type="dxa"/>
          </w:tcPr>
          <w:p w14:paraId="0E6C1881" w14:textId="796D1C94" w:rsidR="00B4092E" w:rsidRDefault="00B4092E" w:rsidP="00B4092E">
            <w:pPr>
              <w:spacing w:line="240" w:lineRule="auto"/>
              <w:rPr>
                <w:rFonts w:eastAsia="Times New Roman" w:cs="Arial"/>
                <w:sz w:val="32"/>
                <w:szCs w:val="32"/>
                <w:lang w:eastAsia="bg-BG"/>
              </w:rPr>
            </w:pPr>
            <w:r>
              <w:lastRenderedPageBreak/>
              <w:t xml:space="preserve">Наднормено тегло (индекс на телесна маса над 30 </w:t>
            </w:r>
            <w:r>
              <w:rPr>
                <w:lang w:val="en-US"/>
              </w:rPr>
              <w:t>kg/m</w:t>
            </w:r>
            <w:r>
              <w:rPr>
                <w:vertAlign w:val="superscript"/>
                <w:lang w:val="en-US"/>
              </w:rPr>
              <w:t>2</w:t>
            </w:r>
            <w:r>
              <w:rPr>
                <w:lang w:val="en-US"/>
              </w:rPr>
              <w:t>)</w:t>
            </w:r>
          </w:p>
        </w:tc>
        <w:tc>
          <w:tcPr>
            <w:tcW w:w="4750" w:type="dxa"/>
            <w:vAlign w:val="bottom"/>
          </w:tcPr>
          <w:p w14:paraId="69EE58FE" w14:textId="77777777" w:rsidR="00B4092E" w:rsidRDefault="00B4092E" w:rsidP="00B4092E">
            <w:r>
              <w:t xml:space="preserve">Рискът значително се увеличава с повишаването на индекса на телесна маса </w:t>
            </w:r>
            <w:r>
              <w:rPr>
                <w:lang w:val="en-US"/>
              </w:rPr>
              <w:t>(BMI).</w:t>
            </w:r>
          </w:p>
          <w:p w14:paraId="63F4CD3A" w14:textId="77D8F298" w:rsidR="00B4092E" w:rsidRDefault="00B4092E" w:rsidP="00B4092E">
            <w:pPr>
              <w:spacing w:line="240" w:lineRule="auto"/>
              <w:rPr>
                <w:rFonts w:eastAsia="Times New Roman" w:cs="Arial"/>
                <w:sz w:val="32"/>
                <w:szCs w:val="32"/>
                <w:lang w:eastAsia="bg-BG"/>
              </w:rPr>
            </w:pPr>
            <w:r>
              <w:t>Особено важно е да се прецени, ако са налице и други рискови фактори.</w:t>
            </w:r>
          </w:p>
        </w:tc>
      </w:tr>
      <w:tr w:rsidR="00B4092E" w14:paraId="06F90A32" w14:textId="77777777" w:rsidTr="00E00BEA">
        <w:tc>
          <w:tcPr>
            <w:tcW w:w="4750" w:type="dxa"/>
            <w:vAlign w:val="bottom"/>
          </w:tcPr>
          <w:p w14:paraId="58DFA7C1" w14:textId="77777777" w:rsidR="00B4092E" w:rsidRDefault="00B4092E" w:rsidP="00B4092E">
            <w:r>
              <w:t>Продължителна имобилизация, голяма хирургична намеса, всякаква хирургична намеса на краката или таза, неврохирургична намеса или голяма травма</w:t>
            </w:r>
          </w:p>
          <w:p w14:paraId="14B70739" w14:textId="77777777" w:rsidR="00B4092E" w:rsidRDefault="00B4092E" w:rsidP="00B4092E">
            <w:pPr>
              <w:spacing w:line="240" w:lineRule="auto"/>
            </w:pPr>
          </w:p>
          <w:p w14:paraId="4E37F160" w14:textId="122E4919" w:rsidR="00B4092E" w:rsidRDefault="00B4092E" w:rsidP="00B4092E">
            <w:pPr>
              <w:spacing w:line="240" w:lineRule="auto"/>
              <w:rPr>
                <w:rFonts w:eastAsia="Times New Roman" w:cs="Arial"/>
                <w:sz w:val="32"/>
                <w:szCs w:val="32"/>
                <w:lang w:eastAsia="bg-BG"/>
              </w:rPr>
            </w:pPr>
            <w:r>
              <w:t>Забележка: временна имобилизация, включително пътуване със самолет &gt;4 часа може също да бъде рисков фактор за ВТЕ, особено при жени с други рискови фактори</w:t>
            </w:r>
          </w:p>
        </w:tc>
        <w:tc>
          <w:tcPr>
            <w:tcW w:w="4750" w:type="dxa"/>
          </w:tcPr>
          <w:p w14:paraId="2D91FA85" w14:textId="77777777" w:rsidR="00B4092E" w:rsidRDefault="00B4092E" w:rsidP="00B4092E">
            <w:r>
              <w:t>При тези условия е препоръчително употребата на пластир/хапче/пръстен да се прекрати (в случай на планова операция поне четири седмици по-рано) и приложението им да не започва отново до изтичане на две седмици след пълното раздвижване. Трябва да се използва друг метод за контрацепция, за да се избегне нежелана бременност.</w:t>
            </w:r>
          </w:p>
          <w:p w14:paraId="5333D82D" w14:textId="54447C55" w:rsidR="00B4092E" w:rsidRDefault="00B4092E" w:rsidP="00B4092E">
            <w:pPr>
              <w:spacing w:line="240" w:lineRule="auto"/>
              <w:rPr>
                <w:rFonts w:eastAsia="Times New Roman" w:cs="Arial"/>
                <w:sz w:val="32"/>
                <w:szCs w:val="32"/>
                <w:lang w:eastAsia="bg-BG"/>
              </w:rPr>
            </w:pPr>
            <w:r>
              <w:t>Трябва да се обмисли антитромботично лечение, ако употребата на Джаз не е прекратена предварително.</w:t>
            </w:r>
          </w:p>
        </w:tc>
      </w:tr>
      <w:tr w:rsidR="00B4092E" w14:paraId="1D66FC52" w14:textId="77777777" w:rsidTr="00E00BEA">
        <w:tc>
          <w:tcPr>
            <w:tcW w:w="4750" w:type="dxa"/>
            <w:vAlign w:val="bottom"/>
          </w:tcPr>
          <w:p w14:paraId="1B08DD75" w14:textId="6262B5AC" w:rsidR="00B4092E" w:rsidRDefault="00B4092E" w:rsidP="00B4092E">
            <w:pPr>
              <w:spacing w:line="240" w:lineRule="auto"/>
              <w:rPr>
                <w:rFonts w:eastAsia="Times New Roman" w:cs="Arial"/>
                <w:sz w:val="32"/>
                <w:szCs w:val="32"/>
                <w:lang w:eastAsia="bg-BG"/>
              </w:rPr>
            </w:pPr>
            <w:r>
              <w:t>Наличие на фамилна анамнеза (венозна тромбоемболия при брат/сестра или родител, особено в сравнително млада възраст, напр. преди 50 години).</w:t>
            </w:r>
          </w:p>
        </w:tc>
        <w:tc>
          <w:tcPr>
            <w:tcW w:w="4750" w:type="dxa"/>
          </w:tcPr>
          <w:p w14:paraId="3E249B4F" w14:textId="7FE07DCB" w:rsidR="00B4092E" w:rsidRDefault="00B4092E" w:rsidP="00B4092E">
            <w:pPr>
              <w:spacing w:line="240" w:lineRule="auto"/>
              <w:rPr>
                <w:rFonts w:eastAsia="Times New Roman" w:cs="Arial"/>
                <w:sz w:val="32"/>
                <w:szCs w:val="32"/>
                <w:lang w:eastAsia="bg-BG"/>
              </w:rPr>
            </w:pPr>
            <w:r>
              <w:t>Ако има съмнение за наследствено предразположение, жената трябва да се насочи за консултация със специалист преди да реши дали да използва КХК.</w:t>
            </w:r>
          </w:p>
        </w:tc>
      </w:tr>
      <w:tr w:rsidR="00B4092E" w14:paraId="69C09093" w14:textId="77777777" w:rsidTr="00E00BEA">
        <w:tc>
          <w:tcPr>
            <w:tcW w:w="4750" w:type="dxa"/>
          </w:tcPr>
          <w:p w14:paraId="12EA885E" w14:textId="6246CDAE" w:rsidR="00B4092E" w:rsidRDefault="00B4092E" w:rsidP="00B4092E">
            <w:pPr>
              <w:spacing w:line="240" w:lineRule="auto"/>
              <w:rPr>
                <w:rFonts w:eastAsia="Times New Roman" w:cs="Arial"/>
                <w:sz w:val="32"/>
                <w:szCs w:val="32"/>
                <w:lang w:eastAsia="bg-BG"/>
              </w:rPr>
            </w:pPr>
            <w:r>
              <w:t>Други заболявания, свързани с ВТЕ</w:t>
            </w:r>
          </w:p>
        </w:tc>
        <w:tc>
          <w:tcPr>
            <w:tcW w:w="4750" w:type="dxa"/>
            <w:vAlign w:val="bottom"/>
          </w:tcPr>
          <w:p w14:paraId="4A7E48ED" w14:textId="514D6CA5" w:rsidR="00B4092E" w:rsidRDefault="00B4092E" w:rsidP="00B4092E">
            <w:pPr>
              <w:spacing w:line="240" w:lineRule="auto"/>
              <w:rPr>
                <w:rFonts w:eastAsia="Times New Roman" w:cs="Arial"/>
                <w:sz w:val="32"/>
                <w:szCs w:val="32"/>
                <w:lang w:eastAsia="bg-BG"/>
              </w:rPr>
            </w:pPr>
            <w:r>
              <w:t xml:space="preserve">Рак, системен лупус еритематодес, хемолитичен уремичен синдром, хронична възпалителна болест на червата (болест на </w:t>
            </w:r>
            <w:r>
              <w:rPr>
                <w:lang w:val="en-US"/>
              </w:rPr>
              <w:t xml:space="preserve">Crohn </w:t>
            </w:r>
            <w:r>
              <w:t>или улцерозен колит) и сърповидноклетъчна анемия</w:t>
            </w:r>
          </w:p>
        </w:tc>
      </w:tr>
      <w:tr w:rsidR="00B4092E" w14:paraId="48B7D615" w14:textId="77777777" w:rsidTr="00E00BEA">
        <w:tc>
          <w:tcPr>
            <w:tcW w:w="4750" w:type="dxa"/>
            <w:vAlign w:val="bottom"/>
          </w:tcPr>
          <w:p w14:paraId="1B77477F" w14:textId="224DC704" w:rsidR="00B4092E" w:rsidRDefault="00B4092E" w:rsidP="00B4092E">
            <w:pPr>
              <w:spacing w:line="240" w:lineRule="auto"/>
              <w:rPr>
                <w:rFonts w:eastAsia="Times New Roman" w:cs="Arial"/>
                <w:sz w:val="32"/>
                <w:szCs w:val="32"/>
                <w:lang w:eastAsia="bg-BG"/>
              </w:rPr>
            </w:pPr>
            <w:r>
              <w:t>Напредваща възраст</w:t>
            </w:r>
          </w:p>
        </w:tc>
        <w:tc>
          <w:tcPr>
            <w:tcW w:w="4750" w:type="dxa"/>
            <w:vAlign w:val="bottom"/>
          </w:tcPr>
          <w:p w14:paraId="49FEA2C9" w14:textId="1CD8AC76" w:rsidR="00B4092E" w:rsidRDefault="00B4092E" w:rsidP="00B4092E">
            <w:pPr>
              <w:spacing w:line="240" w:lineRule="auto"/>
              <w:rPr>
                <w:rFonts w:eastAsia="Times New Roman" w:cs="Arial"/>
                <w:sz w:val="32"/>
                <w:szCs w:val="32"/>
                <w:lang w:eastAsia="bg-BG"/>
              </w:rPr>
            </w:pPr>
            <w:r>
              <w:t>Особено над 35 години</w:t>
            </w:r>
          </w:p>
        </w:tc>
      </w:tr>
    </w:tbl>
    <w:p w14:paraId="7E6DFC24" w14:textId="77777777" w:rsidR="00B4092E" w:rsidRDefault="00B4092E" w:rsidP="00B4092E">
      <w:pPr>
        <w:spacing w:line="240" w:lineRule="auto"/>
        <w:rPr>
          <w:rFonts w:eastAsia="Times New Roman" w:cs="Arial"/>
          <w:sz w:val="32"/>
          <w:szCs w:val="32"/>
          <w:lang w:eastAsia="bg-BG"/>
        </w:rPr>
      </w:pPr>
    </w:p>
    <w:p w14:paraId="346EF24D" w14:textId="7A50B3DA" w:rsidR="00B4092E" w:rsidRPr="00B4092E" w:rsidRDefault="00B4092E" w:rsidP="00B4092E">
      <w:pPr>
        <w:spacing w:line="240" w:lineRule="auto"/>
        <w:rPr>
          <w:rFonts w:cs="Arial"/>
        </w:rPr>
      </w:pPr>
      <w:r w:rsidRPr="00B4092E">
        <w:rPr>
          <w:rFonts w:cs="Arial"/>
        </w:rPr>
        <w:t>Няма консенсус относно възможната роля на варикозните вени и повърхностния тромбофлебит в появата или прогресирането па венозна тромбоза.</w:t>
      </w:r>
    </w:p>
    <w:p w14:paraId="227BE603" w14:textId="77777777" w:rsidR="00B4092E" w:rsidRPr="00B4092E" w:rsidRDefault="00B4092E" w:rsidP="00B4092E">
      <w:pPr>
        <w:spacing w:line="240" w:lineRule="auto"/>
        <w:rPr>
          <w:rFonts w:cs="Arial"/>
        </w:rPr>
      </w:pPr>
    </w:p>
    <w:p w14:paraId="09E7C1BD" w14:textId="11B7DBBA" w:rsidR="00B4092E" w:rsidRPr="00B4092E" w:rsidRDefault="00B4092E" w:rsidP="00B4092E">
      <w:pPr>
        <w:spacing w:line="240" w:lineRule="auto"/>
        <w:rPr>
          <w:rFonts w:cs="Arial"/>
        </w:rPr>
      </w:pPr>
      <w:r w:rsidRPr="00B4092E">
        <w:rPr>
          <w:rFonts w:cs="Arial"/>
        </w:rPr>
        <w:t>Повишеният риск от тромбоемболия по време на бременност и особено на 6-седмичния период на пуерпериума трябва да се има предвид (за информация относно „Бременност и кърмене" (вж. точка 4.6).</w:t>
      </w:r>
    </w:p>
    <w:p w14:paraId="06A4BC80" w14:textId="77777777" w:rsidR="00B4092E" w:rsidRPr="00B4092E" w:rsidRDefault="00B4092E" w:rsidP="00B4092E">
      <w:pPr>
        <w:spacing w:line="240" w:lineRule="auto"/>
        <w:rPr>
          <w:rFonts w:cs="Arial"/>
        </w:rPr>
      </w:pPr>
    </w:p>
    <w:p w14:paraId="7B93B5CF" w14:textId="77777777" w:rsidR="00B4092E" w:rsidRPr="00B4092E" w:rsidRDefault="00B4092E" w:rsidP="00B4092E">
      <w:pPr>
        <w:spacing w:line="240" w:lineRule="auto"/>
        <w:rPr>
          <w:rFonts w:eastAsia="Times New Roman" w:cs="Arial"/>
          <w:sz w:val="24"/>
          <w:szCs w:val="24"/>
          <w:lang w:eastAsia="bg-BG"/>
        </w:rPr>
      </w:pPr>
      <w:r w:rsidRPr="00B4092E">
        <w:rPr>
          <w:rFonts w:eastAsia="Times New Roman" w:cs="Arial"/>
          <w:b/>
          <w:bCs/>
          <w:color w:val="000000"/>
          <w:u w:val="single"/>
          <w:lang w:eastAsia="bg-BG"/>
        </w:rPr>
        <w:t>Симптоми на ВТЕ (дълбока венозна тромбоза и белодробна емболия)</w:t>
      </w:r>
    </w:p>
    <w:p w14:paraId="18306035" w14:textId="77777777" w:rsidR="00B4092E" w:rsidRPr="00B4092E" w:rsidRDefault="00B4092E" w:rsidP="00B4092E">
      <w:pPr>
        <w:spacing w:line="240" w:lineRule="auto"/>
        <w:rPr>
          <w:rFonts w:eastAsia="Times New Roman" w:cs="Arial"/>
          <w:color w:val="000000"/>
          <w:lang w:eastAsia="bg-BG"/>
        </w:rPr>
      </w:pPr>
    </w:p>
    <w:p w14:paraId="6CB2AD73" w14:textId="1353FD7D"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В случай на симптоми, жените трябва да бъдат посъветвани да потърсят спешна медицинска помощ и да информират медицинския специалист, че приемат КХК.</w:t>
      </w:r>
    </w:p>
    <w:p w14:paraId="56910EF8" w14:textId="77777777" w:rsidR="00B4092E" w:rsidRPr="00B4092E" w:rsidRDefault="00B4092E" w:rsidP="00B4092E">
      <w:pPr>
        <w:spacing w:line="240" w:lineRule="auto"/>
        <w:rPr>
          <w:rFonts w:eastAsia="Times New Roman" w:cs="Arial"/>
          <w:color w:val="000000"/>
          <w:lang w:eastAsia="bg-BG"/>
        </w:rPr>
      </w:pPr>
    </w:p>
    <w:p w14:paraId="1DB4FA4F" w14:textId="12E782C9"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Симптомите на дълбока венозна тромбоза (ДВТ) могат да включват:</w:t>
      </w:r>
    </w:p>
    <w:p w14:paraId="6463B3FC" w14:textId="77777777" w:rsidR="00B4092E" w:rsidRPr="00B4092E" w:rsidRDefault="00B4092E" w:rsidP="00B4092E">
      <w:pPr>
        <w:pStyle w:val="ListParagraph"/>
        <w:numPr>
          <w:ilvl w:val="0"/>
          <w:numId w:val="43"/>
        </w:numPr>
        <w:spacing w:line="240" w:lineRule="auto"/>
        <w:rPr>
          <w:rFonts w:eastAsia="Times New Roman" w:cs="Arial"/>
          <w:sz w:val="24"/>
          <w:szCs w:val="24"/>
          <w:lang w:eastAsia="bg-BG"/>
        </w:rPr>
      </w:pPr>
      <w:r w:rsidRPr="00B4092E">
        <w:rPr>
          <w:rFonts w:eastAsia="Times New Roman" w:cs="Arial"/>
          <w:color w:val="000000"/>
          <w:lang w:eastAsia="bg-BG"/>
        </w:rPr>
        <w:t>едностранен оток на крака и/или ходилото, или по продължение на вена в крака;</w:t>
      </w:r>
    </w:p>
    <w:p w14:paraId="44222E49" w14:textId="77777777" w:rsidR="00B4092E" w:rsidRPr="00B4092E" w:rsidRDefault="00B4092E" w:rsidP="00B4092E">
      <w:pPr>
        <w:pStyle w:val="ListParagraph"/>
        <w:numPr>
          <w:ilvl w:val="0"/>
          <w:numId w:val="43"/>
        </w:numPr>
        <w:spacing w:line="240" w:lineRule="auto"/>
        <w:rPr>
          <w:rFonts w:eastAsia="Times New Roman" w:cs="Arial"/>
          <w:sz w:val="24"/>
          <w:szCs w:val="24"/>
          <w:lang w:eastAsia="bg-BG"/>
        </w:rPr>
      </w:pPr>
      <w:r w:rsidRPr="00B4092E">
        <w:rPr>
          <w:rFonts w:eastAsia="Times New Roman" w:cs="Arial"/>
          <w:color w:val="000000"/>
          <w:lang w:eastAsia="bg-BG"/>
        </w:rPr>
        <w:t>болка или тежест в крака, която може да се усеща само при ставане или ходене,</w:t>
      </w:r>
    </w:p>
    <w:p w14:paraId="4A229E35" w14:textId="057066BE" w:rsidR="00B4092E" w:rsidRPr="00B4092E" w:rsidRDefault="00B4092E" w:rsidP="00B4092E">
      <w:pPr>
        <w:pStyle w:val="ListParagraph"/>
        <w:numPr>
          <w:ilvl w:val="0"/>
          <w:numId w:val="43"/>
        </w:numPr>
        <w:spacing w:line="240" w:lineRule="auto"/>
        <w:rPr>
          <w:rFonts w:eastAsia="Times New Roman" w:cs="Arial"/>
          <w:sz w:val="24"/>
          <w:szCs w:val="24"/>
          <w:lang w:eastAsia="bg-BG"/>
        </w:rPr>
      </w:pPr>
      <w:r w:rsidRPr="00B4092E">
        <w:rPr>
          <w:rFonts w:eastAsia="Times New Roman" w:cs="Arial"/>
          <w:color w:val="000000"/>
          <w:lang w:eastAsia="bg-BG"/>
        </w:rPr>
        <w:t>затопляне на засегнатия крак; зачервяване или промяна в цвета на кожата на крака.</w:t>
      </w:r>
    </w:p>
    <w:p w14:paraId="68C5C5FA" w14:textId="77777777" w:rsidR="00B4092E" w:rsidRPr="00B4092E" w:rsidRDefault="00B4092E" w:rsidP="00B4092E">
      <w:pPr>
        <w:spacing w:line="240" w:lineRule="auto"/>
        <w:rPr>
          <w:rFonts w:eastAsia="Times New Roman" w:cs="Arial"/>
          <w:color w:val="000000"/>
          <w:lang w:eastAsia="bg-BG"/>
        </w:rPr>
      </w:pPr>
    </w:p>
    <w:p w14:paraId="2D1C3D75" w14:textId="15F8118B"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Симптомите на белодробна емболия (БЕ) могат да включват:</w:t>
      </w:r>
    </w:p>
    <w:p w14:paraId="510B1B2F" w14:textId="77777777" w:rsidR="00B4092E" w:rsidRPr="00B4092E" w:rsidRDefault="00B4092E" w:rsidP="00B4092E">
      <w:pPr>
        <w:pStyle w:val="ListParagraph"/>
        <w:numPr>
          <w:ilvl w:val="0"/>
          <w:numId w:val="42"/>
        </w:numPr>
        <w:spacing w:line="240" w:lineRule="auto"/>
        <w:rPr>
          <w:rFonts w:eastAsia="Times New Roman" w:cs="Arial"/>
          <w:color w:val="000000"/>
          <w:lang w:eastAsia="bg-BG"/>
        </w:rPr>
      </w:pPr>
      <w:r w:rsidRPr="00B4092E">
        <w:rPr>
          <w:rFonts w:eastAsia="Times New Roman" w:cs="Arial"/>
          <w:color w:val="000000"/>
          <w:lang w:eastAsia="bg-BG"/>
        </w:rPr>
        <w:t>внезапна поява на необясним задух или учестено дишане;</w:t>
      </w:r>
    </w:p>
    <w:p w14:paraId="36CE58E2" w14:textId="77777777" w:rsidR="00B4092E" w:rsidRPr="00B4092E" w:rsidRDefault="00B4092E" w:rsidP="00B4092E">
      <w:pPr>
        <w:pStyle w:val="ListParagraph"/>
        <w:numPr>
          <w:ilvl w:val="0"/>
          <w:numId w:val="42"/>
        </w:numPr>
        <w:spacing w:line="240" w:lineRule="auto"/>
        <w:rPr>
          <w:rFonts w:eastAsia="Times New Roman" w:cs="Arial"/>
          <w:color w:val="000000"/>
          <w:lang w:eastAsia="bg-BG"/>
        </w:rPr>
      </w:pPr>
      <w:r w:rsidRPr="00B4092E">
        <w:rPr>
          <w:rFonts w:eastAsia="Times New Roman" w:cs="Arial"/>
          <w:color w:val="000000"/>
          <w:lang w:eastAsia="bg-BG"/>
        </w:rPr>
        <w:t>внезапна кашлица, която може да бъде свързана с хемоптиза;</w:t>
      </w:r>
    </w:p>
    <w:p w14:paraId="40539A34" w14:textId="77777777" w:rsidR="00B4092E" w:rsidRPr="00B4092E" w:rsidRDefault="00B4092E" w:rsidP="00B4092E">
      <w:pPr>
        <w:pStyle w:val="ListParagraph"/>
        <w:numPr>
          <w:ilvl w:val="0"/>
          <w:numId w:val="42"/>
        </w:numPr>
        <w:spacing w:line="240" w:lineRule="auto"/>
        <w:rPr>
          <w:rFonts w:eastAsia="Times New Roman" w:cs="Arial"/>
          <w:color w:val="000000"/>
          <w:lang w:eastAsia="bg-BG"/>
        </w:rPr>
      </w:pPr>
      <w:r w:rsidRPr="00B4092E">
        <w:rPr>
          <w:rFonts w:eastAsia="Times New Roman" w:cs="Arial"/>
          <w:color w:val="000000"/>
          <w:lang w:eastAsia="bg-BG"/>
        </w:rPr>
        <w:lastRenderedPageBreak/>
        <w:t>остра болка в гръдния кош;</w:t>
      </w:r>
    </w:p>
    <w:p w14:paraId="4974D89D" w14:textId="77777777" w:rsidR="00B4092E" w:rsidRPr="00B4092E" w:rsidRDefault="00B4092E" w:rsidP="00B4092E">
      <w:pPr>
        <w:pStyle w:val="ListParagraph"/>
        <w:numPr>
          <w:ilvl w:val="0"/>
          <w:numId w:val="42"/>
        </w:numPr>
        <w:spacing w:line="240" w:lineRule="auto"/>
        <w:rPr>
          <w:rFonts w:eastAsia="Times New Roman" w:cs="Arial"/>
          <w:color w:val="000000"/>
          <w:lang w:eastAsia="bg-BG"/>
        </w:rPr>
      </w:pPr>
      <w:r w:rsidRPr="00B4092E">
        <w:rPr>
          <w:rFonts w:eastAsia="Times New Roman" w:cs="Arial"/>
          <w:color w:val="000000"/>
          <w:lang w:eastAsia="bg-BG"/>
        </w:rPr>
        <w:t>тежка замаяност или виене на свят;</w:t>
      </w:r>
    </w:p>
    <w:p w14:paraId="74BC27C9" w14:textId="05DB4F10" w:rsidR="00B4092E" w:rsidRPr="00B4092E" w:rsidRDefault="00B4092E" w:rsidP="00B4092E">
      <w:pPr>
        <w:pStyle w:val="ListParagraph"/>
        <w:numPr>
          <w:ilvl w:val="0"/>
          <w:numId w:val="42"/>
        </w:numPr>
        <w:spacing w:line="240" w:lineRule="auto"/>
        <w:rPr>
          <w:rFonts w:eastAsia="Times New Roman" w:cs="Arial"/>
          <w:color w:val="000000"/>
          <w:lang w:eastAsia="bg-BG"/>
        </w:rPr>
      </w:pPr>
      <w:r w:rsidRPr="00B4092E">
        <w:rPr>
          <w:rFonts w:eastAsia="Times New Roman" w:cs="Arial"/>
          <w:color w:val="000000"/>
          <w:lang w:eastAsia="bg-BG"/>
        </w:rPr>
        <w:t>ускорен или неправилен сърдечен ритъм.</w:t>
      </w:r>
    </w:p>
    <w:p w14:paraId="76D0A006" w14:textId="77777777" w:rsidR="00B4092E" w:rsidRPr="00B4092E" w:rsidRDefault="00B4092E" w:rsidP="00B4092E">
      <w:pPr>
        <w:spacing w:line="240" w:lineRule="auto"/>
        <w:rPr>
          <w:rFonts w:eastAsia="Times New Roman" w:cs="Arial"/>
          <w:color w:val="000000"/>
          <w:lang w:eastAsia="bg-BG"/>
        </w:rPr>
      </w:pPr>
    </w:p>
    <w:p w14:paraId="714F2D13" w14:textId="22A6DF48"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Някои от тези симптоми (напр. „задух”, „кашлица”) не са специфични и биха могли да бъдат погрешно интерпретирани като по-често срещани или не толкова тежки събития (напр. инфекции на дихателните пътища).</w:t>
      </w:r>
    </w:p>
    <w:p w14:paraId="2E9E7655" w14:textId="77777777" w:rsidR="00B4092E" w:rsidRPr="00B4092E" w:rsidRDefault="00B4092E" w:rsidP="00B4092E">
      <w:pPr>
        <w:spacing w:line="240" w:lineRule="auto"/>
        <w:rPr>
          <w:rFonts w:eastAsia="Times New Roman" w:cs="Arial"/>
          <w:color w:val="000000"/>
          <w:lang w:eastAsia="bg-BG"/>
        </w:rPr>
      </w:pPr>
    </w:p>
    <w:p w14:paraId="05811C3B" w14:textId="3C980256"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Други признаци на съдова оклузия могат да включват: внезапна болка, оток и леко посиняване на крайник.</w:t>
      </w:r>
    </w:p>
    <w:p w14:paraId="61156A74" w14:textId="77777777" w:rsidR="00B4092E" w:rsidRPr="00B4092E" w:rsidRDefault="00B4092E" w:rsidP="00B4092E">
      <w:pPr>
        <w:spacing w:line="240" w:lineRule="auto"/>
        <w:rPr>
          <w:rFonts w:eastAsia="Times New Roman" w:cs="Arial"/>
          <w:color w:val="000000"/>
          <w:lang w:eastAsia="bg-BG"/>
        </w:rPr>
      </w:pPr>
    </w:p>
    <w:p w14:paraId="4524AD52" w14:textId="102E7399"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Ако оклузията се получи в окото, симптомите могат да варират от неболезнено замъгляване на зрението, което може да прогресира до загуба на зрение. Понякога загубата на зрение може да се получи почти веднага.</w:t>
      </w:r>
    </w:p>
    <w:p w14:paraId="14749028" w14:textId="77777777" w:rsidR="00B4092E" w:rsidRPr="00B4092E" w:rsidRDefault="00B4092E" w:rsidP="00B4092E">
      <w:pPr>
        <w:spacing w:line="240" w:lineRule="auto"/>
        <w:rPr>
          <w:rFonts w:eastAsia="Times New Roman" w:cs="Arial"/>
          <w:b/>
          <w:bCs/>
          <w:color w:val="000000"/>
          <w:lang w:eastAsia="bg-BG"/>
        </w:rPr>
      </w:pPr>
    </w:p>
    <w:p w14:paraId="2B19EADF" w14:textId="0DA1D4FC" w:rsidR="00B4092E" w:rsidRPr="00B4092E" w:rsidRDefault="00B4092E" w:rsidP="00B4092E">
      <w:pPr>
        <w:spacing w:line="240" w:lineRule="auto"/>
        <w:rPr>
          <w:rFonts w:eastAsia="Times New Roman" w:cs="Arial"/>
          <w:sz w:val="24"/>
          <w:szCs w:val="24"/>
          <w:lang w:eastAsia="bg-BG"/>
        </w:rPr>
      </w:pPr>
      <w:r w:rsidRPr="00B4092E">
        <w:rPr>
          <w:rFonts w:eastAsia="Times New Roman" w:cs="Arial"/>
          <w:b/>
          <w:bCs/>
          <w:color w:val="000000"/>
          <w:lang w:eastAsia="bg-BG"/>
        </w:rPr>
        <w:t>Риск от артериална тромбоемболия (АТЕ)</w:t>
      </w:r>
    </w:p>
    <w:p w14:paraId="1C543CD0" w14:textId="77777777"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При епидемиологични проучвания е установена връзка между употребата на КХК и увеличен риск от артериална тромбоемболия (инфаркт на миокарда) или от мозъчно-съдов инцидент (напр. преходна исхемична атака, инсулт). Артериалните тромбоемболични събития могат да бъдат фатални.</w:t>
      </w:r>
    </w:p>
    <w:p w14:paraId="452737C0" w14:textId="77777777" w:rsidR="00B4092E" w:rsidRPr="00B4092E" w:rsidRDefault="00B4092E" w:rsidP="00B4092E">
      <w:pPr>
        <w:spacing w:line="240" w:lineRule="auto"/>
        <w:rPr>
          <w:rFonts w:eastAsia="Times New Roman" w:cs="Arial"/>
          <w:b/>
          <w:bCs/>
          <w:color w:val="000000"/>
          <w:u w:val="single"/>
          <w:lang w:eastAsia="bg-BG"/>
        </w:rPr>
      </w:pPr>
      <w:bookmarkStart w:id="3" w:name="bookmark4"/>
    </w:p>
    <w:p w14:paraId="66ADBC32" w14:textId="56CB0261" w:rsidR="00B4092E" w:rsidRPr="00B4092E" w:rsidRDefault="00B4092E" w:rsidP="00B4092E">
      <w:pPr>
        <w:spacing w:line="240" w:lineRule="auto"/>
        <w:rPr>
          <w:rFonts w:eastAsia="Times New Roman" w:cs="Arial"/>
          <w:sz w:val="24"/>
          <w:szCs w:val="24"/>
          <w:lang w:eastAsia="bg-BG"/>
        </w:rPr>
      </w:pPr>
      <w:r w:rsidRPr="00B4092E">
        <w:rPr>
          <w:rFonts w:eastAsia="Times New Roman" w:cs="Arial"/>
          <w:b/>
          <w:bCs/>
          <w:color w:val="000000"/>
          <w:u w:val="single"/>
          <w:lang w:eastAsia="bg-BG"/>
        </w:rPr>
        <w:t>Рискови фактори за АТЕ</w:t>
      </w:r>
      <w:bookmarkEnd w:id="3"/>
    </w:p>
    <w:p w14:paraId="3219B2B1" w14:textId="77777777" w:rsidR="00B4092E" w:rsidRPr="00B4092E" w:rsidRDefault="00B4092E" w:rsidP="00B4092E">
      <w:pPr>
        <w:spacing w:line="240" w:lineRule="auto"/>
        <w:rPr>
          <w:rFonts w:eastAsia="Times New Roman" w:cs="Arial"/>
          <w:sz w:val="24"/>
          <w:szCs w:val="24"/>
          <w:lang w:eastAsia="bg-BG"/>
        </w:rPr>
      </w:pPr>
      <w:r w:rsidRPr="00B4092E">
        <w:rPr>
          <w:rFonts w:eastAsia="Times New Roman" w:cs="Arial"/>
          <w:color w:val="000000"/>
          <w:lang w:eastAsia="bg-BG"/>
        </w:rPr>
        <w:t>Рискът от артериални тромбоемболични усложнения или от мозъчно-съдов инцидент при жени, приемащи КХК, е увеличен при жените, които имат рискови фактори (вж. таблицата). Джаз е противопоказан, ако дадена жена има един сериозен или множество рискови фактори за АТЕ, което я поставя във висок риск от артериална тромбоза (вж. точка 4.3). Ако дадена жена има повече от един рисков фактор, възможно е увеличението на риска да е по-голямо от сумата на индивидуалните фактори - в този случай трябва да се прецени общият риск за нея. Ако съотношението полза/риск се счита за отрицателно, КХК не трябва да се предписват (вж. точка 4.3).</w:t>
      </w:r>
    </w:p>
    <w:p w14:paraId="71D966A6" w14:textId="77777777" w:rsidR="00B4092E" w:rsidRPr="00B4092E" w:rsidRDefault="00B4092E" w:rsidP="00B4092E">
      <w:pPr>
        <w:spacing w:line="240" w:lineRule="auto"/>
        <w:rPr>
          <w:rFonts w:eastAsia="Times New Roman" w:cs="Arial"/>
          <w:b/>
          <w:bCs/>
          <w:color w:val="000000"/>
          <w:lang w:eastAsia="bg-BG"/>
        </w:rPr>
      </w:pPr>
    </w:p>
    <w:p w14:paraId="1EE8F2B1" w14:textId="0C92ABE7" w:rsidR="00B4092E" w:rsidRPr="00B4092E" w:rsidRDefault="00B4092E" w:rsidP="00B4092E">
      <w:pPr>
        <w:spacing w:line="240" w:lineRule="auto"/>
        <w:rPr>
          <w:rFonts w:eastAsia="Times New Roman" w:cs="Arial"/>
          <w:sz w:val="24"/>
          <w:szCs w:val="24"/>
          <w:lang w:eastAsia="bg-BG"/>
        </w:rPr>
      </w:pPr>
      <w:r w:rsidRPr="00B4092E">
        <w:rPr>
          <w:rFonts w:eastAsia="Times New Roman" w:cs="Arial"/>
          <w:b/>
          <w:bCs/>
          <w:color w:val="000000"/>
          <w:lang w:eastAsia="bg-BG"/>
        </w:rPr>
        <w:t>Таблица: Рискови фактори за АТЕ</w:t>
      </w:r>
    </w:p>
    <w:tbl>
      <w:tblPr>
        <w:tblStyle w:val="TableGrid"/>
        <w:tblW w:w="0" w:type="auto"/>
        <w:tblLook w:val="04A0" w:firstRow="1" w:lastRow="0" w:firstColumn="1" w:lastColumn="0" w:noHBand="0" w:noVBand="1"/>
      </w:tblPr>
      <w:tblGrid>
        <w:gridCol w:w="4662"/>
        <w:gridCol w:w="4688"/>
      </w:tblGrid>
      <w:tr w:rsidR="00B4092E" w14:paraId="62368C0D" w14:textId="77777777" w:rsidTr="00132CC2">
        <w:tc>
          <w:tcPr>
            <w:tcW w:w="4750" w:type="dxa"/>
            <w:vAlign w:val="bottom"/>
          </w:tcPr>
          <w:p w14:paraId="76F607EA" w14:textId="4A29E6BC" w:rsidR="00B4092E" w:rsidRDefault="00B4092E" w:rsidP="00B4092E">
            <w:pPr>
              <w:spacing w:line="240" w:lineRule="auto"/>
              <w:rPr>
                <w:rFonts w:eastAsia="Times New Roman" w:cs="Arial"/>
                <w:sz w:val="32"/>
                <w:szCs w:val="32"/>
                <w:lang w:eastAsia="bg-BG"/>
              </w:rPr>
            </w:pPr>
            <w:r>
              <w:rPr>
                <w:b/>
                <w:bCs/>
              </w:rPr>
              <w:t>Рисков фактор</w:t>
            </w:r>
          </w:p>
        </w:tc>
        <w:tc>
          <w:tcPr>
            <w:tcW w:w="4750" w:type="dxa"/>
            <w:vAlign w:val="bottom"/>
          </w:tcPr>
          <w:p w14:paraId="579AA19B" w14:textId="448597A8" w:rsidR="00B4092E" w:rsidRDefault="00B4092E" w:rsidP="00B4092E">
            <w:pPr>
              <w:spacing w:line="240" w:lineRule="auto"/>
              <w:rPr>
                <w:rFonts w:eastAsia="Times New Roman" w:cs="Arial"/>
                <w:sz w:val="32"/>
                <w:szCs w:val="32"/>
                <w:lang w:eastAsia="bg-BG"/>
              </w:rPr>
            </w:pPr>
            <w:r>
              <w:rPr>
                <w:b/>
                <w:bCs/>
              </w:rPr>
              <w:t>Коментар</w:t>
            </w:r>
          </w:p>
        </w:tc>
      </w:tr>
      <w:tr w:rsidR="00B4092E" w14:paraId="6CB0738D" w14:textId="77777777" w:rsidTr="00132CC2">
        <w:tc>
          <w:tcPr>
            <w:tcW w:w="4750" w:type="dxa"/>
            <w:vAlign w:val="bottom"/>
          </w:tcPr>
          <w:p w14:paraId="61A7B945" w14:textId="5417EE4F" w:rsidR="00B4092E" w:rsidRDefault="00B4092E" w:rsidP="00B4092E">
            <w:pPr>
              <w:spacing w:line="240" w:lineRule="auto"/>
              <w:rPr>
                <w:rFonts w:eastAsia="Times New Roman" w:cs="Arial"/>
                <w:sz w:val="32"/>
                <w:szCs w:val="32"/>
                <w:lang w:eastAsia="bg-BG"/>
              </w:rPr>
            </w:pPr>
            <w:r>
              <w:t>Напредваща възраст</w:t>
            </w:r>
          </w:p>
        </w:tc>
        <w:tc>
          <w:tcPr>
            <w:tcW w:w="4750" w:type="dxa"/>
            <w:vAlign w:val="bottom"/>
          </w:tcPr>
          <w:p w14:paraId="7A7B7124" w14:textId="351E2437" w:rsidR="00B4092E" w:rsidRDefault="00B4092E" w:rsidP="00B4092E">
            <w:pPr>
              <w:spacing w:line="240" w:lineRule="auto"/>
              <w:rPr>
                <w:rFonts w:eastAsia="Times New Roman" w:cs="Arial"/>
                <w:sz w:val="32"/>
                <w:szCs w:val="32"/>
                <w:lang w:eastAsia="bg-BG"/>
              </w:rPr>
            </w:pPr>
            <w:r>
              <w:t>Особено над 35 години</w:t>
            </w:r>
          </w:p>
        </w:tc>
      </w:tr>
      <w:tr w:rsidR="00B4092E" w14:paraId="1853EA54" w14:textId="77777777" w:rsidTr="00132CC2">
        <w:tc>
          <w:tcPr>
            <w:tcW w:w="4750" w:type="dxa"/>
          </w:tcPr>
          <w:p w14:paraId="484DE3A1" w14:textId="606031D0" w:rsidR="00B4092E" w:rsidRDefault="00B4092E" w:rsidP="00B4092E">
            <w:pPr>
              <w:spacing w:line="240" w:lineRule="auto"/>
              <w:rPr>
                <w:rFonts w:eastAsia="Times New Roman" w:cs="Arial"/>
                <w:sz w:val="32"/>
                <w:szCs w:val="32"/>
                <w:lang w:eastAsia="bg-BG"/>
              </w:rPr>
            </w:pPr>
            <w:r>
              <w:t>Тютюнопушене</w:t>
            </w:r>
          </w:p>
        </w:tc>
        <w:tc>
          <w:tcPr>
            <w:tcW w:w="4750" w:type="dxa"/>
            <w:vAlign w:val="bottom"/>
          </w:tcPr>
          <w:p w14:paraId="6563DE9D" w14:textId="77777777" w:rsidR="00B4092E" w:rsidRDefault="00B4092E" w:rsidP="00B4092E">
            <w:r>
              <w:t>Жените трябва да бъдат съветвани да не пушат, ако желаят да използват КХК. Жени над 35 години, които продължават да пушат, трябва настойчиво да бъдат съветвани да използват различен метод на</w:t>
            </w:r>
          </w:p>
          <w:p w14:paraId="6F22779E" w14:textId="43601603" w:rsidR="00B4092E" w:rsidRDefault="00B4092E" w:rsidP="00B4092E">
            <w:pPr>
              <w:spacing w:line="240" w:lineRule="auto"/>
              <w:rPr>
                <w:rFonts w:eastAsia="Times New Roman" w:cs="Arial"/>
                <w:sz w:val="32"/>
                <w:szCs w:val="32"/>
                <w:lang w:eastAsia="bg-BG"/>
              </w:rPr>
            </w:pPr>
            <w:r>
              <w:t>контрацепция.</w:t>
            </w:r>
          </w:p>
        </w:tc>
      </w:tr>
      <w:tr w:rsidR="00B4092E" w14:paraId="74DF1F0D" w14:textId="77777777" w:rsidTr="00132CC2">
        <w:tc>
          <w:tcPr>
            <w:tcW w:w="4750" w:type="dxa"/>
            <w:vAlign w:val="bottom"/>
          </w:tcPr>
          <w:p w14:paraId="66514ACA" w14:textId="583936EC" w:rsidR="00B4092E" w:rsidRDefault="00B4092E" w:rsidP="00B4092E">
            <w:pPr>
              <w:spacing w:line="240" w:lineRule="auto"/>
              <w:rPr>
                <w:rFonts w:eastAsia="Times New Roman" w:cs="Arial"/>
                <w:sz w:val="32"/>
                <w:szCs w:val="32"/>
                <w:lang w:eastAsia="bg-BG"/>
              </w:rPr>
            </w:pPr>
            <w:r>
              <w:t>Хипертония</w:t>
            </w:r>
          </w:p>
        </w:tc>
        <w:tc>
          <w:tcPr>
            <w:tcW w:w="4750" w:type="dxa"/>
          </w:tcPr>
          <w:p w14:paraId="57AF2303" w14:textId="77777777" w:rsidR="00B4092E" w:rsidRDefault="00B4092E" w:rsidP="00B4092E">
            <w:pPr>
              <w:spacing w:line="240" w:lineRule="auto"/>
              <w:rPr>
                <w:rFonts w:eastAsia="Times New Roman" w:cs="Arial"/>
                <w:sz w:val="32"/>
                <w:szCs w:val="32"/>
                <w:lang w:eastAsia="bg-BG"/>
              </w:rPr>
            </w:pPr>
          </w:p>
        </w:tc>
      </w:tr>
      <w:tr w:rsidR="00B4092E" w14:paraId="68ADA8A6" w14:textId="77777777" w:rsidTr="00B4092E">
        <w:tc>
          <w:tcPr>
            <w:tcW w:w="4750" w:type="dxa"/>
          </w:tcPr>
          <w:p w14:paraId="2EB72451" w14:textId="6F2FC544" w:rsidR="00B4092E" w:rsidRPr="00B4092E" w:rsidRDefault="00B4092E" w:rsidP="00B4092E">
            <w:pPr>
              <w:spacing w:line="240" w:lineRule="auto"/>
              <w:rPr>
                <w:rFonts w:eastAsia="Times New Roman" w:cs="Arial"/>
                <w:sz w:val="32"/>
                <w:szCs w:val="32"/>
                <w:lang w:val="en-US" w:eastAsia="bg-BG"/>
              </w:rPr>
            </w:pPr>
            <w:r>
              <w:t>Наднормено тегло (индекс на</w:t>
            </w:r>
            <w:r>
              <w:rPr>
                <w:lang w:val="en-US"/>
              </w:rPr>
              <w:t xml:space="preserve"> </w:t>
            </w:r>
            <w:r>
              <w:t xml:space="preserve">телесна маса над 30 </w:t>
            </w:r>
            <w:r>
              <w:rPr>
                <w:lang w:val="en-US"/>
              </w:rPr>
              <w:t>kg/m</w:t>
            </w:r>
            <w:r>
              <w:rPr>
                <w:vertAlign w:val="superscript"/>
                <w:lang w:val="en-US"/>
              </w:rPr>
              <w:t>2</w:t>
            </w:r>
            <w:r>
              <w:rPr>
                <w:lang w:val="en-US"/>
              </w:rPr>
              <w:t>)</w:t>
            </w:r>
          </w:p>
        </w:tc>
        <w:tc>
          <w:tcPr>
            <w:tcW w:w="4750" w:type="dxa"/>
          </w:tcPr>
          <w:p w14:paraId="30206797" w14:textId="77777777" w:rsidR="00B4092E" w:rsidRPr="00B4092E" w:rsidRDefault="00B4092E" w:rsidP="00B4092E">
            <w:pPr>
              <w:rPr>
                <w:rFonts w:eastAsia="Times New Roman" w:cs="Arial"/>
                <w:sz w:val="24"/>
                <w:szCs w:val="24"/>
                <w:lang w:eastAsia="bg-BG"/>
              </w:rPr>
            </w:pPr>
            <w:r w:rsidRPr="00B4092E">
              <w:rPr>
                <w:rFonts w:cs="Arial"/>
              </w:rPr>
              <w:t>Рискът значително се увеличава с повишаването на</w:t>
            </w:r>
            <w:r w:rsidRPr="00B4092E">
              <w:rPr>
                <w:rFonts w:cs="Arial"/>
                <w:lang w:val="en-US"/>
              </w:rPr>
              <w:t xml:space="preserve"> </w:t>
            </w:r>
            <w:r w:rsidRPr="00B4092E">
              <w:rPr>
                <w:rFonts w:eastAsia="Times New Roman" w:cs="Arial"/>
                <w:color w:val="000000"/>
                <w:lang w:eastAsia="bg-BG"/>
              </w:rPr>
              <w:t xml:space="preserve">индекса на телесна маса </w:t>
            </w:r>
            <w:r w:rsidRPr="00B4092E">
              <w:rPr>
                <w:rFonts w:eastAsia="Times New Roman" w:cs="Arial"/>
                <w:color w:val="000000"/>
                <w:lang w:val="en-US"/>
              </w:rPr>
              <w:t>(BMI).</w:t>
            </w:r>
          </w:p>
          <w:p w14:paraId="42F91529" w14:textId="6632EBFD" w:rsidR="00B4092E" w:rsidRPr="00B4092E" w:rsidRDefault="00B4092E" w:rsidP="00B4092E">
            <w:pPr>
              <w:spacing w:line="240" w:lineRule="auto"/>
              <w:rPr>
                <w:rFonts w:eastAsia="Times New Roman" w:cs="Arial"/>
                <w:sz w:val="32"/>
                <w:szCs w:val="32"/>
                <w:lang w:val="en-US" w:eastAsia="bg-BG"/>
              </w:rPr>
            </w:pPr>
            <w:r w:rsidRPr="00B4092E">
              <w:rPr>
                <w:rFonts w:eastAsia="Times New Roman" w:cs="Arial"/>
                <w:color w:val="000000"/>
                <w:lang w:eastAsia="bg-BG"/>
              </w:rPr>
              <w:t>Особено важно при жени с допълнителни рискови фактори</w:t>
            </w:r>
          </w:p>
        </w:tc>
      </w:tr>
      <w:tr w:rsidR="00B4092E" w14:paraId="06C98268" w14:textId="77777777" w:rsidTr="00743B91">
        <w:tc>
          <w:tcPr>
            <w:tcW w:w="4750" w:type="dxa"/>
            <w:vAlign w:val="bottom"/>
          </w:tcPr>
          <w:p w14:paraId="692BD194" w14:textId="6A8B5FF6" w:rsidR="00B4092E" w:rsidRDefault="00B4092E" w:rsidP="00B4092E">
            <w:pPr>
              <w:spacing w:line="240" w:lineRule="auto"/>
              <w:rPr>
                <w:rFonts w:eastAsia="Times New Roman" w:cs="Arial"/>
                <w:sz w:val="32"/>
                <w:szCs w:val="32"/>
                <w:lang w:eastAsia="bg-BG"/>
              </w:rPr>
            </w:pPr>
            <w:r>
              <w:t xml:space="preserve">Наличие на фамилна анамнеза (артериална тромбоемболия при брат/сестра или родител, особено в </w:t>
            </w:r>
            <w:r>
              <w:lastRenderedPageBreak/>
              <w:t>сравнително млада възраст, напр. под 50 години).</w:t>
            </w:r>
          </w:p>
        </w:tc>
        <w:tc>
          <w:tcPr>
            <w:tcW w:w="4750" w:type="dxa"/>
          </w:tcPr>
          <w:p w14:paraId="5113FC79" w14:textId="7FED5AF2" w:rsidR="00B4092E" w:rsidRDefault="00B4092E" w:rsidP="00B4092E">
            <w:pPr>
              <w:spacing w:line="240" w:lineRule="auto"/>
              <w:rPr>
                <w:rFonts w:eastAsia="Times New Roman" w:cs="Arial"/>
                <w:sz w:val="32"/>
                <w:szCs w:val="32"/>
                <w:lang w:eastAsia="bg-BG"/>
              </w:rPr>
            </w:pPr>
            <w:r>
              <w:lastRenderedPageBreak/>
              <w:t xml:space="preserve">Ако има съмнение за наследствено предразположение, жената трябва да се насочи за консултация със специалист, </w:t>
            </w:r>
            <w:r>
              <w:lastRenderedPageBreak/>
              <w:t>преди да реши дали да използва КХК.</w:t>
            </w:r>
          </w:p>
        </w:tc>
      </w:tr>
      <w:tr w:rsidR="00B4092E" w14:paraId="79E1B40F" w14:textId="77777777" w:rsidTr="00743B91">
        <w:tc>
          <w:tcPr>
            <w:tcW w:w="4750" w:type="dxa"/>
          </w:tcPr>
          <w:p w14:paraId="7B9C7817" w14:textId="4FC6FC69" w:rsidR="00B4092E" w:rsidRDefault="00B4092E" w:rsidP="00B4092E">
            <w:pPr>
              <w:spacing w:line="240" w:lineRule="auto"/>
              <w:rPr>
                <w:rFonts w:eastAsia="Times New Roman" w:cs="Arial"/>
                <w:sz w:val="32"/>
                <w:szCs w:val="32"/>
                <w:lang w:eastAsia="bg-BG"/>
              </w:rPr>
            </w:pPr>
            <w:r>
              <w:lastRenderedPageBreak/>
              <w:t>Мигрена</w:t>
            </w:r>
          </w:p>
        </w:tc>
        <w:tc>
          <w:tcPr>
            <w:tcW w:w="4750" w:type="dxa"/>
            <w:vAlign w:val="bottom"/>
          </w:tcPr>
          <w:p w14:paraId="3CB7FFEB" w14:textId="1FCE23C9" w:rsidR="00B4092E" w:rsidRDefault="00B4092E" w:rsidP="00B4092E">
            <w:pPr>
              <w:spacing w:line="240" w:lineRule="auto"/>
              <w:rPr>
                <w:rFonts w:eastAsia="Times New Roman" w:cs="Arial"/>
                <w:sz w:val="32"/>
                <w:szCs w:val="32"/>
                <w:lang w:eastAsia="bg-BG"/>
              </w:rPr>
            </w:pPr>
            <w:r>
              <w:t>Увеличаването на честотата или тежестта на мигренозните пристъпи по време на приемане на КХК (което може да е продромално състояние на мозъчно-съдов инцидент) може да стане причина за незабавно прекратяване на приема.</w:t>
            </w:r>
          </w:p>
        </w:tc>
      </w:tr>
      <w:tr w:rsidR="00B4092E" w14:paraId="16495041" w14:textId="77777777" w:rsidTr="00743B91">
        <w:tc>
          <w:tcPr>
            <w:tcW w:w="4750" w:type="dxa"/>
          </w:tcPr>
          <w:p w14:paraId="62C58D8C" w14:textId="423F8F1D" w:rsidR="00B4092E" w:rsidRDefault="00B4092E" w:rsidP="00B4092E">
            <w:pPr>
              <w:spacing w:line="240" w:lineRule="auto"/>
              <w:rPr>
                <w:rFonts w:eastAsia="Times New Roman" w:cs="Arial"/>
                <w:sz w:val="32"/>
                <w:szCs w:val="32"/>
                <w:lang w:eastAsia="bg-BG"/>
              </w:rPr>
            </w:pPr>
            <w:r>
              <w:t>Други заболявания, свързани с нежелани съдови събития</w:t>
            </w:r>
          </w:p>
        </w:tc>
        <w:tc>
          <w:tcPr>
            <w:tcW w:w="4750" w:type="dxa"/>
            <w:vAlign w:val="bottom"/>
          </w:tcPr>
          <w:p w14:paraId="4FD4157E" w14:textId="1B62351D" w:rsidR="00B4092E" w:rsidRDefault="00B4092E" w:rsidP="00B4092E">
            <w:pPr>
              <w:spacing w:line="240" w:lineRule="auto"/>
              <w:rPr>
                <w:rFonts w:eastAsia="Times New Roman" w:cs="Arial"/>
                <w:sz w:val="32"/>
                <w:szCs w:val="32"/>
                <w:lang w:eastAsia="bg-BG"/>
              </w:rPr>
            </w:pPr>
            <w:r>
              <w:t>Захарен диабет, хиперхомоцистеинемия, клапно сърдечно заболяване и предсърдно мъждене, дислипопротеинемия и системен лупус еритематодес.</w:t>
            </w:r>
          </w:p>
        </w:tc>
      </w:tr>
    </w:tbl>
    <w:p w14:paraId="4C4216A1" w14:textId="77777777" w:rsidR="00B4092E" w:rsidRDefault="00B4092E" w:rsidP="00B4092E">
      <w:pPr>
        <w:spacing w:line="240" w:lineRule="auto"/>
        <w:rPr>
          <w:rFonts w:eastAsia="Times New Roman" w:cs="Arial"/>
          <w:sz w:val="32"/>
          <w:szCs w:val="32"/>
          <w:lang w:eastAsia="bg-BG"/>
        </w:rPr>
      </w:pPr>
    </w:p>
    <w:p w14:paraId="27ACB16E" w14:textId="77777777" w:rsidR="00B4092E" w:rsidRPr="00B4092E" w:rsidRDefault="00B4092E" w:rsidP="00B4092E">
      <w:pPr>
        <w:spacing w:line="240" w:lineRule="auto"/>
        <w:rPr>
          <w:rFonts w:eastAsia="Times New Roman" w:cs="Arial"/>
          <w:lang w:eastAsia="bg-BG"/>
        </w:rPr>
      </w:pPr>
      <w:r w:rsidRPr="00B4092E">
        <w:rPr>
          <w:rFonts w:eastAsia="Times New Roman" w:cs="Arial"/>
          <w:b/>
          <w:bCs/>
          <w:color w:val="000000"/>
          <w:u w:val="single"/>
          <w:lang w:eastAsia="bg-BG"/>
        </w:rPr>
        <w:t xml:space="preserve">Симптоми на </w:t>
      </w:r>
      <w:r w:rsidRPr="00B4092E">
        <w:rPr>
          <w:rFonts w:eastAsia="Times New Roman" w:cs="Arial"/>
          <w:b/>
          <w:bCs/>
          <w:color w:val="000000"/>
          <w:u w:val="single"/>
          <w:lang w:val="en-US"/>
        </w:rPr>
        <w:t>ATE</w:t>
      </w:r>
    </w:p>
    <w:p w14:paraId="42285BD4" w14:textId="77777777" w:rsidR="00B4092E" w:rsidRPr="00B4092E" w:rsidRDefault="00B4092E" w:rsidP="00B4092E">
      <w:pPr>
        <w:spacing w:line="240" w:lineRule="auto"/>
        <w:rPr>
          <w:rFonts w:eastAsia="Times New Roman" w:cs="Arial"/>
          <w:color w:val="000000"/>
          <w:lang w:eastAsia="bg-BG"/>
        </w:rPr>
      </w:pPr>
    </w:p>
    <w:p w14:paraId="271F9D2F" w14:textId="00EA937A"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В случай на симптоми, жените трябва да бъдат посъветвани да потърсят спешна медицинска помощ и да информират медицинския специалист, че приемат КХК.</w:t>
      </w:r>
    </w:p>
    <w:p w14:paraId="3B1A4EAE" w14:textId="77777777" w:rsidR="00B4092E" w:rsidRPr="00B4092E" w:rsidRDefault="00B4092E" w:rsidP="00B4092E">
      <w:pPr>
        <w:spacing w:line="240" w:lineRule="auto"/>
        <w:rPr>
          <w:rFonts w:eastAsia="Times New Roman" w:cs="Arial"/>
          <w:color w:val="000000"/>
          <w:lang w:eastAsia="bg-BG"/>
        </w:rPr>
      </w:pPr>
    </w:p>
    <w:p w14:paraId="02DDCDD9" w14:textId="2157A9D0"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Симптомите на мозъчно-съдов инцидент могат да включват:</w:t>
      </w:r>
    </w:p>
    <w:p w14:paraId="24011E9D" w14:textId="77777777" w:rsidR="00B4092E" w:rsidRPr="00B4092E" w:rsidRDefault="00B4092E" w:rsidP="00B4092E">
      <w:pPr>
        <w:pStyle w:val="ListParagraph"/>
        <w:numPr>
          <w:ilvl w:val="0"/>
          <w:numId w:val="44"/>
        </w:numPr>
        <w:spacing w:line="240" w:lineRule="auto"/>
        <w:rPr>
          <w:rFonts w:eastAsia="Times New Roman" w:cs="Arial"/>
          <w:lang w:eastAsia="bg-BG"/>
        </w:rPr>
      </w:pPr>
      <w:r w:rsidRPr="00B4092E">
        <w:rPr>
          <w:rFonts w:eastAsia="Times New Roman" w:cs="Arial"/>
          <w:color w:val="000000"/>
          <w:lang w:eastAsia="bg-BG"/>
        </w:rPr>
        <w:t>внезапно изтръпване или слабост на лицето, ръцете или краката, особено от едната страна на тялото;</w:t>
      </w:r>
    </w:p>
    <w:p w14:paraId="0B7267BE" w14:textId="77777777" w:rsidR="00B4092E" w:rsidRPr="00B4092E" w:rsidRDefault="00B4092E" w:rsidP="00B4092E">
      <w:pPr>
        <w:pStyle w:val="ListParagraph"/>
        <w:numPr>
          <w:ilvl w:val="0"/>
          <w:numId w:val="44"/>
        </w:numPr>
        <w:spacing w:line="240" w:lineRule="auto"/>
        <w:rPr>
          <w:rFonts w:eastAsia="Times New Roman" w:cs="Arial"/>
          <w:lang w:eastAsia="bg-BG"/>
        </w:rPr>
      </w:pPr>
      <w:r w:rsidRPr="00B4092E">
        <w:rPr>
          <w:rFonts w:eastAsia="Times New Roman" w:cs="Arial"/>
          <w:color w:val="000000"/>
          <w:lang w:eastAsia="bg-BG"/>
        </w:rPr>
        <w:t>внезапно затруднение при ходене, замаяност, загуба на равновесие или координация;</w:t>
      </w:r>
    </w:p>
    <w:p w14:paraId="6C0247C2" w14:textId="77777777" w:rsidR="00B4092E" w:rsidRPr="00B4092E" w:rsidRDefault="00B4092E" w:rsidP="00B4092E">
      <w:pPr>
        <w:pStyle w:val="ListParagraph"/>
        <w:numPr>
          <w:ilvl w:val="0"/>
          <w:numId w:val="44"/>
        </w:numPr>
        <w:spacing w:line="240" w:lineRule="auto"/>
        <w:rPr>
          <w:rFonts w:eastAsia="Times New Roman" w:cs="Arial"/>
          <w:lang w:eastAsia="bg-BG"/>
        </w:rPr>
      </w:pPr>
      <w:r w:rsidRPr="00B4092E">
        <w:rPr>
          <w:rFonts w:eastAsia="Times New Roman" w:cs="Arial"/>
          <w:color w:val="000000"/>
          <w:lang w:eastAsia="bg-BG"/>
        </w:rPr>
        <w:t>внезапна обърканост, затруднен говор или затруднено разбиране;</w:t>
      </w:r>
    </w:p>
    <w:p w14:paraId="6CA26524" w14:textId="77777777" w:rsidR="00B4092E" w:rsidRPr="00B4092E" w:rsidRDefault="00B4092E" w:rsidP="00B4092E">
      <w:pPr>
        <w:pStyle w:val="ListParagraph"/>
        <w:numPr>
          <w:ilvl w:val="0"/>
          <w:numId w:val="44"/>
        </w:numPr>
        <w:spacing w:line="240" w:lineRule="auto"/>
        <w:rPr>
          <w:rFonts w:eastAsia="Times New Roman" w:cs="Arial"/>
          <w:lang w:eastAsia="bg-BG"/>
        </w:rPr>
      </w:pPr>
      <w:r w:rsidRPr="00B4092E">
        <w:rPr>
          <w:rFonts w:eastAsia="Times New Roman" w:cs="Arial"/>
          <w:color w:val="000000"/>
          <w:lang w:eastAsia="bg-BG"/>
        </w:rPr>
        <w:t>внезапно затруднено виждане с едното или и с двете очи;</w:t>
      </w:r>
    </w:p>
    <w:p w14:paraId="7D8DDFB1" w14:textId="77777777" w:rsidR="00B4092E" w:rsidRPr="00B4092E" w:rsidRDefault="00B4092E" w:rsidP="00B4092E">
      <w:pPr>
        <w:pStyle w:val="ListParagraph"/>
        <w:numPr>
          <w:ilvl w:val="0"/>
          <w:numId w:val="44"/>
        </w:numPr>
        <w:spacing w:line="240" w:lineRule="auto"/>
        <w:rPr>
          <w:rFonts w:eastAsia="Times New Roman" w:cs="Arial"/>
          <w:lang w:eastAsia="bg-BG"/>
        </w:rPr>
      </w:pPr>
      <w:r w:rsidRPr="00B4092E">
        <w:rPr>
          <w:rFonts w:eastAsia="Times New Roman" w:cs="Arial"/>
          <w:color w:val="000000"/>
          <w:lang w:eastAsia="bg-BG"/>
        </w:rPr>
        <w:t>внезапно, тежко или продължително главоболие без известна причина;</w:t>
      </w:r>
    </w:p>
    <w:p w14:paraId="0532503E" w14:textId="0A65C6F2" w:rsidR="00B4092E" w:rsidRPr="00B4092E" w:rsidRDefault="00B4092E" w:rsidP="00B4092E">
      <w:pPr>
        <w:pStyle w:val="ListParagraph"/>
        <w:numPr>
          <w:ilvl w:val="0"/>
          <w:numId w:val="44"/>
        </w:numPr>
        <w:spacing w:line="240" w:lineRule="auto"/>
        <w:rPr>
          <w:rFonts w:eastAsia="Times New Roman" w:cs="Arial"/>
          <w:lang w:eastAsia="bg-BG"/>
        </w:rPr>
      </w:pPr>
      <w:r w:rsidRPr="00B4092E">
        <w:rPr>
          <w:rFonts w:eastAsia="Times New Roman" w:cs="Arial"/>
          <w:color w:val="000000"/>
          <w:lang w:eastAsia="bg-BG"/>
        </w:rPr>
        <w:t>загуба на съзнание или припадък със или без гърч.</w:t>
      </w:r>
    </w:p>
    <w:p w14:paraId="094D0CDA" w14:textId="77777777" w:rsidR="00B4092E" w:rsidRPr="00B4092E" w:rsidRDefault="00B4092E" w:rsidP="00B4092E">
      <w:pPr>
        <w:spacing w:line="240" w:lineRule="auto"/>
        <w:rPr>
          <w:rFonts w:eastAsia="Times New Roman" w:cs="Arial"/>
          <w:color w:val="000000"/>
          <w:lang w:eastAsia="bg-BG"/>
        </w:rPr>
      </w:pPr>
    </w:p>
    <w:p w14:paraId="763D12CB" w14:textId="46CB88D4"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Преходните симптоми предполагат, че събитието е преходна исхемична атака (ПИА).</w:t>
      </w:r>
    </w:p>
    <w:p w14:paraId="5BC4B513" w14:textId="77777777" w:rsidR="00B4092E" w:rsidRPr="00B4092E" w:rsidRDefault="00B4092E" w:rsidP="00B4092E">
      <w:pPr>
        <w:spacing w:line="240" w:lineRule="auto"/>
        <w:rPr>
          <w:rFonts w:eastAsia="Times New Roman" w:cs="Arial"/>
          <w:color w:val="000000"/>
          <w:lang w:eastAsia="bg-BG"/>
        </w:rPr>
      </w:pPr>
    </w:p>
    <w:p w14:paraId="2006DF66" w14:textId="6BF2C6E2"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Симптомите на инфаркт на миокарда (ИМ) могат да включват:</w:t>
      </w:r>
    </w:p>
    <w:p w14:paraId="7E6FCE7C" w14:textId="77777777" w:rsidR="00B4092E" w:rsidRPr="00B4092E" w:rsidRDefault="00B4092E" w:rsidP="00B4092E">
      <w:pPr>
        <w:pStyle w:val="ListParagraph"/>
        <w:numPr>
          <w:ilvl w:val="0"/>
          <w:numId w:val="45"/>
        </w:numPr>
        <w:spacing w:line="240" w:lineRule="auto"/>
        <w:rPr>
          <w:rFonts w:eastAsia="Times New Roman" w:cs="Arial"/>
          <w:lang w:eastAsia="bg-BG"/>
        </w:rPr>
      </w:pPr>
      <w:r w:rsidRPr="00B4092E">
        <w:rPr>
          <w:rFonts w:eastAsia="Times New Roman" w:cs="Arial"/>
          <w:color w:val="000000"/>
          <w:lang w:eastAsia="bg-BG"/>
        </w:rPr>
        <w:t>болка, дискомфорт, напрежение, тежест, усещане за стягане или тежест в гърдите, ръката или под гръдната кост;</w:t>
      </w:r>
    </w:p>
    <w:p w14:paraId="057BF4D3" w14:textId="77777777" w:rsidR="00B4092E" w:rsidRPr="00B4092E" w:rsidRDefault="00B4092E" w:rsidP="00B4092E">
      <w:pPr>
        <w:pStyle w:val="ListParagraph"/>
        <w:numPr>
          <w:ilvl w:val="0"/>
          <w:numId w:val="45"/>
        </w:numPr>
        <w:spacing w:line="240" w:lineRule="auto"/>
        <w:rPr>
          <w:rFonts w:eastAsia="Times New Roman" w:cs="Arial"/>
          <w:lang w:eastAsia="bg-BG"/>
        </w:rPr>
      </w:pPr>
      <w:r w:rsidRPr="00B4092E">
        <w:rPr>
          <w:rFonts w:eastAsia="Times New Roman" w:cs="Arial"/>
          <w:color w:val="000000"/>
          <w:lang w:eastAsia="bg-BG"/>
        </w:rPr>
        <w:t>дискомфорт, разпространяващ се към гърба, челюстта, гърлото, ръката, стомаха;</w:t>
      </w:r>
    </w:p>
    <w:p w14:paraId="11BA773B" w14:textId="77777777" w:rsidR="00B4092E" w:rsidRPr="00B4092E" w:rsidRDefault="00B4092E" w:rsidP="00B4092E">
      <w:pPr>
        <w:pStyle w:val="ListParagraph"/>
        <w:numPr>
          <w:ilvl w:val="0"/>
          <w:numId w:val="45"/>
        </w:numPr>
        <w:spacing w:line="240" w:lineRule="auto"/>
        <w:rPr>
          <w:rFonts w:eastAsia="Times New Roman" w:cs="Arial"/>
          <w:lang w:eastAsia="bg-BG"/>
        </w:rPr>
      </w:pPr>
      <w:r w:rsidRPr="00B4092E">
        <w:rPr>
          <w:rFonts w:eastAsia="Times New Roman" w:cs="Arial"/>
          <w:color w:val="000000"/>
          <w:lang w:eastAsia="bg-BG"/>
        </w:rPr>
        <w:t>усещане за ситост, наличие на лошо храносмилане или задавяне;</w:t>
      </w:r>
    </w:p>
    <w:p w14:paraId="495CAB97" w14:textId="77777777" w:rsidR="00B4092E" w:rsidRPr="00B4092E" w:rsidRDefault="00B4092E" w:rsidP="00B4092E">
      <w:pPr>
        <w:pStyle w:val="ListParagraph"/>
        <w:numPr>
          <w:ilvl w:val="0"/>
          <w:numId w:val="45"/>
        </w:numPr>
        <w:spacing w:line="240" w:lineRule="auto"/>
        <w:rPr>
          <w:rFonts w:eastAsia="Times New Roman" w:cs="Arial"/>
          <w:lang w:eastAsia="bg-BG"/>
        </w:rPr>
      </w:pPr>
      <w:r w:rsidRPr="00B4092E">
        <w:rPr>
          <w:rFonts w:eastAsia="Times New Roman" w:cs="Arial"/>
          <w:color w:val="000000"/>
          <w:lang w:eastAsia="bg-BG"/>
        </w:rPr>
        <w:t>изпотяване, гадене, повръщане или замаяност;</w:t>
      </w:r>
    </w:p>
    <w:p w14:paraId="3FA18A8D" w14:textId="77777777" w:rsidR="00B4092E" w:rsidRPr="00B4092E" w:rsidRDefault="00B4092E" w:rsidP="00B4092E">
      <w:pPr>
        <w:pStyle w:val="ListParagraph"/>
        <w:numPr>
          <w:ilvl w:val="0"/>
          <w:numId w:val="45"/>
        </w:numPr>
        <w:spacing w:line="240" w:lineRule="auto"/>
        <w:rPr>
          <w:rFonts w:eastAsia="Times New Roman" w:cs="Arial"/>
          <w:lang w:eastAsia="bg-BG"/>
        </w:rPr>
      </w:pPr>
      <w:r w:rsidRPr="00B4092E">
        <w:rPr>
          <w:rFonts w:eastAsia="Times New Roman" w:cs="Arial"/>
          <w:color w:val="000000"/>
          <w:lang w:eastAsia="bg-BG"/>
        </w:rPr>
        <w:t>прекомерна слабост, безпокойство или задух;</w:t>
      </w:r>
    </w:p>
    <w:p w14:paraId="38FC144C" w14:textId="56DEE26E" w:rsidR="00B4092E" w:rsidRPr="00B4092E" w:rsidRDefault="00B4092E" w:rsidP="00B4092E">
      <w:pPr>
        <w:pStyle w:val="ListParagraph"/>
        <w:numPr>
          <w:ilvl w:val="0"/>
          <w:numId w:val="45"/>
        </w:numPr>
        <w:spacing w:line="240" w:lineRule="auto"/>
        <w:rPr>
          <w:rFonts w:eastAsia="Times New Roman" w:cs="Arial"/>
          <w:lang w:eastAsia="bg-BG"/>
        </w:rPr>
      </w:pPr>
      <w:r w:rsidRPr="00B4092E">
        <w:rPr>
          <w:rFonts w:eastAsia="Times New Roman" w:cs="Arial"/>
          <w:color w:val="000000"/>
          <w:lang w:eastAsia="bg-BG"/>
        </w:rPr>
        <w:t>ускорен или неправилен сърдечен ритъм.</w:t>
      </w:r>
    </w:p>
    <w:p w14:paraId="2E4458CD" w14:textId="77777777" w:rsidR="00B4092E" w:rsidRPr="00B4092E" w:rsidRDefault="00B4092E" w:rsidP="00B4092E">
      <w:pPr>
        <w:spacing w:line="240" w:lineRule="auto"/>
        <w:rPr>
          <w:rFonts w:eastAsia="Times New Roman" w:cs="Arial"/>
          <w:color w:val="000000"/>
          <w:lang w:eastAsia="bg-BG"/>
        </w:rPr>
      </w:pPr>
    </w:p>
    <w:p w14:paraId="39A385F2" w14:textId="334D0EFA" w:rsidR="00B4092E" w:rsidRPr="00B4092E" w:rsidRDefault="00B4092E" w:rsidP="00B4092E">
      <w:pPr>
        <w:pStyle w:val="ListParagraph"/>
        <w:numPr>
          <w:ilvl w:val="0"/>
          <w:numId w:val="47"/>
        </w:numPr>
        <w:spacing w:line="240" w:lineRule="auto"/>
        <w:rPr>
          <w:rFonts w:eastAsia="Times New Roman" w:cs="Arial"/>
          <w:lang w:eastAsia="bg-BG"/>
        </w:rPr>
      </w:pPr>
      <w:r w:rsidRPr="00B4092E">
        <w:rPr>
          <w:rFonts w:eastAsia="Times New Roman" w:cs="Arial"/>
          <w:color w:val="000000"/>
          <w:lang w:eastAsia="bg-BG"/>
        </w:rPr>
        <w:t>Тумори</w:t>
      </w:r>
    </w:p>
    <w:p w14:paraId="03DEA24B" w14:textId="515662B0" w:rsidR="00B4092E" w:rsidRPr="00B4092E" w:rsidRDefault="00B4092E" w:rsidP="00B4092E">
      <w:pPr>
        <w:spacing w:line="240" w:lineRule="auto"/>
        <w:rPr>
          <w:rFonts w:eastAsia="Times New Roman" w:cs="Arial"/>
          <w:color w:val="000000"/>
          <w:lang w:val="en-US"/>
        </w:rPr>
      </w:pPr>
      <w:r w:rsidRPr="00B4092E">
        <w:rPr>
          <w:rFonts w:eastAsia="Times New Roman" w:cs="Arial"/>
          <w:color w:val="000000"/>
          <w:lang w:eastAsia="bg-BG"/>
        </w:rPr>
        <w:t xml:space="preserve">В някои епидемиологични проучвания има съобщения за повишен риск от цервикален карцином при продължително използвали КОК (&gt; 5 години), но все още има противоречия за това, доколко подобен резултат допълва увреждащите ефекти на сексуалното поведение и други фактори, като човешкия папилома вирус </w:t>
      </w:r>
      <w:r w:rsidRPr="00B4092E">
        <w:rPr>
          <w:rFonts w:eastAsia="Times New Roman" w:cs="Arial"/>
          <w:color w:val="000000"/>
          <w:lang w:val="en-US"/>
        </w:rPr>
        <w:t>(HPV).</w:t>
      </w:r>
    </w:p>
    <w:p w14:paraId="4E59A87F" w14:textId="77777777" w:rsidR="00B4092E" w:rsidRPr="00B4092E" w:rsidRDefault="00B4092E" w:rsidP="00B4092E">
      <w:pPr>
        <w:spacing w:line="240" w:lineRule="auto"/>
        <w:rPr>
          <w:rFonts w:eastAsia="Times New Roman" w:cs="Arial"/>
          <w:color w:val="000000"/>
          <w:lang w:val="en-US"/>
        </w:rPr>
      </w:pPr>
    </w:p>
    <w:p w14:paraId="5F8ED1D5" w14:textId="266C2C40"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 xml:space="preserve">Мета-анализ на 54 епидемиологични проучвания показва, че съществува леко увеличен относителен риск </w:t>
      </w:r>
      <w:r w:rsidRPr="00B4092E">
        <w:rPr>
          <w:rFonts w:eastAsia="Times New Roman" w:cs="Arial"/>
          <w:color w:val="000000"/>
          <w:lang w:val="en-US"/>
        </w:rPr>
        <w:t xml:space="preserve">(RR </w:t>
      </w:r>
      <w:r w:rsidRPr="00B4092E">
        <w:rPr>
          <w:rFonts w:eastAsia="Times New Roman" w:cs="Arial"/>
          <w:color w:val="000000"/>
          <w:lang w:eastAsia="bg-BG"/>
        </w:rPr>
        <w:t>= 1,24) за установяване рак на гърдата при жени, използващи КОК. Рискът постепенно изчезва в продължение на 10 години след прекратяване употребата на КОК. Тъй като рак на гърдата се среща рядко при жени под 40 години, увеличения брой на диагноза на рак на гърдата при жени</w:t>
      </w:r>
      <w:r w:rsidRPr="00B4092E">
        <w:rPr>
          <w:rFonts w:eastAsia="Times New Roman" w:cs="Arial"/>
          <w:smallCaps/>
          <w:color w:val="000000"/>
          <w:lang w:eastAsia="bg-BG"/>
        </w:rPr>
        <w:t xml:space="preserve"> </w:t>
      </w:r>
      <w:r w:rsidRPr="00B4092E">
        <w:rPr>
          <w:rFonts w:eastAsia="Times New Roman" w:cs="Arial"/>
          <w:color w:val="000000"/>
          <w:lang w:eastAsia="bg-BG"/>
        </w:rPr>
        <w:t xml:space="preserve">употребяващи или употребявали КОК е </w:t>
      </w:r>
      <w:r w:rsidRPr="00B4092E">
        <w:rPr>
          <w:rFonts w:eastAsia="Times New Roman" w:cs="Arial"/>
          <w:color w:val="000000"/>
          <w:lang w:eastAsia="bg-BG"/>
        </w:rPr>
        <w:lastRenderedPageBreak/>
        <w:t>малък в сравнение с общия риск от рак на гърдата. Този проучвания не дават доказателство за причинна връзка. Наблюдаваното увеличение на риска може да  се дължи на по-ранна диагноза на рак на гърдата при жени използващи КОК, на биологичните ефекти</w:t>
      </w:r>
      <w:r w:rsidRPr="00B4092E">
        <w:rPr>
          <w:rFonts w:eastAsia="Times New Roman" w:cs="Arial"/>
          <w:color w:val="000000"/>
          <w:lang w:val="en-US" w:eastAsia="bg-BG"/>
        </w:rPr>
        <w:t xml:space="preserve"> </w:t>
      </w:r>
      <w:r w:rsidRPr="00B4092E">
        <w:rPr>
          <w:rFonts w:eastAsia="Times New Roman" w:cs="Arial"/>
          <w:color w:val="000000"/>
          <w:lang w:eastAsia="bg-BG"/>
        </w:rPr>
        <w:t>на КОК или на комбинация от двете. Ракът на гърдата, диагностициран при употребяващите КОК, е в по-ранен стадий, отколкото този диагностициран при жени, които никога не са използвали КОК.</w:t>
      </w:r>
    </w:p>
    <w:p w14:paraId="1FB31C32" w14:textId="77777777" w:rsidR="00B4092E" w:rsidRPr="00B4092E" w:rsidRDefault="00B4092E" w:rsidP="00B4092E">
      <w:pPr>
        <w:spacing w:line="240" w:lineRule="auto"/>
        <w:rPr>
          <w:rFonts w:eastAsia="Times New Roman" w:cs="Arial"/>
          <w:color w:val="000000"/>
          <w:lang w:eastAsia="bg-BG"/>
        </w:rPr>
      </w:pPr>
    </w:p>
    <w:p w14:paraId="0514B631" w14:textId="1EEA5B09"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В редки случаи при употреба на КОК се наблюдават доброкачествени тумори на черния дроб, а в още по-редки случаи - злокачествени. В изолирани случаи, тези тумори са причинили животозастрашаващи интраабдоминални хеморагии. При диференциална диагноза трябва да се мисли за чернодробен тумор, когато при жени приемащи КОК се появят силни болки в горната коремна област, увеличение на черния дроб или признаци на интраабдоминална хеморагия.</w:t>
      </w:r>
    </w:p>
    <w:p w14:paraId="7918D42E" w14:textId="77777777" w:rsidR="00B4092E" w:rsidRPr="00B4092E" w:rsidRDefault="00B4092E" w:rsidP="00B4092E">
      <w:pPr>
        <w:spacing w:line="240" w:lineRule="auto"/>
        <w:rPr>
          <w:rFonts w:eastAsia="Times New Roman" w:cs="Arial"/>
          <w:color w:val="000000"/>
          <w:lang w:eastAsia="bg-BG"/>
        </w:rPr>
      </w:pPr>
    </w:p>
    <w:p w14:paraId="069E392A" w14:textId="354D7F49"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 xml:space="preserve">При използване на високо дозови КОК (50 </w:t>
      </w:r>
      <w:proofErr w:type="spellStart"/>
      <w:r w:rsidRPr="00B4092E">
        <w:rPr>
          <w:rFonts w:eastAsia="Times New Roman" w:cs="Arial"/>
          <w:color w:val="000000"/>
          <w:lang w:val="en-US"/>
        </w:rPr>
        <w:t>pg</w:t>
      </w:r>
      <w:proofErr w:type="spellEnd"/>
      <w:r w:rsidRPr="00B4092E">
        <w:rPr>
          <w:rFonts w:eastAsia="Times New Roman" w:cs="Arial"/>
          <w:color w:val="000000"/>
          <w:lang w:val="en-US"/>
        </w:rPr>
        <w:t xml:space="preserve"> </w:t>
      </w:r>
      <w:r w:rsidRPr="00B4092E">
        <w:rPr>
          <w:rFonts w:eastAsia="Times New Roman" w:cs="Arial"/>
          <w:color w:val="000000"/>
          <w:lang w:eastAsia="bg-BG"/>
        </w:rPr>
        <w:t>етинилестрадиол) рискът от ендометриален и овариален карцином спада. Остава да бъде потвърдено, дали това важи и за КОК с ниска доза.</w:t>
      </w:r>
    </w:p>
    <w:p w14:paraId="78DCDAFE" w14:textId="77777777" w:rsidR="00B4092E" w:rsidRPr="00B4092E" w:rsidRDefault="00B4092E" w:rsidP="00B4092E">
      <w:pPr>
        <w:spacing w:line="240" w:lineRule="auto"/>
        <w:rPr>
          <w:rFonts w:eastAsia="Times New Roman" w:cs="Arial"/>
          <w:color w:val="000000"/>
          <w:lang w:eastAsia="bg-BG"/>
        </w:rPr>
      </w:pPr>
    </w:p>
    <w:p w14:paraId="7F03BF0B" w14:textId="770D3A15" w:rsidR="00B4092E" w:rsidRPr="00B4092E" w:rsidRDefault="00B4092E" w:rsidP="00B4092E">
      <w:pPr>
        <w:pStyle w:val="ListParagraph"/>
        <w:numPr>
          <w:ilvl w:val="0"/>
          <w:numId w:val="47"/>
        </w:numPr>
        <w:spacing w:line="240" w:lineRule="auto"/>
        <w:rPr>
          <w:rFonts w:eastAsia="Times New Roman" w:cs="Arial"/>
          <w:lang w:eastAsia="bg-BG"/>
        </w:rPr>
      </w:pPr>
      <w:r w:rsidRPr="00B4092E">
        <w:rPr>
          <w:rFonts w:eastAsia="Times New Roman" w:cs="Arial"/>
          <w:color w:val="000000"/>
          <w:lang w:eastAsia="bg-BG"/>
        </w:rPr>
        <w:t>Други състояния</w:t>
      </w:r>
    </w:p>
    <w:p w14:paraId="4DC51171"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Прогестиновият компонент на Джаз е алдостеронов антагонист с калий-съхраняващи свойства. В повечето случаи не се очаква повишаване на нивата на калий. В клинично изпитване, обаче, при някои пациенти с леко или умерено бъбречно увреждане и едновременно използване на калий- съхраняващи лекарства, нивата на серумния калий се покачват леко, но не сигнификантно, при приема на дроспиренон. Поради това е препоръчително да се проверява серумния калий през първия цикъл на лечение на пациенти с бъбречна недостатъчност и стойности на серумния калий преди лечението в горния референтен диапазон, и най-вече при едновременно използване на калий- съхраняващи лекарствени продукти. Вижте също точка 4.5.</w:t>
      </w:r>
    </w:p>
    <w:p w14:paraId="64989FD2" w14:textId="77777777" w:rsidR="00B4092E" w:rsidRPr="00B4092E" w:rsidRDefault="00B4092E" w:rsidP="00B4092E">
      <w:pPr>
        <w:spacing w:line="240" w:lineRule="auto"/>
        <w:rPr>
          <w:rFonts w:eastAsia="Times New Roman" w:cs="Arial"/>
          <w:color w:val="000000"/>
          <w:lang w:eastAsia="bg-BG"/>
        </w:rPr>
      </w:pPr>
    </w:p>
    <w:p w14:paraId="1C3AED0D" w14:textId="5E044359"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Жени с хипертриглицеридемия или семейна анамнеза за такава, могат да бъдат с повишен риск от панкреатит, когато приемат КОК.</w:t>
      </w:r>
    </w:p>
    <w:p w14:paraId="5BB44073" w14:textId="77777777" w:rsidR="00B4092E" w:rsidRPr="00B4092E" w:rsidRDefault="00B4092E" w:rsidP="00B4092E">
      <w:pPr>
        <w:spacing w:line="240" w:lineRule="auto"/>
        <w:rPr>
          <w:rFonts w:eastAsia="Times New Roman" w:cs="Arial"/>
          <w:color w:val="000000"/>
          <w:lang w:eastAsia="bg-BG"/>
        </w:rPr>
      </w:pPr>
    </w:p>
    <w:p w14:paraId="1BA4CCC3" w14:textId="4E382A1C"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Въпреки че при много жени приемащи КОК се съобщава за случаи на леко повишение на стойностите на кръвното налягане, клинично значимо повишение се наблюдава рядко. Само в тези редки случаи е оправдано незабавно спиране на КОК. Ако при използване на КОК при предходна хипертония, постоянно повишени стойности на кръвното налягане или значимо повишение на кръвното налягане не се повлияват адекватно от антихипертензивно лечение, приемът на КОК трябва да бъде прекратен. В случаи на необходимост лечението с КОК може да бъде възобновено, ако бъдат достигнати нормотензивни стойности на кръвното налягане с антихипертензивна терапия.</w:t>
      </w:r>
    </w:p>
    <w:p w14:paraId="3F722605" w14:textId="77777777" w:rsidR="00B4092E" w:rsidRPr="00B4092E" w:rsidRDefault="00B4092E" w:rsidP="00B4092E">
      <w:pPr>
        <w:spacing w:line="240" w:lineRule="auto"/>
        <w:rPr>
          <w:rFonts w:eastAsia="Times New Roman" w:cs="Arial"/>
          <w:color w:val="000000"/>
          <w:lang w:eastAsia="bg-BG"/>
        </w:rPr>
      </w:pPr>
    </w:p>
    <w:p w14:paraId="1C5021CB" w14:textId="2D19522C"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Има съобщения за следните състояния, които се появяват или влошават както при бременност, така и при приемане на КОК, но доказателствата за връзка с прилагането на КОК са недостатъчни: жълтеница и/или пруритус свързани с холестаза; жлъчни камъни; порфирия; системен лупус еритематозус; хемолитичен уремичен синдром; хорея на Сиденхам; гестационен херпес; свързана с отосклероза загуба на слуха.</w:t>
      </w:r>
    </w:p>
    <w:p w14:paraId="6412EE5B" w14:textId="77777777" w:rsidR="00B4092E" w:rsidRPr="00B4092E" w:rsidRDefault="00B4092E" w:rsidP="00B4092E">
      <w:pPr>
        <w:spacing w:line="240" w:lineRule="auto"/>
        <w:rPr>
          <w:rFonts w:eastAsia="Times New Roman" w:cs="Arial"/>
          <w:color w:val="000000"/>
          <w:lang w:eastAsia="bg-BG"/>
        </w:rPr>
      </w:pPr>
    </w:p>
    <w:p w14:paraId="492D3120" w14:textId="192964F6"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При жени с наследствен ангиоедем екзогенните естрогени могат да индуцират или обострят симптомите на ангиоедема.</w:t>
      </w:r>
    </w:p>
    <w:p w14:paraId="05B43A96" w14:textId="77777777" w:rsidR="00B4092E" w:rsidRPr="00B4092E" w:rsidRDefault="00B4092E" w:rsidP="00B4092E">
      <w:pPr>
        <w:spacing w:line="240" w:lineRule="auto"/>
        <w:rPr>
          <w:rFonts w:eastAsia="Times New Roman" w:cs="Arial"/>
          <w:color w:val="000000"/>
          <w:lang w:eastAsia="bg-BG"/>
        </w:rPr>
      </w:pPr>
    </w:p>
    <w:p w14:paraId="65C2844C" w14:textId="454F13B7" w:rsidR="00B4092E" w:rsidRPr="00B4092E" w:rsidRDefault="00B4092E" w:rsidP="00B4092E">
      <w:pPr>
        <w:spacing w:line="240" w:lineRule="auto"/>
        <w:rPr>
          <w:rFonts w:eastAsia="Times New Roman" w:cs="Arial"/>
          <w:color w:val="000000"/>
          <w:lang w:eastAsia="bg-BG"/>
        </w:rPr>
      </w:pPr>
      <w:r w:rsidRPr="00B4092E">
        <w:rPr>
          <w:rFonts w:eastAsia="Times New Roman" w:cs="Arial"/>
          <w:color w:val="000000"/>
          <w:lang w:eastAsia="bg-BG"/>
        </w:rPr>
        <w:lastRenderedPageBreak/>
        <w:t>При остри или хронични нарушения на чернодробната функция, може да се наложи прекратяване употребата на КОК, докато се нормализират чернодробните проби. Рецидив на холестатична жълтеница и/или свързан с холестаза пруритус, които за пръв път са се появили по време на бременност или при предишна употреба на полови хормони, също налагат да се прекрати употребата на КОК.</w:t>
      </w:r>
    </w:p>
    <w:p w14:paraId="7E9EE2E7" w14:textId="77777777" w:rsidR="00B4092E" w:rsidRPr="00B4092E" w:rsidRDefault="00B4092E" w:rsidP="00B4092E">
      <w:pPr>
        <w:spacing w:line="240" w:lineRule="auto"/>
        <w:rPr>
          <w:rFonts w:eastAsia="Times New Roman" w:cs="Arial"/>
          <w:color w:val="000000"/>
          <w:lang w:eastAsia="bg-BG"/>
        </w:rPr>
      </w:pPr>
    </w:p>
    <w:p w14:paraId="4C241B9A"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 xml:space="preserve">Макар че КОК могат да повлияят върху периферната инсулинова резистентност и глюкозния толеранс, няма доказателства, че е необходимо да се променя лечебната схема при диабетици, които използват ниско дозови КОК (съдържащи &lt; 0,05 </w:t>
      </w:r>
      <w:r w:rsidRPr="00B4092E">
        <w:rPr>
          <w:rFonts w:eastAsia="Times New Roman" w:cs="Arial"/>
          <w:color w:val="000000"/>
          <w:lang w:val="en-US"/>
        </w:rPr>
        <w:t xml:space="preserve">mg </w:t>
      </w:r>
      <w:r w:rsidRPr="00B4092E">
        <w:rPr>
          <w:rFonts w:eastAsia="Times New Roman" w:cs="Arial"/>
          <w:color w:val="000000"/>
          <w:lang w:eastAsia="bg-BG"/>
        </w:rPr>
        <w:t>етинилестрадиол). Жените с диабет обаче, трябва да са под непрекъснато наблюдение, особено в началния стадий на лечение със КОК.</w:t>
      </w:r>
    </w:p>
    <w:p w14:paraId="0233E5E9" w14:textId="77777777" w:rsidR="00B4092E" w:rsidRPr="00B4092E" w:rsidRDefault="00B4092E" w:rsidP="00B4092E">
      <w:pPr>
        <w:spacing w:line="240" w:lineRule="auto"/>
        <w:rPr>
          <w:rFonts w:eastAsia="Times New Roman" w:cs="Arial"/>
          <w:color w:val="000000"/>
          <w:lang w:eastAsia="bg-BG"/>
        </w:rPr>
      </w:pPr>
    </w:p>
    <w:p w14:paraId="2043CCAC" w14:textId="371D82E9"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При употреба на КОК се съобщава за влошаване на епилепсия, на болест на Крон и улцерозен колит.</w:t>
      </w:r>
    </w:p>
    <w:p w14:paraId="2801164D" w14:textId="77777777" w:rsidR="00B4092E" w:rsidRPr="00B4092E" w:rsidRDefault="00B4092E" w:rsidP="00B4092E">
      <w:pPr>
        <w:rPr>
          <w:rFonts w:cs="Arial"/>
          <w:lang w:eastAsia="bg-BG"/>
        </w:rPr>
      </w:pPr>
    </w:p>
    <w:p w14:paraId="4796F539"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Добре известни нежелани реакции при употребата на хормонални контрацептиви са депресивно настроение и депресия (вж. точка 4.8). Депресията може да бъде сериозна и е добре известен рисков фактор за суицидно поведение и самоубийство. Жените трябва да бъдат съветвани да се свържат с лекаря си в случай на промени в настроението и депресивни симптоми, включително и скоро след започване на лечението.</w:t>
      </w:r>
    </w:p>
    <w:p w14:paraId="7F08998A" w14:textId="77777777" w:rsidR="00B4092E" w:rsidRPr="00B4092E" w:rsidRDefault="00B4092E" w:rsidP="00B4092E">
      <w:pPr>
        <w:spacing w:line="240" w:lineRule="auto"/>
        <w:rPr>
          <w:rFonts w:eastAsia="Times New Roman" w:cs="Arial"/>
          <w:color w:val="000000"/>
          <w:lang w:eastAsia="bg-BG"/>
        </w:rPr>
      </w:pPr>
    </w:p>
    <w:p w14:paraId="054A6E3E" w14:textId="26AABC5A"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Понякога може да се появи хлоазма, най-вече при жените, които са имали хлоазма по време на бременност. Жените с предразположение към хлоазма трябва да избягват излагане на слънце или ултравиолетово облъчване, докато приемат КОК.</w:t>
      </w:r>
    </w:p>
    <w:p w14:paraId="33D0ACB6" w14:textId="77777777" w:rsidR="00B4092E" w:rsidRPr="00B4092E" w:rsidRDefault="00B4092E" w:rsidP="00B4092E">
      <w:pPr>
        <w:spacing w:line="240" w:lineRule="auto"/>
        <w:rPr>
          <w:rFonts w:eastAsia="Times New Roman" w:cs="Arial"/>
          <w:color w:val="000000"/>
          <w:lang w:eastAsia="bg-BG"/>
        </w:rPr>
      </w:pPr>
    </w:p>
    <w:p w14:paraId="1373EE88" w14:textId="07F742F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 xml:space="preserve">Всяка светло розова филмирана таблетка съдържа 46 </w:t>
      </w:r>
      <w:r w:rsidRPr="00B4092E">
        <w:rPr>
          <w:rFonts w:eastAsia="Times New Roman" w:cs="Arial"/>
          <w:color w:val="000000"/>
          <w:lang w:val="en-US"/>
        </w:rPr>
        <w:t xml:space="preserve">mg </w:t>
      </w:r>
      <w:r w:rsidRPr="00B4092E">
        <w:rPr>
          <w:rFonts w:eastAsia="Times New Roman" w:cs="Arial"/>
          <w:color w:val="000000"/>
          <w:lang w:eastAsia="bg-BG"/>
        </w:rPr>
        <w:t xml:space="preserve">лактоза в една таблетка, а всяка бяла филмирана таблетка съдържа 22 </w:t>
      </w:r>
      <w:r w:rsidRPr="00B4092E">
        <w:rPr>
          <w:rFonts w:eastAsia="Times New Roman" w:cs="Arial"/>
          <w:color w:val="000000"/>
          <w:lang w:val="en-US"/>
        </w:rPr>
        <w:t xml:space="preserve">mg. </w:t>
      </w:r>
      <w:r w:rsidRPr="00B4092E">
        <w:rPr>
          <w:rFonts w:eastAsia="Times New Roman" w:cs="Arial"/>
          <w:color w:val="000000"/>
          <w:lang w:eastAsia="bg-BG"/>
        </w:rPr>
        <w:t xml:space="preserve">Пациенти с редки наследствени проблеми на галактозна непоносимост, </w:t>
      </w:r>
      <w:r w:rsidRPr="00B4092E">
        <w:rPr>
          <w:rFonts w:eastAsia="Times New Roman" w:cs="Arial"/>
          <w:color w:val="000000"/>
          <w:lang w:val="en-US"/>
        </w:rPr>
        <w:t xml:space="preserve">Lapp </w:t>
      </w:r>
      <w:r w:rsidRPr="00B4092E">
        <w:rPr>
          <w:rFonts w:eastAsia="Times New Roman" w:cs="Arial"/>
          <w:color w:val="000000"/>
          <w:lang w:eastAsia="bg-BG"/>
        </w:rPr>
        <w:t>лактазен дефицит или глюкозо-галактозна малабсорбция, които са на диета без прием на лактоза, трябва да имат предвид това количество.</w:t>
      </w:r>
    </w:p>
    <w:p w14:paraId="7E8DFF0B" w14:textId="77777777" w:rsidR="00B4092E" w:rsidRPr="00B4092E" w:rsidRDefault="00B4092E" w:rsidP="00B4092E">
      <w:pPr>
        <w:spacing w:line="240" w:lineRule="auto"/>
        <w:rPr>
          <w:rFonts w:eastAsia="Times New Roman" w:cs="Arial"/>
          <w:b/>
          <w:bCs/>
          <w:color w:val="000000"/>
          <w:lang w:eastAsia="bg-BG"/>
        </w:rPr>
      </w:pPr>
    </w:p>
    <w:p w14:paraId="61929F1C" w14:textId="677E97AF" w:rsidR="00B4092E" w:rsidRPr="00B4092E" w:rsidRDefault="00B4092E" w:rsidP="00B4092E">
      <w:pPr>
        <w:spacing w:line="240" w:lineRule="auto"/>
        <w:rPr>
          <w:rFonts w:eastAsia="Times New Roman" w:cs="Arial"/>
          <w:lang w:eastAsia="bg-BG"/>
        </w:rPr>
      </w:pPr>
      <w:r w:rsidRPr="00B4092E">
        <w:rPr>
          <w:rFonts w:eastAsia="Times New Roman" w:cs="Arial"/>
          <w:b/>
          <w:bCs/>
          <w:color w:val="000000"/>
          <w:lang w:eastAsia="bg-BG"/>
        </w:rPr>
        <w:t>Медицински преглед/консултация</w:t>
      </w:r>
    </w:p>
    <w:p w14:paraId="50EEEEDB"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Преди започване или подновяване на приема на Джаз трябва да се снеме пълна анамнеза (включително фамилна анамнеза) и трябва да се изключи бременност. Трябва да се измери кръвното налягане и да се направи физикален преглед, ръководен от противопоказанията (вж. точка 4.3) и предупрежденията (вж. точка 4.4). Важно е вниманието на жената да се насочи към информацията за венозна и артериална тромбоза, включително риска при Джаз, сравнен с този при другите КХК, симптомите на ВТЕ и АТЕ, известните рискови фактори и какво да се прави в случай на съмнение за тромбоза.</w:t>
      </w:r>
    </w:p>
    <w:p w14:paraId="6A7612E2" w14:textId="77777777" w:rsidR="00B4092E" w:rsidRPr="00B4092E" w:rsidRDefault="00B4092E" w:rsidP="00B4092E">
      <w:pPr>
        <w:spacing w:line="240" w:lineRule="auto"/>
        <w:rPr>
          <w:rFonts w:eastAsia="Times New Roman" w:cs="Arial"/>
          <w:color w:val="000000"/>
          <w:lang w:eastAsia="bg-BG"/>
        </w:rPr>
      </w:pPr>
    </w:p>
    <w:p w14:paraId="794E20CC" w14:textId="00918A5F"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Жената трябва също да бъде инструктирана внимателно да прочете листовката за потребителя и да се придържа към дадените съвети. Честотата и естеството на прегледите трябва да се основават на установените практически указания и да се адаптират за всяка отделна жена.</w:t>
      </w:r>
    </w:p>
    <w:p w14:paraId="3EDB5D28" w14:textId="77777777" w:rsidR="00B4092E" w:rsidRPr="00B4092E" w:rsidRDefault="00B4092E" w:rsidP="00B4092E">
      <w:pPr>
        <w:spacing w:line="240" w:lineRule="auto"/>
        <w:rPr>
          <w:rFonts w:eastAsia="Times New Roman" w:cs="Arial"/>
          <w:color w:val="000000"/>
          <w:lang w:eastAsia="bg-BG"/>
        </w:rPr>
      </w:pPr>
    </w:p>
    <w:p w14:paraId="454D18C3" w14:textId="06C140B0"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 xml:space="preserve">Жените трябва да се информират, че хормоналните контрацептиви не предпазват от </w:t>
      </w:r>
      <w:r w:rsidRPr="00B4092E">
        <w:rPr>
          <w:rFonts w:eastAsia="Times New Roman" w:cs="Arial"/>
          <w:color w:val="000000"/>
          <w:lang w:val="en-US"/>
        </w:rPr>
        <w:t xml:space="preserve">HIV </w:t>
      </w:r>
      <w:r w:rsidRPr="00B4092E">
        <w:rPr>
          <w:rFonts w:eastAsia="Times New Roman" w:cs="Arial"/>
          <w:color w:val="000000"/>
          <w:lang w:eastAsia="bg-BG"/>
        </w:rPr>
        <w:t>инфекции (СПИН) и други болести, предавани по полов път.</w:t>
      </w:r>
    </w:p>
    <w:p w14:paraId="106ED3D5" w14:textId="77777777" w:rsidR="00B4092E" w:rsidRPr="00B4092E" w:rsidRDefault="00B4092E" w:rsidP="00B4092E">
      <w:pPr>
        <w:spacing w:line="240" w:lineRule="auto"/>
        <w:rPr>
          <w:rFonts w:eastAsia="Times New Roman" w:cs="Arial"/>
          <w:b/>
          <w:bCs/>
          <w:color w:val="000000"/>
          <w:lang w:eastAsia="bg-BG"/>
        </w:rPr>
      </w:pPr>
    </w:p>
    <w:p w14:paraId="39BBC4FC" w14:textId="287E4D79" w:rsidR="00B4092E" w:rsidRPr="00B4092E" w:rsidRDefault="00B4092E" w:rsidP="00B4092E">
      <w:pPr>
        <w:spacing w:line="240" w:lineRule="auto"/>
        <w:rPr>
          <w:rFonts w:eastAsia="Times New Roman" w:cs="Arial"/>
          <w:lang w:eastAsia="bg-BG"/>
        </w:rPr>
      </w:pPr>
      <w:r w:rsidRPr="00B4092E">
        <w:rPr>
          <w:rFonts w:eastAsia="Times New Roman" w:cs="Arial"/>
          <w:b/>
          <w:bCs/>
          <w:color w:val="000000"/>
          <w:lang w:eastAsia="bg-BG"/>
        </w:rPr>
        <w:t>Намалена ефикасност</w:t>
      </w:r>
    </w:p>
    <w:p w14:paraId="7380D0B5"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lastRenderedPageBreak/>
        <w:t>Ефикасността на КОК може да бъде намалена, например, при пропускане на таблетки (вж. точка 4.2), стомашно-чревни нарушения по време на приема на активните таблетки (вж. точка 4.2) или съпровождащо лечение (вж. точка 4.5).</w:t>
      </w:r>
    </w:p>
    <w:p w14:paraId="1FE077AC" w14:textId="77777777" w:rsidR="00B4092E" w:rsidRPr="00B4092E" w:rsidRDefault="00B4092E" w:rsidP="00B4092E">
      <w:pPr>
        <w:spacing w:line="240" w:lineRule="auto"/>
        <w:rPr>
          <w:rFonts w:eastAsia="Times New Roman" w:cs="Arial"/>
          <w:b/>
          <w:bCs/>
          <w:color w:val="000000"/>
          <w:lang w:eastAsia="bg-BG"/>
        </w:rPr>
      </w:pPr>
    </w:p>
    <w:p w14:paraId="2FD3B5CD" w14:textId="4EBF6708" w:rsidR="00B4092E" w:rsidRPr="00B4092E" w:rsidRDefault="00B4092E" w:rsidP="00B4092E">
      <w:pPr>
        <w:spacing w:line="240" w:lineRule="auto"/>
        <w:rPr>
          <w:rFonts w:eastAsia="Times New Roman" w:cs="Arial"/>
          <w:lang w:eastAsia="bg-BG"/>
        </w:rPr>
      </w:pPr>
      <w:r w:rsidRPr="00B4092E">
        <w:rPr>
          <w:rFonts w:eastAsia="Times New Roman" w:cs="Arial"/>
          <w:b/>
          <w:bCs/>
          <w:color w:val="000000"/>
          <w:lang w:eastAsia="bg-BG"/>
        </w:rPr>
        <w:t>Влошен контрол на месечния цикъл</w:t>
      </w:r>
    </w:p>
    <w:p w14:paraId="67F251A9"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При използване на всеки КОК може да се появи ациклично кървене (зацапване или пробивно кървене), особено по време на първите месеци на употреба. Следователно, преценката на всяко ациклично кървене е от значение само след адаптационния период от около три цикъла.</w:t>
      </w:r>
    </w:p>
    <w:p w14:paraId="39B52AF3" w14:textId="77777777" w:rsidR="00B4092E" w:rsidRPr="00B4092E" w:rsidRDefault="00B4092E" w:rsidP="00B4092E">
      <w:pPr>
        <w:spacing w:line="240" w:lineRule="auto"/>
        <w:rPr>
          <w:rFonts w:eastAsia="Times New Roman" w:cs="Arial"/>
          <w:color w:val="000000"/>
          <w:lang w:eastAsia="bg-BG"/>
        </w:rPr>
      </w:pPr>
    </w:p>
    <w:p w14:paraId="5633B894" w14:textId="015BCC31"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В случай, че ацикличното кървене персистира или се появява след редовни цикли, трябва да се изключи нехормонална причина и да бъдат предприети адекватни диагностични действия за изключване на злокачествено заболяване или бременност. Това може да включва кюретаж.</w:t>
      </w:r>
    </w:p>
    <w:p w14:paraId="292A47FB" w14:textId="77777777" w:rsidR="00B4092E" w:rsidRPr="00B4092E" w:rsidRDefault="00B4092E" w:rsidP="00B4092E">
      <w:pPr>
        <w:spacing w:line="240" w:lineRule="auto"/>
        <w:rPr>
          <w:rFonts w:eastAsia="Times New Roman" w:cs="Arial"/>
          <w:color w:val="000000"/>
          <w:lang w:eastAsia="bg-BG"/>
        </w:rPr>
      </w:pPr>
    </w:p>
    <w:p w14:paraId="193CED18" w14:textId="02B65D69"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При някои жени по време на интервала, в който не се взимат таблетки, не се появява менструално кървене. Ако КОК е използван според указанията описани в точка 4.2, малко вероятно е жената да е бременна. Въпреки това, ако КОК не са приемани според указанията преди първото липсващо</w:t>
      </w:r>
    </w:p>
    <w:p w14:paraId="0B083878" w14:textId="516077B3" w:rsidR="00B4092E" w:rsidRPr="00B4092E" w:rsidRDefault="00B4092E" w:rsidP="00B4092E">
      <w:pPr>
        <w:rPr>
          <w:rFonts w:eastAsia="Times New Roman" w:cs="Arial"/>
          <w:color w:val="000000"/>
          <w:lang w:eastAsia="bg-BG"/>
        </w:rPr>
      </w:pPr>
      <w:r w:rsidRPr="00B4092E">
        <w:rPr>
          <w:rFonts w:eastAsia="Times New Roman" w:cs="Arial"/>
          <w:color w:val="000000"/>
          <w:lang w:eastAsia="bg-BG"/>
        </w:rPr>
        <w:t>редовно кървене или ако 2 пъти не се появи такова кървене, трябва да се изключи бременност преди да се продължи използването на КОК.</w:t>
      </w:r>
    </w:p>
    <w:p w14:paraId="7BCC474D" w14:textId="77777777" w:rsidR="00B4092E" w:rsidRPr="00B4092E" w:rsidRDefault="00B4092E" w:rsidP="00B4092E">
      <w:pPr>
        <w:rPr>
          <w:lang w:eastAsia="bg-BG"/>
        </w:rPr>
      </w:pPr>
    </w:p>
    <w:p w14:paraId="1DA47448" w14:textId="381F54E1"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22CA2870" w14:textId="77777777" w:rsidR="00B4092E" w:rsidRDefault="00B4092E" w:rsidP="00B4092E"/>
    <w:p w14:paraId="1B72411C"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Забележка: Следва да се направи справка с лекарствената информация за прилаганите едновременно лекарства, за да се установи възможността за евентуални взаимодействия.</w:t>
      </w:r>
    </w:p>
    <w:p w14:paraId="694E322A" w14:textId="77777777" w:rsidR="00B4092E" w:rsidRPr="002D212A" w:rsidRDefault="00B4092E" w:rsidP="00B4092E">
      <w:pPr>
        <w:spacing w:line="240" w:lineRule="auto"/>
        <w:rPr>
          <w:rFonts w:eastAsia="Times New Roman" w:cs="Arial"/>
          <w:color w:val="000000"/>
          <w:lang w:eastAsia="bg-BG"/>
        </w:rPr>
      </w:pPr>
    </w:p>
    <w:p w14:paraId="0938984E" w14:textId="151BDF32" w:rsidR="00B4092E" w:rsidRPr="002D212A" w:rsidRDefault="00B4092E" w:rsidP="00B4092E">
      <w:pPr>
        <w:pStyle w:val="ListParagraph"/>
        <w:numPr>
          <w:ilvl w:val="0"/>
          <w:numId w:val="47"/>
        </w:numPr>
        <w:spacing w:line="240" w:lineRule="auto"/>
        <w:rPr>
          <w:rFonts w:eastAsia="Times New Roman" w:cs="Arial"/>
          <w:color w:val="000000"/>
          <w:lang w:eastAsia="bg-BG"/>
        </w:rPr>
      </w:pPr>
      <w:r w:rsidRPr="002D212A">
        <w:rPr>
          <w:rFonts w:eastAsia="Times New Roman" w:cs="Arial"/>
          <w:color w:val="000000"/>
          <w:lang w:eastAsia="bg-BG"/>
        </w:rPr>
        <w:t>Ефекти на други лекарствени продукти върху Джаз</w:t>
      </w:r>
    </w:p>
    <w:p w14:paraId="5B37A69A"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Взаимодействия може да възникнат с лекарства, които индуцират микрозомални ензими, което може да доведе до повишаване клирънса на половите хормони и до пробивно кървене и/или контрацептивен неуспех.</w:t>
      </w:r>
    </w:p>
    <w:p w14:paraId="193A80D3" w14:textId="77777777" w:rsidR="00B4092E" w:rsidRPr="002D212A" w:rsidRDefault="00B4092E" w:rsidP="00B4092E">
      <w:pPr>
        <w:spacing w:line="240" w:lineRule="auto"/>
        <w:rPr>
          <w:rFonts w:eastAsia="Times New Roman" w:cs="Arial"/>
          <w:color w:val="000000"/>
          <w:u w:val="single"/>
          <w:lang w:eastAsia="bg-BG"/>
        </w:rPr>
      </w:pPr>
    </w:p>
    <w:p w14:paraId="00FF399E" w14:textId="364F3F41" w:rsidR="00B4092E" w:rsidRPr="00B4092E" w:rsidRDefault="00B4092E" w:rsidP="00B4092E">
      <w:pPr>
        <w:spacing w:line="240" w:lineRule="auto"/>
        <w:rPr>
          <w:rFonts w:eastAsia="Times New Roman" w:cs="Arial"/>
          <w:lang w:eastAsia="bg-BG"/>
        </w:rPr>
      </w:pPr>
      <w:r w:rsidRPr="00B4092E">
        <w:rPr>
          <w:rFonts w:eastAsia="Times New Roman" w:cs="Arial"/>
          <w:color w:val="000000"/>
          <w:u w:val="single"/>
          <w:lang w:eastAsia="bg-BG"/>
        </w:rPr>
        <w:t>Контрол</w:t>
      </w:r>
    </w:p>
    <w:p w14:paraId="5A520371"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Ензимна индукция може да се наблюдава след няколко дни лечение. Обикновено максималната ензимна индукция протича в рамките на няколко седмици. След спиране на лекарствената терапия ензимната индукция може да продължи до около 4 седмици.</w:t>
      </w:r>
    </w:p>
    <w:p w14:paraId="0F137EA9" w14:textId="77777777" w:rsidR="00B4092E" w:rsidRPr="002D212A" w:rsidRDefault="00B4092E" w:rsidP="00B4092E">
      <w:pPr>
        <w:spacing w:line="240" w:lineRule="auto"/>
        <w:rPr>
          <w:rFonts w:eastAsia="Times New Roman" w:cs="Arial"/>
          <w:color w:val="000000"/>
          <w:u w:val="single"/>
          <w:lang w:eastAsia="bg-BG"/>
        </w:rPr>
      </w:pPr>
    </w:p>
    <w:p w14:paraId="175AE3DD" w14:textId="746CDAD1" w:rsidR="00B4092E" w:rsidRPr="00B4092E" w:rsidRDefault="00B4092E" w:rsidP="00B4092E">
      <w:pPr>
        <w:spacing w:line="240" w:lineRule="auto"/>
        <w:rPr>
          <w:rFonts w:eastAsia="Times New Roman" w:cs="Arial"/>
          <w:lang w:eastAsia="bg-BG"/>
        </w:rPr>
      </w:pPr>
      <w:r w:rsidRPr="00B4092E">
        <w:rPr>
          <w:rFonts w:eastAsia="Times New Roman" w:cs="Arial"/>
          <w:color w:val="000000"/>
          <w:u w:val="single"/>
          <w:lang w:eastAsia="bg-BG"/>
        </w:rPr>
        <w:t>Краткосрочно лечение</w:t>
      </w:r>
    </w:p>
    <w:p w14:paraId="14E4641D"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Жените на лечение с лекарства, индуцирагци енизими, трябва временно да използват бариерен метод или друг метод на контрацепция в допълнение към КОК. Бариерен метод трябва да се използва през цялото време на едновременно лечение и до 28 дни след неговото прекратяване. Ако лекарственото лечение продължи и след края на активните таблетки в опаковката КОК, плацебо таблетките трябва да се оставят и веднага трябва да се започне следващата опаковка КОК.</w:t>
      </w:r>
    </w:p>
    <w:p w14:paraId="5C443581" w14:textId="77777777" w:rsidR="00B4092E" w:rsidRPr="002D212A" w:rsidRDefault="00B4092E" w:rsidP="00B4092E">
      <w:pPr>
        <w:spacing w:line="240" w:lineRule="auto"/>
        <w:rPr>
          <w:rFonts w:eastAsia="Times New Roman" w:cs="Arial"/>
          <w:color w:val="000000"/>
          <w:u w:val="single"/>
          <w:lang w:eastAsia="bg-BG"/>
        </w:rPr>
      </w:pPr>
    </w:p>
    <w:p w14:paraId="18E1634F" w14:textId="79EEE13F" w:rsidR="00B4092E" w:rsidRPr="00B4092E" w:rsidRDefault="00B4092E" w:rsidP="00B4092E">
      <w:pPr>
        <w:spacing w:line="240" w:lineRule="auto"/>
        <w:rPr>
          <w:rFonts w:eastAsia="Times New Roman" w:cs="Arial"/>
          <w:lang w:eastAsia="bg-BG"/>
        </w:rPr>
      </w:pPr>
      <w:r w:rsidRPr="00B4092E">
        <w:rPr>
          <w:rFonts w:eastAsia="Times New Roman" w:cs="Arial"/>
          <w:color w:val="000000"/>
          <w:u w:val="single"/>
          <w:lang w:eastAsia="bg-BG"/>
        </w:rPr>
        <w:t>Продължително лечение</w:t>
      </w:r>
    </w:p>
    <w:p w14:paraId="19AB9F13"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lastRenderedPageBreak/>
        <w:t>При жени на продължително лечение с лекарствени вещества, индуциращи чернодробните ензими, се препоръчва използването на друг надежден, нехормонален контрацептивен метод.</w:t>
      </w:r>
    </w:p>
    <w:p w14:paraId="18CD6ADA" w14:textId="77777777" w:rsidR="00B4092E" w:rsidRPr="002D212A" w:rsidRDefault="00B4092E" w:rsidP="00B4092E">
      <w:pPr>
        <w:spacing w:line="240" w:lineRule="auto"/>
        <w:rPr>
          <w:rFonts w:eastAsia="Times New Roman" w:cs="Arial"/>
          <w:color w:val="000000"/>
          <w:lang w:eastAsia="bg-BG"/>
        </w:rPr>
      </w:pPr>
    </w:p>
    <w:p w14:paraId="6802596B" w14:textId="3FC58D60"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В литературата има съобщения за следните взаимодействия:</w:t>
      </w:r>
    </w:p>
    <w:p w14:paraId="6FB51A69" w14:textId="77777777" w:rsidR="00B4092E" w:rsidRPr="002D212A" w:rsidRDefault="00B4092E" w:rsidP="00B4092E">
      <w:pPr>
        <w:spacing w:line="240" w:lineRule="auto"/>
        <w:rPr>
          <w:rFonts w:eastAsia="Times New Roman" w:cs="Arial"/>
          <w:i/>
          <w:iCs/>
          <w:color w:val="000000"/>
          <w:u w:val="single"/>
          <w:lang w:eastAsia="bg-BG"/>
        </w:rPr>
      </w:pPr>
    </w:p>
    <w:p w14:paraId="3D2D3C95" w14:textId="1B88F1E8" w:rsidR="00B4092E" w:rsidRPr="00B4092E" w:rsidRDefault="00B4092E" w:rsidP="00B4092E">
      <w:pPr>
        <w:spacing w:line="240" w:lineRule="auto"/>
        <w:rPr>
          <w:rFonts w:eastAsia="Times New Roman" w:cs="Arial"/>
          <w:lang w:eastAsia="bg-BG"/>
        </w:rPr>
      </w:pPr>
      <w:r w:rsidRPr="00B4092E">
        <w:rPr>
          <w:rFonts w:eastAsia="Times New Roman" w:cs="Arial"/>
          <w:i/>
          <w:iCs/>
          <w:color w:val="000000"/>
          <w:u w:val="single"/>
          <w:lang w:eastAsia="bg-BG"/>
        </w:rPr>
        <w:t>Вещества, повишаващи клирънса на КОК (понижена ефекасност на КОК посредством ензимна индукция),  напр.:</w:t>
      </w:r>
    </w:p>
    <w:p w14:paraId="0B79EA63"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 xml:space="preserve">Барбитурати, босентан, карбамазепин, фенитоин, примидон, рифампицин, лекарствата за </w:t>
      </w:r>
      <w:r w:rsidRPr="00B4092E">
        <w:rPr>
          <w:rFonts w:eastAsia="Times New Roman" w:cs="Arial"/>
          <w:color w:val="000000"/>
          <w:lang w:val="en-US"/>
        </w:rPr>
        <w:t xml:space="preserve">HIV </w:t>
      </w:r>
      <w:r w:rsidRPr="00B4092E">
        <w:rPr>
          <w:rFonts w:eastAsia="Times New Roman" w:cs="Arial"/>
          <w:color w:val="000000"/>
          <w:lang w:eastAsia="bg-BG"/>
        </w:rPr>
        <w:t xml:space="preserve">ритонавир, невирапин и ефавиренц, възможно е също и фелбамат, гризеофулвин, окскарбазепин, топирамат и продукти, съдържащи растението </w:t>
      </w:r>
      <w:r w:rsidRPr="00B4092E">
        <w:rPr>
          <w:rFonts w:eastAsia="Times New Roman" w:cs="Arial"/>
          <w:color w:val="000000"/>
          <w:lang w:val="en-US"/>
        </w:rPr>
        <w:t xml:space="preserve">St. John </w:t>
      </w:r>
      <w:r w:rsidRPr="00B4092E">
        <w:rPr>
          <w:rFonts w:eastAsia="Times New Roman" w:cs="Arial"/>
          <w:color w:val="000000"/>
          <w:lang w:eastAsia="bg-BG"/>
        </w:rPr>
        <w:t>(жълт кантарион).</w:t>
      </w:r>
    </w:p>
    <w:p w14:paraId="03B40DAD" w14:textId="77777777" w:rsidR="00B4092E" w:rsidRPr="002D212A" w:rsidRDefault="00B4092E" w:rsidP="00B4092E">
      <w:pPr>
        <w:spacing w:line="240" w:lineRule="auto"/>
        <w:rPr>
          <w:rFonts w:eastAsia="Times New Roman" w:cs="Arial"/>
          <w:i/>
          <w:iCs/>
          <w:color w:val="000000"/>
          <w:u w:val="single"/>
          <w:lang w:eastAsia="bg-BG"/>
        </w:rPr>
      </w:pPr>
    </w:p>
    <w:p w14:paraId="5F218BAA" w14:textId="11C312C7" w:rsidR="00B4092E" w:rsidRPr="00B4092E" w:rsidRDefault="00B4092E" w:rsidP="00B4092E">
      <w:pPr>
        <w:spacing w:line="240" w:lineRule="auto"/>
        <w:rPr>
          <w:rFonts w:eastAsia="Times New Roman" w:cs="Arial"/>
          <w:lang w:eastAsia="bg-BG"/>
        </w:rPr>
      </w:pPr>
      <w:r w:rsidRPr="00B4092E">
        <w:rPr>
          <w:rFonts w:eastAsia="Times New Roman" w:cs="Arial"/>
          <w:i/>
          <w:iCs/>
          <w:color w:val="000000"/>
          <w:u w:val="single"/>
          <w:lang w:eastAsia="bg-BG"/>
        </w:rPr>
        <w:t>Вещества с различни ефекти върху клирънса на КОК:</w:t>
      </w:r>
    </w:p>
    <w:p w14:paraId="24F7DF56" w14:textId="7777777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 xml:space="preserve">Когато се прилагат едновременно с КОК, много комбинации на </w:t>
      </w:r>
      <w:r w:rsidRPr="00B4092E">
        <w:rPr>
          <w:rFonts w:eastAsia="Times New Roman" w:cs="Arial"/>
          <w:color w:val="000000"/>
          <w:lang w:val="en-US"/>
        </w:rPr>
        <w:t>HIV</w:t>
      </w:r>
      <w:r w:rsidRPr="00B4092E">
        <w:rPr>
          <w:rFonts w:eastAsia="Times New Roman" w:cs="Arial"/>
          <w:color w:val="000000"/>
          <w:lang w:eastAsia="bg-BG"/>
        </w:rPr>
        <w:t xml:space="preserve">-протеазни инхибитори и ненуклеозидни инхибитори на обратната транскриптаза, включително комбинации с </w:t>
      </w:r>
      <w:r w:rsidRPr="00B4092E">
        <w:rPr>
          <w:rFonts w:eastAsia="Times New Roman" w:cs="Arial"/>
          <w:color w:val="000000"/>
          <w:lang w:val="en-US"/>
        </w:rPr>
        <w:t xml:space="preserve">HCV </w:t>
      </w:r>
      <w:r w:rsidRPr="00B4092E">
        <w:rPr>
          <w:rFonts w:eastAsia="Times New Roman" w:cs="Arial"/>
          <w:color w:val="000000"/>
          <w:lang w:eastAsia="bg-BG"/>
        </w:rPr>
        <w:t>инхибитори, могат да повишат или намалят плазмените концентрации на естроген или прогестини. Окончателният ефект от тези промени може да бъде клинично значим в някои случаи.</w:t>
      </w:r>
    </w:p>
    <w:p w14:paraId="0084CB95" w14:textId="77777777" w:rsidR="002D212A" w:rsidRPr="002D212A" w:rsidRDefault="002D212A" w:rsidP="00B4092E">
      <w:pPr>
        <w:spacing w:line="240" w:lineRule="auto"/>
        <w:rPr>
          <w:rFonts w:eastAsia="Times New Roman" w:cs="Arial"/>
          <w:color w:val="000000"/>
          <w:lang w:eastAsia="bg-BG"/>
        </w:rPr>
      </w:pPr>
    </w:p>
    <w:p w14:paraId="543FB344" w14:textId="0BBD8430"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 xml:space="preserve">По тази причина, информацията за едновременно предписване на </w:t>
      </w:r>
      <w:r w:rsidRPr="00B4092E">
        <w:rPr>
          <w:rFonts w:eastAsia="Times New Roman" w:cs="Arial"/>
          <w:color w:val="000000"/>
          <w:lang w:val="en-US"/>
        </w:rPr>
        <w:t xml:space="preserve">HIV/HCV </w:t>
      </w:r>
      <w:r w:rsidRPr="00B4092E">
        <w:rPr>
          <w:rFonts w:eastAsia="Times New Roman" w:cs="Arial"/>
          <w:color w:val="000000"/>
          <w:lang w:eastAsia="bg-BG"/>
        </w:rPr>
        <w:t>лекарства трябва да бъде консултирана за да се идентифицират потенциалните взаимодействия и всякакви свързани препоръки. В случай на каквото и да е съмнение, допълнителен бариерен метод за контрацепция трябва да бъде използван при жени на лечение с протеазни инхибитори или с ненуклеозидни инхибитори на обратната транскриптаза.</w:t>
      </w:r>
    </w:p>
    <w:p w14:paraId="0DE7FE11" w14:textId="77777777" w:rsidR="002D212A" w:rsidRPr="002D212A" w:rsidRDefault="002D212A" w:rsidP="00B4092E">
      <w:pPr>
        <w:spacing w:line="240" w:lineRule="auto"/>
        <w:rPr>
          <w:rFonts w:eastAsia="Times New Roman" w:cs="Arial"/>
          <w:i/>
          <w:iCs/>
          <w:color w:val="000000"/>
          <w:u w:val="single"/>
          <w:lang w:eastAsia="bg-BG"/>
        </w:rPr>
      </w:pPr>
    </w:p>
    <w:p w14:paraId="2ACD2D6B" w14:textId="0182B1B4" w:rsidR="00B4092E" w:rsidRPr="00B4092E" w:rsidRDefault="00B4092E" w:rsidP="00B4092E">
      <w:pPr>
        <w:spacing w:line="240" w:lineRule="auto"/>
        <w:rPr>
          <w:rFonts w:eastAsia="Times New Roman" w:cs="Arial"/>
          <w:lang w:eastAsia="bg-BG"/>
        </w:rPr>
      </w:pPr>
      <w:r w:rsidRPr="00B4092E">
        <w:rPr>
          <w:rFonts w:eastAsia="Times New Roman" w:cs="Arial"/>
          <w:i/>
          <w:iCs/>
          <w:color w:val="000000"/>
          <w:u w:val="single"/>
          <w:lang w:eastAsia="bg-BG"/>
        </w:rPr>
        <w:t>Вещества,понижаващи клирънса на КОК (ензимни инхибитори)</w:t>
      </w:r>
      <w:r w:rsidRPr="00B4092E">
        <w:rPr>
          <w:rFonts w:eastAsia="Times New Roman" w:cs="Arial"/>
          <w:i/>
          <w:iCs/>
          <w:color w:val="000000"/>
          <w:lang w:eastAsia="bg-BG"/>
        </w:rPr>
        <w:t>:</w:t>
      </w:r>
    </w:p>
    <w:p w14:paraId="6832F133" w14:textId="77777777" w:rsidR="002D212A" w:rsidRPr="002D212A" w:rsidRDefault="002D212A" w:rsidP="00B4092E">
      <w:pPr>
        <w:spacing w:line="240" w:lineRule="auto"/>
        <w:rPr>
          <w:rFonts w:eastAsia="Times New Roman" w:cs="Arial"/>
          <w:color w:val="000000"/>
          <w:lang w:eastAsia="bg-BG"/>
        </w:rPr>
      </w:pPr>
    </w:p>
    <w:p w14:paraId="1C542310" w14:textId="180A8F94"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Клиничното значение на потенциалните взаимодействия с ензимни инхибитори не е известно.</w:t>
      </w:r>
    </w:p>
    <w:p w14:paraId="39FFD655" w14:textId="77777777" w:rsidR="002D212A" w:rsidRPr="002D212A" w:rsidRDefault="002D212A" w:rsidP="00B4092E">
      <w:pPr>
        <w:spacing w:line="240" w:lineRule="auto"/>
        <w:rPr>
          <w:rFonts w:eastAsia="Times New Roman" w:cs="Arial"/>
          <w:color w:val="000000"/>
          <w:lang w:eastAsia="bg-BG"/>
        </w:rPr>
      </w:pPr>
    </w:p>
    <w:p w14:paraId="62D1D156" w14:textId="055C1E37" w:rsidR="00B4092E" w:rsidRPr="00B4092E" w:rsidRDefault="00B4092E" w:rsidP="00B4092E">
      <w:pPr>
        <w:spacing w:line="240" w:lineRule="auto"/>
        <w:rPr>
          <w:rFonts w:eastAsia="Times New Roman" w:cs="Arial"/>
          <w:lang w:eastAsia="bg-BG"/>
        </w:rPr>
      </w:pPr>
      <w:r w:rsidRPr="00B4092E">
        <w:rPr>
          <w:rFonts w:eastAsia="Times New Roman" w:cs="Arial"/>
          <w:color w:val="000000"/>
          <w:lang w:eastAsia="bg-BG"/>
        </w:rPr>
        <w:t xml:space="preserve">Едновременното приложение на силни инхибитори на </w:t>
      </w:r>
      <w:r w:rsidRPr="00B4092E">
        <w:rPr>
          <w:rFonts w:eastAsia="Times New Roman" w:cs="Arial"/>
          <w:color w:val="000000"/>
          <w:lang w:val="en-US"/>
        </w:rPr>
        <w:t xml:space="preserve">CYP3A4 </w:t>
      </w:r>
      <w:r w:rsidRPr="00B4092E">
        <w:rPr>
          <w:rFonts w:eastAsia="Times New Roman" w:cs="Arial"/>
          <w:color w:val="000000"/>
          <w:lang w:eastAsia="bg-BG"/>
        </w:rPr>
        <w:t>може да повиши плазмените концентрации на естроген или прогестин, или и двете.</w:t>
      </w:r>
    </w:p>
    <w:p w14:paraId="54F0E460" w14:textId="77777777" w:rsidR="002D212A" w:rsidRPr="002D212A" w:rsidRDefault="002D212A" w:rsidP="00B4092E">
      <w:pPr>
        <w:spacing w:line="240" w:lineRule="auto"/>
        <w:rPr>
          <w:rFonts w:eastAsia="Times New Roman" w:cs="Arial"/>
          <w:color w:val="000000"/>
          <w:lang w:eastAsia="bg-BG"/>
        </w:rPr>
      </w:pPr>
    </w:p>
    <w:p w14:paraId="41410517" w14:textId="59F86CB9" w:rsidR="00B4092E" w:rsidRPr="002D212A" w:rsidRDefault="00B4092E" w:rsidP="002D212A">
      <w:pPr>
        <w:spacing w:line="240" w:lineRule="auto"/>
        <w:rPr>
          <w:rFonts w:eastAsia="Times New Roman" w:cs="Arial"/>
          <w:color w:val="000000"/>
          <w:lang w:val="en-US" w:eastAsia="bg-BG"/>
        </w:rPr>
      </w:pPr>
      <w:r w:rsidRPr="00B4092E">
        <w:rPr>
          <w:rFonts w:eastAsia="Times New Roman" w:cs="Arial"/>
          <w:color w:val="000000"/>
          <w:lang w:eastAsia="bg-BG"/>
        </w:rPr>
        <w:t xml:space="preserve">В изпитване с многократни дози на комбинация от дроспиренон (3 </w:t>
      </w:r>
      <w:r w:rsidRPr="00B4092E">
        <w:rPr>
          <w:rFonts w:eastAsia="Times New Roman" w:cs="Arial"/>
          <w:color w:val="000000"/>
          <w:lang w:val="en-US"/>
        </w:rPr>
        <w:t>mg/</w:t>
      </w:r>
      <w:r w:rsidRPr="00B4092E">
        <w:rPr>
          <w:rFonts w:eastAsia="Times New Roman" w:cs="Arial"/>
          <w:color w:val="000000"/>
          <w:lang w:eastAsia="bg-BG"/>
        </w:rPr>
        <w:t xml:space="preserve">ден) етинилестрадиол (0,02 </w:t>
      </w:r>
      <w:r w:rsidRPr="00B4092E">
        <w:rPr>
          <w:rFonts w:eastAsia="Times New Roman" w:cs="Arial"/>
          <w:color w:val="000000"/>
          <w:lang w:val="en-US"/>
        </w:rPr>
        <w:t>mg</w:t>
      </w:r>
      <w:r w:rsidRPr="00B4092E">
        <w:rPr>
          <w:rFonts w:eastAsia="Times New Roman" w:cs="Arial"/>
          <w:color w:val="000000"/>
          <w:lang w:eastAsia="bg-BG"/>
        </w:rPr>
        <w:t xml:space="preserve">/ден), едновременното приложение на силния </w:t>
      </w:r>
      <w:r w:rsidRPr="00B4092E">
        <w:rPr>
          <w:rFonts w:eastAsia="Times New Roman" w:cs="Arial"/>
          <w:color w:val="000000"/>
          <w:lang w:val="en-US"/>
        </w:rPr>
        <w:t xml:space="preserve">CYP3A4 </w:t>
      </w:r>
      <w:r w:rsidRPr="00B4092E">
        <w:rPr>
          <w:rFonts w:eastAsia="Times New Roman" w:cs="Arial"/>
          <w:color w:val="000000"/>
          <w:lang w:eastAsia="bg-BG"/>
        </w:rPr>
        <w:t xml:space="preserve">инхибитор кетоконазол, в  продължение на 10 дни увеличава </w:t>
      </w:r>
      <w:r w:rsidRPr="00B4092E">
        <w:rPr>
          <w:rFonts w:eastAsia="Times New Roman" w:cs="Arial"/>
          <w:color w:val="000000"/>
          <w:lang w:val="en-US"/>
        </w:rPr>
        <w:t xml:space="preserve">AUC (0-24h) </w:t>
      </w:r>
      <w:r w:rsidRPr="00B4092E">
        <w:rPr>
          <w:rFonts w:eastAsia="Times New Roman" w:cs="Arial"/>
          <w:color w:val="000000"/>
          <w:lang w:eastAsia="bg-BG"/>
        </w:rPr>
        <w:t>на дроспиренон и етинилестрадиол съответно 2,7 и</w:t>
      </w:r>
      <w:r w:rsidR="002D212A" w:rsidRPr="002D212A">
        <w:rPr>
          <w:rFonts w:eastAsia="Times New Roman" w:cs="Arial"/>
          <w:lang w:val="en-US" w:eastAsia="bg-BG"/>
        </w:rPr>
        <w:t xml:space="preserve"> </w:t>
      </w:r>
      <w:r w:rsidRPr="002D212A">
        <w:rPr>
          <w:rFonts w:eastAsia="Times New Roman" w:cs="Arial"/>
          <w:color w:val="000000"/>
          <w:lang w:eastAsia="bg-BG"/>
        </w:rPr>
        <w:t>1,4 пъти</w:t>
      </w:r>
      <w:r w:rsidR="002D212A" w:rsidRPr="002D212A">
        <w:rPr>
          <w:rFonts w:eastAsia="Times New Roman" w:cs="Arial"/>
          <w:color w:val="000000"/>
          <w:lang w:val="en-US" w:eastAsia="bg-BG"/>
        </w:rPr>
        <w:t>.</w:t>
      </w:r>
    </w:p>
    <w:p w14:paraId="20FED329" w14:textId="77777777" w:rsidR="002D212A" w:rsidRPr="002D212A" w:rsidRDefault="002D212A" w:rsidP="002D212A">
      <w:pPr>
        <w:spacing w:line="240" w:lineRule="auto"/>
        <w:rPr>
          <w:rFonts w:eastAsia="Times New Roman" w:cs="Arial"/>
          <w:color w:val="000000"/>
          <w:lang w:val="en-US" w:eastAsia="bg-BG"/>
        </w:rPr>
      </w:pPr>
    </w:p>
    <w:p w14:paraId="2ADB4967" w14:textId="77777777" w:rsidR="002D212A" w:rsidRPr="002D212A" w:rsidRDefault="002D212A" w:rsidP="002D212A">
      <w:pPr>
        <w:spacing w:line="240" w:lineRule="auto"/>
        <w:rPr>
          <w:rFonts w:eastAsia="Times New Roman" w:cs="Arial"/>
          <w:lang w:eastAsia="bg-BG"/>
        </w:rPr>
      </w:pPr>
      <w:r w:rsidRPr="002D212A">
        <w:rPr>
          <w:rFonts w:eastAsia="Times New Roman" w:cs="Arial"/>
          <w:color w:val="000000"/>
          <w:lang w:eastAsia="bg-BG"/>
        </w:rPr>
        <w:t xml:space="preserve">Приложението на еторикоксиб в дози от 60 до 120 </w:t>
      </w:r>
      <w:r w:rsidRPr="002D212A">
        <w:rPr>
          <w:rFonts w:eastAsia="Times New Roman" w:cs="Arial"/>
          <w:color w:val="000000"/>
          <w:lang w:val="en-US"/>
        </w:rPr>
        <w:t>mg</w:t>
      </w:r>
      <w:r w:rsidRPr="002D212A">
        <w:rPr>
          <w:rFonts w:eastAsia="Times New Roman" w:cs="Arial"/>
          <w:color w:val="000000"/>
          <w:lang w:eastAsia="bg-BG"/>
        </w:rPr>
        <w:t xml:space="preserve">/ден показва повишение на плазмените концентрации на етинилестрадиол съответно 1,4 до 1,6 пъти, когато се приема едновременно с комбинирана хормонална контрацепция, съдържаща 0,035 </w:t>
      </w:r>
      <w:r w:rsidRPr="002D212A">
        <w:rPr>
          <w:rFonts w:eastAsia="Times New Roman" w:cs="Arial"/>
          <w:color w:val="000000"/>
          <w:lang w:val="en-US"/>
        </w:rPr>
        <w:t xml:space="preserve">mg </w:t>
      </w:r>
      <w:r w:rsidRPr="002D212A">
        <w:rPr>
          <w:rFonts w:eastAsia="Times New Roman" w:cs="Arial"/>
          <w:color w:val="000000"/>
          <w:lang w:eastAsia="bg-BG"/>
        </w:rPr>
        <w:t>етинилестрадиол.</w:t>
      </w:r>
    </w:p>
    <w:p w14:paraId="5496DA1C" w14:textId="77777777" w:rsidR="002D212A" w:rsidRPr="002D212A" w:rsidRDefault="002D212A" w:rsidP="002D212A">
      <w:pPr>
        <w:spacing w:line="240" w:lineRule="auto"/>
        <w:rPr>
          <w:rFonts w:eastAsia="Times New Roman" w:cs="Arial"/>
          <w:color w:val="000000"/>
          <w:lang w:eastAsia="bg-BG"/>
        </w:rPr>
      </w:pPr>
    </w:p>
    <w:p w14:paraId="399BCC89" w14:textId="0F65EF37" w:rsidR="002D212A" w:rsidRPr="002D212A" w:rsidRDefault="002D212A" w:rsidP="002D212A">
      <w:pPr>
        <w:pStyle w:val="ListParagraph"/>
        <w:numPr>
          <w:ilvl w:val="0"/>
          <w:numId w:val="47"/>
        </w:numPr>
        <w:spacing w:line="240" w:lineRule="auto"/>
        <w:rPr>
          <w:rFonts w:eastAsia="Times New Roman" w:cs="Arial"/>
          <w:color w:val="000000"/>
          <w:lang w:eastAsia="bg-BG"/>
        </w:rPr>
      </w:pPr>
      <w:r w:rsidRPr="002D212A">
        <w:rPr>
          <w:rFonts w:eastAsia="Times New Roman" w:cs="Arial"/>
          <w:color w:val="000000"/>
          <w:lang w:eastAsia="bg-BG"/>
        </w:rPr>
        <w:t>Ефекти на Джаз върху други лекарствени продукти</w:t>
      </w:r>
    </w:p>
    <w:p w14:paraId="29026EA0" w14:textId="77777777" w:rsidR="002D212A" w:rsidRPr="002D212A" w:rsidRDefault="002D212A" w:rsidP="002D212A">
      <w:pPr>
        <w:spacing w:line="240" w:lineRule="auto"/>
        <w:rPr>
          <w:rFonts w:eastAsia="Times New Roman" w:cs="Arial"/>
          <w:lang w:eastAsia="bg-BG"/>
        </w:rPr>
      </w:pPr>
      <w:r w:rsidRPr="002D212A">
        <w:rPr>
          <w:rFonts w:eastAsia="Times New Roman" w:cs="Arial"/>
          <w:color w:val="000000"/>
          <w:lang w:eastAsia="bg-BG"/>
        </w:rPr>
        <w:t>КОК могат да повлияят метаболизма на някои други активни вещества. Съответно, техните плазмени и тъканни концентрации могат да бъдат или повишени (напр. циклоспорин) или понижени (напр. ламотригин).</w:t>
      </w:r>
    </w:p>
    <w:p w14:paraId="2BF96B74" w14:textId="77777777" w:rsidR="002D212A" w:rsidRPr="002D212A" w:rsidRDefault="002D212A" w:rsidP="002D212A">
      <w:pPr>
        <w:spacing w:line="240" w:lineRule="auto"/>
        <w:rPr>
          <w:rFonts w:eastAsia="Times New Roman" w:cs="Arial"/>
          <w:color w:val="000000"/>
          <w:lang w:eastAsia="bg-BG"/>
        </w:rPr>
      </w:pPr>
    </w:p>
    <w:p w14:paraId="5D5AB535" w14:textId="0F1822BD" w:rsidR="002D212A" w:rsidRPr="002D212A" w:rsidRDefault="002D212A" w:rsidP="002D212A">
      <w:pPr>
        <w:spacing w:line="240" w:lineRule="auto"/>
        <w:rPr>
          <w:rFonts w:eastAsia="Times New Roman" w:cs="Arial"/>
          <w:lang w:eastAsia="bg-BG"/>
        </w:rPr>
      </w:pPr>
      <w:r w:rsidRPr="002D212A">
        <w:rPr>
          <w:rFonts w:eastAsia="Times New Roman" w:cs="Arial"/>
          <w:color w:val="000000"/>
          <w:lang w:eastAsia="bg-BG"/>
        </w:rPr>
        <w:t xml:space="preserve">Според </w:t>
      </w:r>
      <w:r w:rsidRPr="002D212A">
        <w:rPr>
          <w:rFonts w:eastAsia="Times New Roman" w:cs="Arial"/>
          <w:i/>
          <w:iCs/>
          <w:color w:val="000000"/>
          <w:lang w:val="en-US"/>
        </w:rPr>
        <w:t>in vivo</w:t>
      </w:r>
      <w:r w:rsidRPr="002D212A">
        <w:rPr>
          <w:rFonts w:eastAsia="Times New Roman" w:cs="Arial"/>
          <w:color w:val="000000"/>
          <w:lang w:val="en-US"/>
        </w:rPr>
        <w:t xml:space="preserve"> </w:t>
      </w:r>
      <w:r w:rsidRPr="002D212A">
        <w:rPr>
          <w:rFonts w:eastAsia="Times New Roman" w:cs="Arial"/>
          <w:color w:val="000000"/>
          <w:lang w:eastAsia="bg-BG"/>
        </w:rPr>
        <w:t xml:space="preserve">проучвания за взаимодействията при жени доброволци, използващи омепразол, симвастатин или мидазолам като маркерен субстрат, клинично значимо </w:t>
      </w:r>
      <w:r w:rsidRPr="002D212A">
        <w:rPr>
          <w:rFonts w:eastAsia="Times New Roman" w:cs="Arial"/>
          <w:color w:val="000000"/>
          <w:lang w:eastAsia="bg-BG"/>
        </w:rPr>
        <w:lastRenderedPageBreak/>
        <w:t xml:space="preserve">взаимодействие на дроспиренон в дози от 3 </w:t>
      </w:r>
      <w:r w:rsidRPr="002D212A">
        <w:rPr>
          <w:rFonts w:eastAsia="Times New Roman" w:cs="Arial"/>
          <w:color w:val="000000"/>
          <w:lang w:val="en-US"/>
        </w:rPr>
        <w:t xml:space="preserve">mg </w:t>
      </w:r>
      <w:r w:rsidRPr="002D212A">
        <w:rPr>
          <w:rFonts w:eastAsia="Times New Roman" w:cs="Arial"/>
          <w:color w:val="000000"/>
          <w:lang w:eastAsia="bg-BG"/>
        </w:rPr>
        <w:t>с цитохром Р450 медиирания метаболизъм на други активни вещества е малко вероятно.</w:t>
      </w:r>
    </w:p>
    <w:p w14:paraId="6D4054D8" w14:textId="77777777" w:rsidR="002D212A" w:rsidRPr="002D212A" w:rsidRDefault="002D212A" w:rsidP="002D212A">
      <w:pPr>
        <w:spacing w:line="240" w:lineRule="auto"/>
        <w:rPr>
          <w:rFonts w:eastAsia="Times New Roman" w:cs="Arial"/>
          <w:color w:val="000000"/>
          <w:lang w:eastAsia="bg-BG"/>
        </w:rPr>
      </w:pPr>
    </w:p>
    <w:p w14:paraId="7BE69E39" w14:textId="1A9BFCDC" w:rsidR="002D212A" w:rsidRPr="002D212A" w:rsidRDefault="002D212A" w:rsidP="002D212A">
      <w:pPr>
        <w:spacing w:line="240" w:lineRule="auto"/>
        <w:rPr>
          <w:rFonts w:eastAsia="Times New Roman" w:cs="Arial"/>
          <w:lang w:eastAsia="bg-BG"/>
        </w:rPr>
      </w:pPr>
      <w:r w:rsidRPr="002D212A">
        <w:rPr>
          <w:rFonts w:eastAsia="Times New Roman" w:cs="Arial"/>
          <w:color w:val="000000"/>
          <w:lang w:eastAsia="bg-BG"/>
        </w:rPr>
        <w:t xml:space="preserve">Клиничните данни показват, че етинилестрадиол инхибира клирънса на субстратите на </w:t>
      </w:r>
      <w:r w:rsidRPr="002D212A">
        <w:rPr>
          <w:rFonts w:eastAsia="Times New Roman" w:cs="Arial"/>
          <w:color w:val="000000"/>
          <w:lang w:val="en-US"/>
        </w:rPr>
        <w:t xml:space="preserve">CYP1A2, </w:t>
      </w:r>
      <w:r w:rsidRPr="002D212A">
        <w:rPr>
          <w:rFonts w:eastAsia="Times New Roman" w:cs="Arial"/>
          <w:color w:val="000000"/>
          <w:lang w:eastAsia="bg-BG"/>
        </w:rPr>
        <w:t>което води до слабо (напр. теофилин) или умерено (напр. тизанидин) повишение в тяхната плазмена концентрация.</w:t>
      </w:r>
    </w:p>
    <w:p w14:paraId="2358E911" w14:textId="77777777" w:rsidR="002D212A" w:rsidRPr="002D212A" w:rsidRDefault="002D212A" w:rsidP="002D212A">
      <w:pPr>
        <w:spacing w:line="240" w:lineRule="auto"/>
        <w:rPr>
          <w:rFonts w:eastAsia="Times New Roman" w:cs="Arial"/>
          <w:color w:val="000000"/>
          <w:lang w:eastAsia="bg-BG"/>
        </w:rPr>
      </w:pPr>
    </w:p>
    <w:p w14:paraId="5950E718" w14:textId="5803C2E6" w:rsidR="002D212A" w:rsidRPr="002D212A" w:rsidRDefault="002D212A" w:rsidP="002D212A">
      <w:pPr>
        <w:pStyle w:val="ListParagraph"/>
        <w:numPr>
          <w:ilvl w:val="0"/>
          <w:numId w:val="47"/>
        </w:numPr>
        <w:spacing w:line="240" w:lineRule="auto"/>
        <w:rPr>
          <w:rFonts w:eastAsia="Times New Roman" w:cs="Arial"/>
          <w:color w:val="000000"/>
          <w:lang w:eastAsia="bg-BG"/>
        </w:rPr>
      </w:pPr>
      <w:r w:rsidRPr="002D212A">
        <w:rPr>
          <w:rFonts w:eastAsia="Times New Roman" w:cs="Arial"/>
          <w:color w:val="000000"/>
          <w:lang w:eastAsia="bg-BG"/>
        </w:rPr>
        <w:t>Фармакодинамични взаимодействия</w:t>
      </w:r>
    </w:p>
    <w:p w14:paraId="0FBE5D43" w14:textId="77777777" w:rsidR="002D212A" w:rsidRPr="002D212A" w:rsidRDefault="002D212A" w:rsidP="002D212A">
      <w:pPr>
        <w:spacing w:line="240" w:lineRule="auto"/>
        <w:rPr>
          <w:rFonts w:eastAsia="Times New Roman" w:cs="Arial"/>
          <w:lang w:eastAsia="bg-BG"/>
        </w:rPr>
      </w:pPr>
      <w:r w:rsidRPr="002D212A">
        <w:rPr>
          <w:rFonts w:eastAsia="Times New Roman" w:cs="Arial"/>
          <w:color w:val="000000"/>
          <w:lang w:eastAsia="bg-BG"/>
        </w:rPr>
        <w:t xml:space="preserve">По време на клинични изпитвания при пациенти, лекувани срещу инфекция с вируса на хепатит С </w:t>
      </w:r>
      <w:r w:rsidRPr="002D212A">
        <w:rPr>
          <w:rFonts w:eastAsia="Times New Roman" w:cs="Arial"/>
          <w:color w:val="000000"/>
          <w:lang w:val="en-US"/>
        </w:rPr>
        <w:t xml:space="preserve">(HCV) </w:t>
      </w:r>
      <w:r w:rsidRPr="002D212A">
        <w:rPr>
          <w:rFonts w:eastAsia="Times New Roman" w:cs="Arial"/>
          <w:color w:val="000000"/>
          <w:lang w:eastAsia="bg-BG"/>
        </w:rPr>
        <w:t>с лекарствени продукти, съдържащи омбитасвир/паритапревир/ритонавир и дазабувир, с или без рибавирин, повишения на трансаминазите (АЛАТ) повече от 5 пъти горната граница на нормата (ГТН) се срещат значително по-често при жени, използващи лекарства с етинилестрадиол, като комбинирани хормонални контрацептиви (КХК). Също така, при пациенти, лекувани с глекапревир/пибрентасвир или софосбувир/велпатасвир/воксилапревир, се наблюдават повишения на АЛАТ при жени, използващи лекарства, съдържащи етинилестрадиол, като КХК (вж. точка 4.3).</w:t>
      </w:r>
    </w:p>
    <w:p w14:paraId="5A04A422" w14:textId="77777777" w:rsidR="002D212A" w:rsidRPr="002D212A" w:rsidRDefault="002D212A" w:rsidP="002D212A">
      <w:pPr>
        <w:spacing w:line="240" w:lineRule="auto"/>
        <w:rPr>
          <w:rFonts w:eastAsia="Times New Roman" w:cs="Arial"/>
          <w:color w:val="000000"/>
          <w:lang w:eastAsia="bg-BG"/>
        </w:rPr>
      </w:pPr>
    </w:p>
    <w:p w14:paraId="150C8924" w14:textId="2D4F65E4" w:rsidR="002D212A" w:rsidRPr="002D212A" w:rsidRDefault="002D212A" w:rsidP="002D212A">
      <w:pPr>
        <w:spacing w:line="240" w:lineRule="auto"/>
        <w:rPr>
          <w:rFonts w:eastAsia="Times New Roman" w:cs="Arial"/>
          <w:lang w:eastAsia="bg-BG"/>
        </w:rPr>
      </w:pPr>
      <w:r w:rsidRPr="002D212A">
        <w:rPr>
          <w:rFonts w:eastAsia="Times New Roman" w:cs="Arial"/>
          <w:color w:val="000000"/>
          <w:lang w:eastAsia="bg-BG"/>
        </w:rPr>
        <w:t xml:space="preserve">Поради това жените, използващи Джаз (етинилестрадиол 0,02 </w:t>
      </w:r>
      <w:r w:rsidRPr="002D212A">
        <w:rPr>
          <w:rFonts w:eastAsia="Times New Roman" w:cs="Arial"/>
          <w:color w:val="000000"/>
          <w:lang w:val="en-US"/>
        </w:rPr>
        <w:t xml:space="preserve">mg </w:t>
      </w:r>
      <w:r w:rsidRPr="002D212A">
        <w:rPr>
          <w:rFonts w:eastAsia="Times New Roman" w:cs="Arial"/>
          <w:color w:val="000000"/>
          <w:lang w:eastAsia="bg-BG"/>
        </w:rPr>
        <w:t xml:space="preserve">и дроспиренон 3 </w:t>
      </w:r>
      <w:r w:rsidRPr="002D212A">
        <w:rPr>
          <w:rFonts w:eastAsia="Times New Roman" w:cs="Arial"/>
          <w:color w:val="000000"/>
          <w:lang w:val="en-US"/>
        </w:rPr>
        <w:t xml:space="preserve">mg) </w:t>
      </w:r>
      <w:r w:rsidRPr="002D212A">
        <w:rPr>
          <w:rFonts w:eastAsia="Times New Roman" w:cs="Arial"/>
          <w:color w:val="000000"/>
          <w:lang w:eastAsia="bg-BG"/>
        </w:rPr>
        <w:t xml:space="preserve">филмирани таблетки трябва да преминат към алтернативен метод на контрацепция (напр. само с прогестаген или нехормонални методи) преди да започнат лечение с тези комбинации от лекарства. Може да се започне отново прием на Джаз (етинилестрадиол 0,02 </w:t>
      </w:r>
      <w:r w:rsidRPr="002D212A">
        <w:rPr>
          <w:rFonts w:eastAsia="Times New Roman" w:cs="Arial"/>
          <w:color w:val="000000"/>
          <w:lang w:val="en-US"/>
        </w:rPr>
        <w:t xml:space="preserve">mg </w:t>
      </w:r>
      <w:r w:rsidRPr="002D212A">
        <w:rPr>
          <w:rFonts w:eastAsia="Times New Roman" w:cs="Arial"/>
          <w:color w:val="000000"/>
          <w:lang w:eastAsia="bg-BG"/>
        </w:rPr>
        <w:t xml:space="preserve">и дроспиренон 3 </w:t>
      </w:r>
      <w:r w:rsidRPr="002D212A">
        <w:rPr>
          <w:rFonts w:eastAsia="Times New Roman" w:cs="Arial"/>
          <w:color w:val="000000"/>
          <w:lang w:val="en-US"/>
        </w:rPr>
        <w:t xml:space="preserve">mg) </w:t>
      </w:r>
      <w:r w:rsidRPr="002D212A">
        <w:rPr>
          <w:rFonts w:eastAsia="Times New Roman" w:cs="Arial"/>
          <w:color w:val="000000"/>
          <w:lang w:eastAsia="bg-BG"/>
        </w:rPr>
        <w:t>филмирани таблетки 2 седмици след завършването на лечението е тези комбинации от лекарства.</w:t>
      </w:r>
    </w:p>
    <w:p w14:paraId="12DEA4B9" w14:textId="77777777" w:rsidR="002D212A" w:rsidRPr="002D212A" w:rsidRDefault="002D212A" w:rsidP="002D212A">
      <w:pPr>
        <w:spacing w:line="240" w:lineRule="auto"/>
        <w:rPr>
          <w:rFonts w:eastAsia="Times New Roman" w:cs="Arial"/>
          <w:color w:val="000000"/>
          <w:lang w:eastAsia="bg-BG"/>
        </w:rPr>
      </w:pPr>
    </w:p>
    <w:p w14:paraId="1CF5ED97" w14:textId="7F19910D" w:rsidR="002D212A" w:rsidRPr="002D212A" w:rsidRDefault="002D212A" w:rsidP="002D212A">
      <w:pPr>
        <w:spacing w:line="240" w:lineRule="auto"/>
        <w:rPr>
          <w:rFonts w:eastAsia="Times New Roman" w:cs="Arial"/>
          <w:lang w:eastAsia="bg-BG"/>
        </w:rPr>
      </w:pPr>
      <w:r w:rsidRPr="002D212A">
        <w:rPr>
          <w:rFonts w:eastAsia="Times New Roman" w:cs="Arial"/>
          <w:color w:val="000000"/>
          <w:lang w:eastAsia="bg-BG"/>
        </w:rPr>
        <w:t>При пациенти без бъбречна недостатъчност, едновременното приложение на дроспиренон и АСЕ инхибитори или НСПВС, не оказват значим ефект върху серумния калий. Независимо от това, едновременното приложение на Джаз с алдостеронови антагонисти или калий-съхраняващи диуретици не е било проучено. В този случай серумният калий трябва да се изследва през първия лечебен цикъл. Вижте също точка 4.4.</w:t>
      </w:r>
    </w:p>
    <w:p w14:paraId="1F6A4933" w14:textId="77777777" w:rsidR="002D212A" w:rsidRPr="002D212A" w:rsidRDefault="002D212A" w:rsidP="002D212A">
      <w:pPr>
        <w:spacing w:line="240" w:lineRule="auto"/>
        <w:rPr>
          <w:rFonts w:eastAsia="Times New Roman" w:cs="Arial"/>
          <w:color w:val="000000"/>
          <w:lang w:eastAsia="bg-BG"/>
        </w:rPr>
      </w:pPr>
    </w:p>
    <w:p w14:paraId="21A88696" w14:textId="3EC179CB" w:rsidR="002D212A" w:rsidRPr="002D212A" w:rsidRDefault="002D212A" w:rsidP="002D212A">
      <w:pPr>
        <w:pStyle w:val="ListParagraph"/>
        <w:numPr>
          <w:ilvl w:val="0"/>
          <w:numId w:val="47"/>
        </w:numPr>
        <w:spacing w:line="240" w:lineRule="auto"/>
        <w:rPr>
          <w:rFonts w:eastAsia="Times New Roman" w:cs="Arial"/>
          <w:color w:val="000000"/>
          <w:lang w:eastAsia="bg-BG"/>
        </w:rPr>
      </w:pPr>
      <w:r w:rsidRPr="002D212A">
        <w:rPr>
          <w:rFonts w:eastAsia="Times New Roman" w:cs="Arial"/>
          <w:color w:val="000000"/>
          <w:lang w:eastAsia="bg-BG"/>
        </w:rPr>
        <w:t>Други форми на взаимодействие</w:t>
      </w:r>
    </w:p>
    <w:p w14:paraId="11338423" w14:textId="77777777" w:rsidR="002D212A" w:rsidRPr="002D212A" w:rsidRDefault="002D212A" w:rsidP="002D212A">
      <w:pPr>
        <w:spacing w:line="240" w:lineRule="auto"/>
        <w:rPr>
          <w:rFonts w:eastAsia="Times New Roman" w:cs="Arial"/>
          <w:color w:val="000000"/>
          <w:u w:val="single"/>
          <w:lang w:eastAsia="bg-BG"/>
        </w:rPr>
      </w:pPr>
    </w:p>
    <w:p w14:paraId="593FDBF7" w14:textId="4F372281" w:rsidR="002D212A" w:rsidRPr="002D212A" w:rsidRDefault="002D212A" w:rsidP="002D212A">
      <w:pPr>
        <w:spacing w:line="240" w:lineRule="auto"/>
        <w:rPr>
          <w:rFonts w:eastAsia="Times New Roman" w:cs="Arial"/>
          <w:lang w:eastAsia="bg-BG"/>
        </w:rPr>
      </w:pPr>
      <w:r w:rsidRPr="002D212A">
        <w:rPr>
          <w:rFonts w:eastAsia="Times New Roman" w:cs="Arial"/>
          <w:color w:val="000000"/>
          <w:u w:val="single"/>
          <w:lang w:eastAsia="bg-BG"/>
        </w:rPr>
        <w:t>Лабораторни изследвания</w:t>
      </w:r>
    </w:p>
    <w:p w14:paraId="34DE05AD" w14:textId="18D8DE97" w:rsidR="002D212A" w:rsidRPr="002D212A" w:rsidRDefault="002D212A" w:rsidP="002D212A">
      <w:pPr>
        <w:spacing w:line="240" w:lineRule="auto"/>
        <w:rPr>
          <w:rFonts w:cs="Arial"/>
        </w:rPr>
      </w:pPr>
      <w:r w:rsidRPr="002D212A">
        <w:rPr>
          <w:rFonts w:cs="Arial"/>
        </w:rPr>
        <w:t>Използването на контрацептивни стероиди може да повлияе върху резултатите от определени лабораторни изследвания, включително биохимичните параметри на чернодробните, тироидните, надбъбречните и бъбречните функции, плазмените нива на (транспортни) протеини, като кортикостероид свързващия глобулин и липидните/липопротеи новите фракции, параметрите на въглехидратния метаболизъм и параметрите на коагулацията и фибринолизата. Промените обикновено остават в нормалните лабораторни граници. Дроспиренон причинява повишаване на активността на плазмения ренин и плазмения алдостерон, индуцирано от леката му</w:t>
      </w:r>
      <w:r w:rsidRPr="002D212A">
        <w:rPr>
          <w:rFonts w:cs="Arial"/>
        </w:rPr>
        <w:t xml:space="preserve"> </w:t>
      </w:r>
      <w:r w:rsidRPr="002D212A">
        <w:rPr>
          <w:rFonts w:cs="Arial"/>
        </w:rPr>
        <w:t>антиминералкортикоидна активност.</w:t>
      </w:r>
    </w:p>
    <w:p w14:paraId="4EC0CA2D" w14:textId="77777777" w:rsidR="002D212A" w:rsidRPr="002D212A" w:rsidRDefault="002D212A" w:rsidP="002D212A">
      <w:pPr>
        <w:spacing w:line="240" w:lineRule="auto"/>
        <w:rPr>
          <w:rFonts w:ascii="Times New Roman" w:eastAsia="Times New Roman" w:hAnsi="Times New Roman" w:cs="Times New Roman"/>
          <w:sz w:val="24"/>
          <w:szCs w:val="24"/>
          <w:lang w:val="en-US" w:eastAsia="bg-BG"/>
        </w:rPr>
      </w:pPr>
    </w:p>
    <w:p w14:paraId="48846BBA" w14:textId="2507FDE7" w:rsidR="009F77A4" w:rsidRDefault="002C50EE" w:rsidP="00387A66">
      <w:pPr>
        <w:pStyle w:val="Heading2"/>
      </w:pPr>
      <w:r>
        <w:t>4.6. Фертилитет, бременност и кърмене</w:t>
      </w:r>
    </w:p>
    <w:p w14:paraId="6B0F7620" w14:textId="77777777" w:rsidR="002D212A" w:rsidRDefault="002D212A" w:rsidP="002D212A"/>
    <w:p w14:paraId="3C63CC7B" w14:textId="77777777" w:rsidR="002D212A" w:rsidRPr="002D212A" w:rsidRDefault="002D212A" w:rsidP="002D212A">
      <w:pPr>
        <w:pStyle w:val="Heading3"/>
        <w:rPr>
          <w:rFonts w:eastAsia="Times New Roman"/>
          <w:u w:val="single"/>
          <w:lang w:eastAsia="bg-BG"/>
        </w:rPr>
      </w:pPr>
      <w:r w:rsidRPr="002D212A">
        <w:rPr>
          <w:rFonts w:eastAsia="Times New Roman"/>
          <w:u w:val="single"/>
          <w:lang w:eastAsia="bg-BG"/>
        </w:rPr>
        <w:t>Бременност</w:t>
      </w:r>
    </w:p>
    <w:p w14:paraId="5BA86275" w14:textId="77777777" w:rsidR="002D212A" w:rsidRPr="002D212A" w:rsidRDefault="002D212A" w:rsidP="002D212A">
      <w:pPr>
        <w:spacing w:line="240" w:lineRule="auto"/>
        <w:rPr>
          <w:rFonts w:eastAsia="Times New Roman" w:cs="Arial"/>
          <w:lang w:eastAsia="bg-BG"/>
        </w:rPr>
      </w:pPr>
      <w:r w:rsidRPr="002D212A">
        <w:rPr>
          <w:rFonts w:eastAsia="Times New Roman" w:cs="Arial"/>
          <w:color w:val="000000"/>
          <w:lang w:eastAsia="bg-BG"/>
        </w:rPr>
        <w:t>Джаз не е показан по време на бременност.</w:t>
      </w:r>
    </w:p>
    <w:p w14:paraId="65D616F1" w14:textId="77777777" w:rsidR="002D212A" w:rsidRPr="002D212A" w:rsidRDefault="002D212A" w:rsidP="002D212A">
      <w:pPr>
        <w:spacing w:line="240" w:lineRule="auto"/>
        <w:rPr>
          <w:rFonts w:eastAsia="Times New Roman" w:cs="Arial"/>
          <w:lang w:eastAsia="bg-BG"/>
        </w:rPr>
      </w:pPr>
      <w:r w:rsidRPr="002D212A">
        <w:rPr>
          <w:rFonts w:eastAsia="Times New Roman" w:cs="Arial"/>
          <w:color w:val="000000"/>
          <w:lang w:eastAsia="bg-BG"/>
        </w:rPr>
        <w:lastRenderedPageBreak/>
        <w:t>Ако по време на приложение на Джаз настъпи бременност, лекарството трябва да бъде незабавно преустановено. Обстойните епидемиологични проучвания не показват нито повишен риск от родилни дефекти при деца родени от майки използвали КОК преди да забременеят, нито тератогенни ефекти, когато КОК са вземани по невнимание по време на бременност.</w:t>
      </w:r>
    </w:p>
    <w:p w14:paraId="613AFFBA" w14:textId="77777777" w:rsidR="002D212A" w:rsidRPr="002D212A" w:rsidRDefault="002D212A" w:rsidP="002D212A">
      <w:pPr>
        <w:spacing w:line="240" w:lineRule="auto"/>
        <w:rPr>
          <w:rFonts w:eastAsia="Times New Roman" w:cs="Arial"/>
          <w:lang w:eastAsia="bg-BG"/>
        </w:rPr>
      </w:pPr>
      <w:r w:rsidRPr="002D212A">
        <w:rPr>
          <w:rFonts w:eastAsia="Times New Roman" w:cs="Arial"/>
          <w:color w:val="000000"/>
          <w:lang w:eastAsia="bg-BG"/>
        </w:rPr>
        <w:t>Проучванията при животни показват нежелани лекарствени реакции при бременност и кърмене (вж. точка 5.3). Според резултатите от тези проучвания, не могат да бъдат изключени нежелани лекарствени реакции, поради хормоналното действие на активните вещества.</w:t>
      </w:r>
    </w:p>
    <w:p w14:paraId="2F717D28" w14:textId="77777777" w:rsidR="002D212A" w:rsidRPr="002D212A" w:rsidRDefault="002D212A" w:rsidP="002D212A">
      <w:pPr>
        <w:spacing w:line="240" w:lineRule="auto"/>
        <w:rPr>
          <w:rFonts w:eastAsia="Times New Roman" w:cs="Arial"/>
          <w:lang w:eastAsia="bg-BG"/>
        </w:rPr>
      </w:pPr>
      <w:r w:rsidRPr="002D212A">
        <w:rPr>
          <w:rFonts w:eastAsia="Times New Roman" w:cs="Arial"/>
          <w:color w:val="000000"/>
          <w:lang w:eastAsia="bg-BG"/>
        </w:rPr>
        <w:t>В същото време, общият опит с КОК по време на бременност не дава доказателства за действително съществуващи нежелани лекарствени реакции при хора.</w:t>
      </w:r>
    </w:p>
    <w:p w14:paraId="2FDB214D" w14:textId="77777777" w:rsidR="002D212A" w:rsidRPr="002D212A" w:rsidRDefault="002D212A" w:rsidP="002D212A">
      <w:pPr>
        <w:spacing w:line="240" w:lineRule="auto"/>
        <w:rPr>
          <w:rFonts w:eastAsia="Times New Roman" w:cs="Arial"/>
          <w:lang w:eastAsia="bg-BG"/>
        </w:rPr>
      </w:pPr>
      <w:r w:rsidRPr="002D212A">
        <w:rPr>
          <w:rFonts w:eastAsia="Times New Roman" w:cs="Arial"/>
          <w:color w:val="000000"/>
          <w:lang w:eastAsia="bg-BG"/>
        </w:rPr>
        <w:t>Наличните данни по отношение използването на Джаз по време на бременност са твърде ограничени, за да позволяват заключения относно отрицателните ефекти на Джаз върху бременността, здравето на фетуса или новороденото. Досега няма съответни епидемиологични данни.</w:t>
      </w:r>
    </w:p>
    <w:p w14:paraId="0499628A" w14:textId="77777777" w:rsidR="002D212A" w:rsidRPr="002D212A" w:rsidRDefault="002D212A" w:rsidP="002D212A">
      <w:pPr>
        <w:spacing w:line="240" w:lineRule="auto"/>
        <w:rPr>
          <w:rFonts w:eastAsia="Times New Roman" w:cs="Arial"/>
          <w:lang w:eastAsia="bg-BG"/>
        </w:rPr>
      </w:pPr>
      <w:r w:rsidRPr="002D212A">
        <w:rPr>
          <w:rFonts w:eastAsia="Times New Roman" w:cs="Arial"/>
          <w:color w:val="000000"/>
          <w:lang w:eastAsia="bg-BG"/>
        </w:rPr>
        <w:t>При възобновяване на приема на Джаз трябва да се има предвид повишеният риск от венозна тромбоемболия (ВТЕ) по време на след родовия период (вж. точки 4.2 и 4.4).</w:t>
      </w:r>
    </w:p>
    <w:p w14:paraId="0B65FA43" w14:textId="77777777" w:rsidR="002D212A" w:rsidRPr="002D212A" w:rsidRDefault="002D212A" w:rsidP="002D212A">
      <w:pPr>
        <w:spacing w:line="240" w:lineRule="auto"/>
        <w:rPr>
          <w:rFonts w:eastAsia="Times New Roman" w:cs="Arial"/>
          <w:color w:val="000000"/>
          <w:u w:val="single"/>
          <w:lang w:eastAsia="bg-BG"/>
        </w:rPr>
      </w:pPr>
    </w:p>
    <w:p w14:paraId="623EA3AB" w14:textId="77777777" w:rsidR="002D212A" w:rsidRPr="002D212A" w:rsidRDefault="002D212A" w:rsidP="002D212A">
      <w:pPr>
        <w:pStyle w:val="Heading3"/>
        <w:rPr>
          <w:rFonts w:eastAsia="Times New Roman"/>
          <w:u w:val="single"/>
          <w:lang w:eastAsia="bg-BG"/>
        </w:rPr>
      </w:pPr>
      <w:r w:rsidRPr="002D212A">
        <w:rPr>
          <w:rFonts w:eastAsia="Times New Roman"/>
          <w:u w:val="single"/>
          <w:lang w:eastAsia="bg-BG"/>
        </w:rPr>
        <w:t>Кърмене</w:t>
      </w:r>
    </w:p>
    <w:p w14:paraId="1819D454" w14:textId="77777777" w:rsidR="002D212A" w:rsidRPr="002D212A" w:rsidRDefault="002D212A" w:rsidP="002D212A">
      <w:pPr>
        <w:spacing w:line="240" w:lineRule="auto"/>
        <w:rPr>
          <w:rFonts w:eastAsia="Times New Roman" w:cs="Arial"/>
          <w:lang w:eastAsia="bg-BG"/>
        </w:rPr>
      </w:pPr>
      <w:r w:rsidRPr="002D212A">
        <w:rPr>
          <w:rFonts w:eastAsia="Times New Roman" w:cs="Arial"/>
          <w:color w:val="000000"/>
          <w:lang w:eastAsia="bg-BG"/>
        </w:rPr>
        <w:t>Кърменето може да се повлияе от КОК, тъй като тези продукти могат да намалят количеството и да променят състава на кърмата. Поради това, като цяло приемането на КОК не се препоръчва, докато кърмачката не отбие напълно кърмачето. Малки количества контрацептивни стероиди и/или техни метаболити могат да бъдат екскретирани с кърмата при използване на КОК. Тези количества могат да повлияят на детето.</w:t>
      </w:r>
    </w:p>
    <w:p w14:paraId="31F36200" w14:textId="77777777" w:rsidR="002D212A" w:rsidRPr="002D212A" w:rsidRDefault="002D212A" w:rsidP="002D212A">
      <w:pPr>
        <w:spacing w:line="240" w:lineRule="auto"/>
        <w:rPr>
          <w:rFonts w:eastAsia="Times New Roman" w:cs="Arial"/>
          <w:color w:val="000000"/>
          <w:u w:val="single"/>
          <w:lang w:eastAsia="bg-BG"/>
        </w:rPr>
      </w:pPr>
    </w:p>
    <w:p w14:paraId="6103586A" w14:textId="77777777" w:rsidR="002D212A" w:rsidRPr="002D212A" w:rsidRDefault="002D212A" w:rsidP="002D212A">
      <w:pPr>
        <w:pStyle w:val="Heading3"/>
        <w:rPr>
          <w:rFonts w:eastAsia="Times New Roman"/>
          <w:u w:val="single"/>
          <w:lang w:eastAsia="bg-BG"/>
        </w:rPr>
      </w:pPr>
      <w:r w:rsidRPr="002D212A">
        <w:rPr>
          <w:rFonts w:eastAsia="Times New Roman"/>
          <w:u w:val="single"/>
          <w:lang w:eastAsia="bg-BG"/>
        </w:rPr>
        <w:t>Фертилитет</w:t>
      </w:r>
    </w:p>
    <w:p w14:paraId="5863C01C" w14:textId="77777777" w:rsidR="002D212A" w:rsidRPr="002D212A" w:rsidRDefault="002D212A" w:rsidP="002D212A">
      <w:pPr>
        <w:spacing w:line="240" w:lineRule="auto"/>
        <w:rPr>
          <w:rFonts w:eastAsia="Times New Roman" w:cs="Arial"/>
          <w:color w:val="000000"/>
          <w:lang w:eastAsia="bg-BG"/>
        </w:rPr>
      </w:pPr>
      <w:r w:rsidRPr="002D212A">
        <w:rPr>
          <w:rFonts w:eastAsia="Times New Roman" w:cs="Arial"/>
          <w:color w:val="000000"/>
          <w:lang w:eastAsia="bg-BG"/>
        </w:rPr>
        <w:t>Джаз е показан за предпазване от забременяване. За информация относно възвръщане на фертилитета вижте точка 5.1.</w:t>
      </w:r>
    </w:p>
    <w:p w14:paraId="020607BF" w14:textId="77777777" w:rsidR="002D212A" w:rsidRPr="002D212A" w:rsidRDefault="002D212A" w:rsidP="002D212A"/>
    <w:p w14:paraId="321AAB00" w14:textId="3EA4494E" w:rsidR="009F77A4" w:rsidRDefault="002C50EE" w:rsidP="00387A66">
      <w:pPr>
        <w:pStyle w:val="Heading2"/>
      </w:pPr>
      <w:r>
        <w:t>4.7. Ефекти върху способността за шофиране и работа с машини</w:t>
      </w:r>
    </w:p>
    <w:p w14:paraId="563E000A" w14:textId="77777777" w:rsidR="002D212A" w:rsidRDefault="002D212A" w:rsidP="002D212A"/>
    <w:p w14:paraId="0F2209A6" w14:textId="698BA0F0" w:rsidR="002D212A" w:rsidRDefault="002D212A" w:rsidP="002D212A">
      <w:pPr>
        <w:rPr>
          <w:lang w:eastAsia="bg-BG"/>
        </w:rPr>
      </w:pPr>
      <w:r w:rsidRPr="002D212A">
        <w:rPr>
          <w:lang w:eastAsia="bg-BG"/>
        </w:rPr>
        <w:t>Няма проведени проучвания за ефектите върху способността за шофиране и работа с машини. Не са наблюдавани ефекти върху способността за шофиране или работа с машини при употреба на КОК.</w:t>
      </w:r>
    </w:p>
    <w:p w14:paraId="49680350" w14:textId="77777777" w:rsidR="002D212A" w:rsidRPr="002D212A" w:rsidRDefault="002D212A" w:rsidP="002D212A">
      <w:pPr>
        <w:rPr>
          <w:sz w:val="24"/>
          <w:szCs w:val="24"/>
          <w:lang w:eastAsia="bg-BG"/>
        </w:rPr>
      </w:pPr>
    </w:p>
    <w:p w14:paraId="136C86B8" w14:textId="3F9D0CA1" w:rsidR="009F77A4" w:rsidRDefault="002C50EE" w:rsidP="00387A66">
      <w:pPr>
        <w:pStyle w:val="Heading2"/>
      </w:pPr>
      <w:r>
        <w:t>4.8. Нежелани лекарствени реакции</w:t>
      </w:r>
    </w:p>
    <w:p w14:paraId="61CD8728" w14:textId="77777777" w:rsidR="002D212A" w:rsidRDefault="002D212A" w:rsidP="002D212A"/>
    <w:p w14:paraId="5FAB9ACB" w14:textId="77777777" w:rsidR="002D212A" w:rsidRPr="002D212A" w:rsidRDefault="002D212A" w:rsidP="002D212A">
      <w:pPr>
        <w:spacing w:line="240" w:lineRule="auto"/>
        <w:rPr>
          <w:rFonts w:eastAsia="Times New Roman" w:cs="Arial"/>
          <w:lang w:eastAsia="bg-BG"/>
        </w:rPr>
      </w:pPr>
      <w:r w:rsidRPr="002D212A">
        <w:rPr>
          <w:rFonts w:eastAsia="Times New Roman" w:cs="Arial"/>
          <w:color w:val="000000"/>
          <w:lang w:eastAsia="bg-BG"/>
        </w:rPr>
        <w:t>За сериозни нежелани лекарствени реакции, наблюдавани при жени, използващи КОК, вижте също точка 4.4.</w:t>
      </w:r>
    </w:p>
    <w:p w14:paraId="41BBA31B" w14:textId="77777777" w:rsidR="002D212A" w:rsidRPr="002D212A" w:rsidRDefault="002D212A" w:rsidP="002D212A">
      <w:pPr>
        <w:spacing w:line="240" w:lineRule="auto"/>
        <w:rPr>
          <w:rFonts w:eastAsia="Times New Roman" w:cs="Arial"/>
          <w:color w:val="000000"/>
          <w:lang w:eastAsia="bg-BG"/>
        </w:rPr>
      </w:pPr>
    </w:p>
    <w:p w14:paraId="555E455F" w14:textId="1E7D2330" w:rsidR="002D212A" w:rsidRPr="002D212A" w:rsidRDefault="002D212A" w:rsidP="002D212A">
      <w:pPr>
        <w:spacing w:line="240" w:lineRule="auto"/>
        <w:rPr>
          <w:rFonts w:eastAsia="Times New Roman" w:cs="Arial"/>
          <w:lang w:eastAsia="bg-BG"/>
        </w:rPr>
      </w:pPr>
      <w:r w:rsidRPr="002D212A">
        <w:rPr>
          <w:rFonts w:eastAsia="Times New Roman" w:cs="Arial"/>
          <w:color w:val="000000"/>
          <w:lang w:eastAsia="bg-BG"/>
        </w:rPr>
        <w:t>Следващите нежелани реакции са били докладвани при използване на Джаз:</w:t>
      </w:r>
    </w:p>
    <w:p w14:paraId="343B6F1B" w14:textId="77777777" w:rsidR="002D212A" w:rsidRPr="002D212A" w:rsidRDefault="002D212A" w:rsidP="002D212A">
      <w:pPr>
        <w:spacing w:line="240" w:lineRule="auto"/>
        <w:rPr>
          <w:rFonts w:eastAsia="Times New Roman" w:cs="Arial"/>
          <w:color w:val="000000"/>
          <w:lang w:eastAsia="bg-BG"/>
        </w:rPr>
      </w:pPr>
    </w:p>
    <w:p w14:paraId="1C982F5F" w14:textId="566D2543" w:rsidR="002D212A" w:rsidRPr="002D212A" w:rsidRDefault="002D212A" w:rsidP="002D212A">
      <w:pPr>
        <w:spacing w:line="240" w:lineRule="auto"/>
        <w:rPr>
          <w:rFonts w:eastAsia="Times New Roman" w:cs="Arial"/>
          <w:lang w:eastAsia="bg-BG"/>
        </w:rPr>
      </w:pPr>
      <w:r w:rsidRPr="002D212A">
        <w:rPr>
          <w:rFonts w:eastAsia="Times New Roman" w:cs="Arial"/>
          <w:color w:val="000000"/>
          <w:lang w:eastAsia="bg-BG"/>
        </w:rPr>
        <w:t xml:space="preserve">В таблицата по-долу са представени нежелани реакции по </w:t>
      </w:r>
      <w:r w:rsidRPr="002D212A">
        <w:rPr>
          <w:rFonts w:eastAsia="Times New Roman" w:cs="Arial"/>
          <w:color w:val="000000"/>
          <w:lang w:val="en-US"/>
        </w:rPr>
        <w:t xml:space="preserve">MedDRA </w:t>
      </w:r>
      <w:r w:rsidRPr="002D212A">
        <w:rPr>
          <w:rFonts w:eastAsia="Times New Roman" w:cs="Arial"/>
          <w:color w:val="000000"/>
          <w:lang w:eastAsia="bg-BG"/>
        </w:rPr>
        <w:t xml:space="preserve">базата данни на системо-органни класове </w:t>
      </w:r>
      <w:r w:rsidRPr="002D212A">
        <w:rPr>
          <w:rFonts w:eastAsia="Times New Roman" w:cs="Arial"/>
          <w:color w:val="000000"/>
          <w:lang w:val="en-US"/>
        </w:rPr>
        <w:t xml:space="preserve">(MedDRA SOC). </w:t>
      </w:r>
      <w:r w:rsidRPr="002D212A">
        <w:rPr>
          <w:rFonts w:eastAsia="Times New Roman" w:cs="Arial"/>
          <w:color w:val="000000"/>
          <w:lang w:eastAsia="bg-BG"/>
        </w:rPr>
        <w:t xml:space="preserve">Честотата е основана на данните от клинични изпитвания. Използван е най- подходящият </w:t>
      </w:r>
      <w:r w:rsidRPr="002D212A">
        <w:rPr>
          <w:rFonts w:eastAsia="Times New Roman" w:cs="Arial"/>
          <w:color w:val="000000"/>
          <w:lang w:val="en-US"/>
        </w:rPr>
        <w:t xml:space="preserve">MedDRA </w:t>
      </w:r>
      <w:r w:rsidRPr="002D212A">
        <w:rPr>
          <w:rFonts w:eastAsia="Times New Roman" w:cs="Arial"/>
          <w:color w:val="000000"/>
          <w:lang w:eastAsia="bg-BG"/>
        </w:rPr>
        <w:t>термин за описание на определена реакция и нейните синоним</w:t>
      </w:r>
      <w:r w:rsidRPr="002D212A">
        <w:rPr>
          <w:rFonts w:eastAsia="Times New Roman" w:cs="Arial"/>
          <w:color w:val="000000"/>
          <w:u w:val="single"/>
          <w:lang w:eastAsia="bg-BG"/>
        </w:rPr>
        <w:t>и и свъ</w:t>
      </w:r>
      <w:r w:rsidRPr="002D212A">
        <w:rPr>
          <w:rFonts w:eastAsia="Times New Roman" w:cs="Arial"/>
          <w:color w:val="000000"/>
          <w:lang w:eastAsia="bg-BG"/>
        </w:rPr>
        <w:t xml:space="preserve">рзани </w:t>
      </w:r>
      <w:r w:rsidRPr="002D212A">
        <w:rPr>
          <w:rFonts w:eastAsia="Times New Roman" w:cs="Arial"/>
          <w:b/>
          <w:bCs/>
          <w:color w:val="000000"/>
          <w:lang w:eastAsia="bg-BG"/>
        </w:rPr>
        <w:t>СЪСТОЯНИЯ.</w:t>
      </w:r>
    </w:p>
    <w:p w14:paraId="24CA822A" w14:textId="77777777" w:rsidR="002D212A" w:rsidRPr="002D212A" w:rsidRDefault="002D212A" w:rsidP="002D212A">
      <w:pPr>
        <w:spacing w:line="240" w:lineRule="auto"/>
        <w:rPr>
          <w:rFonts w:eastAsia="Times New Roman" w:cs="Arial"/>
          <w:b/>
          <w:bCs/>
          <w:color w:val="000000"/>
          <w:lang w:eastAsia="bg-BG"/>
        </w:rPr>
      </w:pPr>
    </w:p>
    <w:p w14:paraId="4F967923" w14:textId="5A471392" w:rsidR="002D212A" w:rsidRPr="002D212A" w:rsidRDefault="002D212A" w:rsidP="002D212A">
      <w:pPr>
        <w:spacing w:line="240" w:lineRule="auto"/>
        <w:rPr>
          <w:rFonts w:eastAsia="Times New Roman" w:cs="Arial"/>
          <w:b/>
          <w:bCs/>
          <w:color w:val="000000"/>
          <w:lang w:val="en-US"/>
        </w:rPr>
      </w:pPr>
      <w:r w:rsidRPr="002D212A">
        <w:rPr>
          <w:rFonts w:eastAsia="Times New Roman" w:cs="Arial"/>
          <w:b/>
          <w:bCs/>
          <w:color w:val="000000"/>
          <w:lang w:eastAsia="bg-BG"/>
        </w:rPr>
        <w:lastRenderedPageBreak/>
        <w:t xml:space="preserve">Нежелани лекарствени реакции, свързани с използването на Джаз като перорален контрацептив или при лечение на умерено акне вулгарис в съответствие със системно-органната класификация на </w:t>
      </w:r>
      <w:r w:rsidRPr="002D212A">
        <w:rPr>
          <w:rFonts w:eastAsia="Times New Roman" w:cs="Arial"/>
          <w:b/>
          <w:bCs/>
          <w:color w:val="000000"/>
          <w:lang w:val="en-US"/>
        </w:rPr>
        <w:t xml:space="preserve">MedDRA </w:t>
      </w:r>
      <w:r w:rsidRPr="002D212A">
        <w:rPr>
          <w:rFonts w:eastAsia="Times New Roman" w:cs="Arial"/>
          <w:b/>
          <w:bCs/>
          <w:color w:val="000000"/>
          <w:lang w:eastAsia="bg-BG"/>
        </w:rPr>
        <w:t xml:space="preserve">и терминологията на </w:t>
      </w:r>
      <w:r w:rsidRPr="002D212A">
        <w:rPr>
          <w:rFonts w:eastAsia="Times New Roman" w:cs="Arial"/>
          <w:b/>
          <w:bCs/>
          <w:color w:val="000000"/>
          <w:lang w:val="en-US"/>
        </w:rPr>
        <w:t>MedDRA</w:t>
      </w:r>
    </w:p>
    <w:tbl>
      <w:tblPr>
        <w:tblStyle w:val="TableGrid"/>
        <w:tblW w:w="0" w:type="auto"/>
        <w:tblLook w:val="04A0" w:firstRow="1" w:lastRow="0" w:firstColumn="1" w:lastColumn="0" w:noHBand="0" w:noVBand="1"/>
      </w:tblPr>
      <w:tblGrid>
        <w:gridCol w:w="2167"/>
        <w:gridCol w:w="1613"/>
        <w:gridCol w:w="1848"/>
        <w:gridCol w:w="1920"/>
        <w:gridCol w:w="1802"/>
      </w:tblGrid>
      <w:tr w:rsidR="002D212A" w14:paraId="404801E5" w14:textId="77777777" w:rsidTr="002D212A">
        <w:tc>
          <w:tcPr>
            <w:tcW w:w="2183" w:type="dxa"/>
            <w:vAlign w:val="center"/>
          </w:tcPr>
          <w:p w14:paraId="71821CBB" w14:textId="3930A86B" w:rsidR="002D212A" w:rsidRPr="002D212A" w:rsidRDefault="002D212A" w:rsidP="002D212A">
            <w:pPr>
              <w:spacing w:line="240" w:lineRule="auto"/>
              <w:rPr>
                <w:rFonts w:eastAsia="Times New Roman" w:cs="Arial"/>
                <w:lang w:eastAsia="bg-BG"/>
              </w:rPr>
            </w:pPr>
            <w:r w:rsidRPr="002D212A">
              <w:rPr>
                <w:rFonts w:cs="Arial"/>
                <w:b/>
                <w:bCs/>
              </w:rPr>
              <w:t xml:space="preserve">Системо-органна класификация </w:t>
            </w:r>
            <w:r w:rsidRPr="002D212A">
              <w:rPr>
                <w:rFonts w:cs="Arial"/>
                <w:b/>
                <w:bCs/>
                <w:lang w:val="en-US"/>
              </w:rPr>
              <w:t xml:space="preserve">(MedDRA </w:t>
            </w:r>
            <w:r w:rsidRPr="002D212A">
              <w:rPr>
                <w:rFonts w:cs="Arial"/>
                <w:b/>
                <w:bCs/>
              </w:rPr>
              <w:t>версия 9.1)</w:t>
            </w:r>
          </w:p>
        </w:tc>
        <w:tc>
          <w:tcPr>
            <w:tcW w:w="1745" w:type="dxa"/>
            <w:vAlign w:val="center"/>
          </w:tcPr>
          <w:p w14:paraId="27951E48" w14:textId="1AB9F3A1" w:rsidR="002D212A" w:rsidRPr="002D212A" w:rsidRDefault="002D212A" w:rsidP="002D212A">
            <w:pPr>
              <w:spacing w:line="240" w:lineRule="auto"/>
              <w:rPr>
                <w:rFonts w:eastAsia="Times New Roman" w:cs="Arial"/>
                <w:lang w:eastAsia="bg-BG"/>
              </w:rPr>
            </w:pPr>
            <w:r w:rsidRPr="002D212A">
              <w:rPr>
                <w:rFonts w:cs="Arial"/>
                <w:b/>
                <w:bCs/>
              </w:rPr>
              <w:t>Чести (≥1/100 до &lt;1/10)</w:t>
            </w:r>
          </w:p>
        </w:tc>
        <w:tc>
          <w:tcPr>
            <w:tcW w:w="1862" w:type="dxa"/>
            <w:vAlign w:val="bottom"/>
          </w:tcPr>
          <w:p w14:paraId="1EB77CCF" w14:textId="6AC42A66" w:rsidR="002D212A" w:rsidRPr="002D212A" w:rsidRDefault="002D212A" w:rsidP="002D212A">
            <w:pPr>
              <w:spacing w:line="240" w:lineRule="auto"/>
              <w:rPr>
                <w:rFonts w:eastAsia="Times New Roman" w:cs="Arial"/>
                <w:lang w:eastAsia="bg-BG"/>
              </w:rPr>
            </w:pPr>
            <w:r w:rsidRPr="002D212A">
              <w:rPr>
                <w:rFonts w:cs="Arial"/>
                <w:b/>
                <w:bCs/>
              </w:rPr>
              <w:t>Нечести (≥1/1000 до &lt;1/100)</w:t>
            </w:r>
          </w:p>
        </w:tc>
        <w:tc>
          <w:tcPr>
            <w:tcW w:w="1934" w:type="dxa"/>
            <w:vAlign w:val="bottom"/>
          </w:tcPr>
          <w:p w14:paraId="003BE413" w14:textId="029B6CC4" w:rsidR="002D212A" w:rsidRPr="002D212A" w:rsidRDefault="002D212A" w:rsidP="002D212A">
            <w:pPr>
              <w:spacing w:line="240" w:lineRule="auto"/>
              <w:rPr>
                <w:rFonts w:eastAsia="Times New Roman" w:cs="Arial"/>
                <w:lang w:eastAsia="bg-BG"/>
              </w:rPr>
            </w:pPr>
            <w:r w:rsidRPr="002D212A">
              <w:rPr>
                <w:rFonts w:cs="Arial"/>
                <w:b/>
                <w:bCs/>
              </w:rPr>
              <w:t>Редки (≥1/10000 до &lt;1/1000)</w:t>
            </w:r>
          </w:p>
        </w:tc>
        <w:tc>
          <w:tcPr>
            <w:tcW w:w="1852" w:type="dxa"/>
            <w:vAlign w:val="bottom"/>
          </w:tcPr>
          <w:p w14:paraId="14A95C56" w14:textId="1FA84949" w:rsidR="002D212A" w:rsidRPr="002D212A" w:rsidRDefault="002D212A" w:rsidP="002D212A">
            <w:pPr>
              <w:spacing w:line="240" w:lineRule="auto"/>
              <w:rPr>
                <w:rFonts w:eastAsia="Times New Roman" w:cs="Arial"/>
                <w:lang w:eastAsia="bg-BG"/>
              </w:rPr>
            </w:pPr>
            <w:r w:rsidRPr="002D212A">
              <w:rPr>
                <w:rFonts w:cs="Arial"/>
                <w:b/>
                <w:bCs/>
              </w:rPr>
              <w:t>С неизвестна честота (от наличните данни не може да бъде направена оценка)</w:t>
            </w:r>
          </w:p>
        </w:tc>
      </w:tr>
      <w:tr w:rsidR="002D212A" w14:paraId="71055DAA" w14:textId="77777777" w:rsidTr="002D212A">
        <w:tc>
          <w:tcPr>
            <w:tcW w:w="2183" w:type="dxa"/>
            <w:vAlign w:val="bottom"/>
          </w:tcPr>
          <w:p w14:paraId="257D8E4F" w14:textId="16104433" w:rsidR="002D212A" w:rsidRPr="002D212A" w:rsidRDefault="002D212A" w:rsidP="002D212A">
            <w:pPr>
              <w:spacing w:line="240" w:lineRule="auto"/>
              <w:rPr>
                <w:rFonts w:eastAsia="Times New Roman" w:cs="Arial"/>
                <w:lang w:eastAsia="bg-BG"/>
              </w:rPr>
            </w:pPr>
            <w:r w:rsidRPr="002D212A">
              <w:rPr>
                <w:rFonts w:cs="Arial"/>
                <w:b/>
                <w:bCs/>
              </w:rPr>
              <w:t>Инфекции и инфестации</w:t>
            </w:r>
          </w:p>
        </w:tc>
        <w:tc>
          <w:tcPr>
            <w:tcW w:w="1745" w:type="dxa"/>
          </w:tcPr>
          <w:p w14:paraId="5CC929C4" w14:textId="77777777" w:rsidR="002D212A" w:rsidRPr="002D212A" w:rsidRDefault="002D212A" w:rsidP="002D212A">
            <w:pPr>
              <w:spacing w:line="240" w:lineRule="auto"/>
              <w:rPr>
                <w:rFonts w:eastAsia="Times New Roman" w:cs="Arial"/>
                <w:lang w:eastAsia="bg-BG"/>
              </w:rPr>
            </w:pPr>
          </w:p>
        </w:tc>
        <w:tc>
          <w:tcPr>
            <w:tcW w:w="1862" w:type="dxa"/>
          </w:tcPr>
          <w:p w14:paraId="2C541F78" w14:textId="77777777" w:rsidR="002D212A" w:rsidRPr="002D212A" w:rsidRDefault="002D212A" w:rsidP="002D212A">
            <w:pPr>
              <w:spacing w:line="240" w:lineRule="auto"/>
              <w:rPr>
                <w:rFonts w:eastAsia="Times New Roman" w:cs="Arial"/>
                <w:lang w:eastAsia="bg-BG"/>
              </w:rPr>
            </w:pPr>
          </w:p>
        </w:tc>
        <w:tc>
          <w:tcPr>
            <w:tcW w:w="1934" w:type="dxa"/>
          </w:tcPr>
          <w:p w14:paraId="3247FB36" w14:textId="0915185F" w:rsidR="002D212A" w:rsidRPr="002D212A" w:rsidRDefault="002D212A" w:rsidP="002D212A">
            <w:pPr>
              <w:spacing w:line="240" w:lineRule="auto"/>
              <w:rPr>
                <w:rFonts w:eastAsia="Times New Roman" w:cs="Arial"/>
                <w:lang w:eastAsia="bg-BG"/>
              </w:rPr>
            </w:pPr>
            <w:r w:rsidRPr="002D212A">
              <w:rPr>
                <w:rFonts w:cs="Arial"/>
              </w:rPr>
              <w:t>Кандидоза</w:t>
            </w:r>
          </w:p>
        </w:tc>
        <w:tc>
          <w:tcPr>
            <w:tcW w:w="1852" w:type="dxa"/>
          </w:tcPr>
          <w:p w14:paraId="0E7D1E70" w14:textId="77777777" w:rsidR="002D212A" w:rsidRPr="002D212A" w:rsidRDefault="002D212A" w:rsidP="002D212A">
            <w:pPr>
              <w:spacing w:line="240" w:lineRule="auto"/>
              <w:rPr>
                <w:rFonts w:eastAsia="Times New Roman" w:cs="Arial"/>
                <w:lang w:eastAsia="bg-BG"/>
              </w:rPr>
            </w:pPr>
          </w:p>
        </w:tc>
      </w:tr>
      <w:tr w:rsidR="002D212A" w14:paraId="449EB405" w14:textId="77777777" w:rsidTr="002D212A">
        <w:tc>
          <w:tcPr>
            <w:tcW w:w="2183" w:type="dxa"/>
            <w:vAlign w:val="bottom"/>
          </w:tcPr>
          <w:p w14:paraId="75E73EB0" w14:textId="09549EB3" w:rsidR="002D212A" w:rsidRPr="002D212A" w:rsidRDefault="002D212A" w:rsidP="002D212A">
            <w:pPr>
              <w:spacing w:line="240" w:lineRule="auto"/>
              <w:rPr>
                <w:rFonts w:eastAsia="Times New Roman" w:cs="Arial"/>
                <w:lang w:eastAsia="bg-BG"/>
              </w:rPr>
            </w:pPr>
            <w:r w:rsidRPr="002D212A">
              <w:rPr>
                <w:rFonts w:cs="Arial"/>
                <w:b/>
                <w:bCs/>
              </w:rPr>
              <w:t>Нарушения на кръвта и лимфната система</w:t>
            </w:r>
          </w:p>
        </w:tc>
        <w:tc>
          <w:tcPr>
            <w:tcW w:w="1745" w:type="dxa"/>
          </w:tcPr>
          <w:p w14:paraId="435CD090" w14:textId="77777777" w:rsidR="002D212A" w:rsidRPr="002D212A" w:rsidRDefault="002D212A" w:rsidP="002D212A">
            <w:pPr>
              <w:spacing w:line="240" w:lineRule="auto"/>
              <w:rPr>
                <w:rFonts w:eastAsia="Times New Roman" w:cs="Arial"/>
                <w:lang w:eastAsia="bg-BG"/>
              </w:rPr>
            </w:pPr>
          </w:p>
        </w:tc>
        <w:tc>
          <w:tcPr>
            <w:tcW w:w="1862" w:type="dxa"/>
          </w:tcPr>
          <w:p w14:paraId="5AB9EA12" w14:textId="77777777" w:rsidR="002D212A" w:rsidRPr="002D212A" w:rsidRDefault="002D212A" w:rsidP="002D212A">
            <w:pPr>
              <w:spacing w:line="240" w:lineRule="auto"/>
              <w:rPr>
                <w:rFonts w:eastAsia="Times New Roman" w:cs="Arial"/>
                <w:lang w:eastAsia="bg-BG"/>
              </w:rPr>
            </w:pPr>
          </w:p>
        </w:tc>
        <w:tc>
          <w:tcPr>
            <w:tcW w:w="1934" w:type="dxa"/>
          </w:tcPr>
          <w:p w14:paraId="0E58F69F" w14:textId="77777777" w:rsidR="002D212A" w:rsidRPr="002D212A" w:rsidRDefault="002D212A" w:rsidP="002D212A">
            <w:pPr>
              <w:rPr>
                <w:rFonts w:cs="Arial"/>
              </w:rPr>
            </w:pPr>
            <w:r w:rsidRPr="002D212A">
              <w:rPr>
                <w:rFonts w:cs="Arial"/>
              </w:rPr>
              <w:t>Анемия</w:t>
            </w:r>
          </w:p>
          <w:p w14:paraId="29559280" w14:textId="05F9F114" w:rsidR="002D212A" w:rsidRPr="002D212A" w:rsidRDefault="002D212A" w:rsidP="002D212A">
            <w:pPr>
              <w:spacing w:line="240" w:lineRule="auto"/>
              <w:rPr>
                <w:rFonts w:eastAsia="Times New Roman" w:cs="Arial"/>
                <w:lang w:eastAsia="bg-BG"/>
              </w:rPr>
            </w:pPr>
            <w:r w:rsidRPr="002D212A">
              <w:rPr>
                <w:rFonts w:cs="Arial"/>
              </w:rPr>
              <w:t>Тромбоцитемия</w:t>
            </w:r>
          </w:p>
        </w:tc>
        <w:tc>
          <w:tcPr>
            <w:tcW w:w="1852" w:type="dxa"/>
          </w:tcPr>
          <w:p w14:paraId="52E209CC" w14:textId="77777777" w:rsidR="002D212A" w:rsidRPr="002D212A" w:rsidRDefault="002D212A" w:rsidP="002D212A">
            <w:pPr>
              <w:spacing w:line="240" w:lineRule="auto"/>
              <w:rPr>
                <w:rFonts w:eastAsia="Times New Roman" w:cs="Arial"/>
                <w:lang w:eastAsia="bg-BG"/>
              </w:rPr>
            </w:pPr>
          </w:p>
        </w:tc>
      </w:tr>
      <w:tr w:rsidR="002D212A" w14:paraId="17A98663" w14:textId="77777777" w:rsidTr="002D212A">
        <w:tc>
          <w:tcPr>
            <w:tcW w:w="2183" w:type="dxa"/>
            <w:vAlign w:val="bottom"/>
          </w:tcPr>
          <w:p w14:paraId="176D06A6" w14:textId="60A25266" w:rsidR="002D212A" w:rsidRPr="002D212A" w:rsidRDefault="002D212A" w:rsidP="002D212A">
            <w:pPr>
              <w:spacing w:line="240" w:lineRule="auto"/>
              <w:rPr>
                <w:rFonts w:eastAsia="Times New Roman" w:cs="Arial"/>
                <w:lang w:eastAsia="bg-BG"/>
              </w:rPr>
            </w:pPr>
            <w:r w:rsidRPr="002D212A">
              <w:rPr>
                <w:rFonts w:cs="Arial"/>
                <w:b/>
                <w:bCs/>
              </w:rPr>
              <w:t>Нарушения на имунната система</w:t>
            </w:r>
          </w:p>
        </w:tc>
        <w:tc>
          <w:tcPr>
            <w:tcW w:w="1745" w:type="dxa"/>
          </w:tcPr>
          <w:p w14:paraId="4CA4D82F" w14:textId="77777777" w:rsidR="002D212A" w:rsidRPr="002D212A" w:rsidRDefault="002D212A" w:rsidP="002D212A">
            <w:pPr>
              <w:spacing w:line="240" w:lineRule="auto"/>
              <w:rPr>
                <w:rFonts w:eastAsia="Times New Roman" w:cs="Arial"/>
                <w:lang w:eastAsia="bg-BG"/>
              </w:rPr>
            </w:pPr>
          </w:p>
        </w:tc>
        <w:tc>
          <w:tcPr>
            <w:tcW w:w="1862" w:type="dxa"/>
          </w:tcPr>
          <w:p w14:paraId="6B0660A8" w14:textId="77777777" w:rsidR="002D212A" w:rsidRPr="002D212A" w:rsidRDefault="002D212A" w:rsidP="002D212A">
            <w:pPr>
              <w:spacing w:line="240" w:lineRule="auto"/>
              <w:rPr>
                <w:rFonts w:eastAsia="Times New Roman" w:cs="Arial"/>
                <w:lang w:eastAsia="bg-BG"/>
              </w:rPr>
            </w:pPr>
          </w:p>
        </w:tc>
        <w:tc>
          <w:tcPr>
            <w:tcW w:w="1934" w:type="dxa"/>
          </w:tcPr>
          <w:p w14:paraId="6EB70836" w14:textId="4E3FED7E" w:rsidR="002D212A" w:rsidRPr="002D212A" w:rsidRDefault="002D212A" w:rsidP="002D212A">
            <w:pPr>
              <w:spacing w:line="240" w:lineRule="auto"/>
              <w:rPr>
                <w:rFonts w:eastAsia="Times New Roman" w:cs="Arial"/>
                <w:lang w:eastAsia="bg-BG"/>
              </w:rPr>
            </w:pPr>
            <w:r w:rsidRPr="002D212A">
              <w:rPr>
                <w:rFonts w:cs="Arial"/>
              </w:rPr>
              <w:t>Алергична реакция</w:t>
            </w:r>
          </w:p>
        </w:tc>
        <w:tc>
          <w:tcPr>
            <w:tcW w:w="1852" w:type="dxa"/>
            <w:vAlign w:val="bottom"/>
          </w:tcPr>
          <w:p w14:paraId="7EC2F121" w14:textId="0586DDD5" w:rsidR="002D212A" w:rsidRPr="002D212A" w:rsidRDefault="002D212A" w:rsidP="002D212A">
            <w:pPr>
              <w:spacing w:line="240" w:lineRule="auto"/>
              <w:rPr>
                <w:rFonts w:eastAsia="Times New Roman" w:cs="Arial"/>
                <w:lang w:eastAsia="bg-BG"/>
              </w:rPr>
            </w:pPr>
            <w:r w:rsidRPr="002D212A">
              <w:rPr>
                <w:rFonts w:cs="Arial"/>
              </w:rPr>
              <w:t>Свръх- чувствителност</w:t>
            </w:r>
          </w:p>
        </w:tc>
      </w:tr>
      <w:tr w:rsidR="002D212A" w14:paraId="435B95C4" w14:textId="77777777" w:rsidTr="002D212A">
        <w:tc>
          <w:tcPr>
            <w:tcW w:w="2183" w:type="dxa"/>
            <w:vAlign w:val="bottom"/>
          </w:tcPr>
          <w:p w14:paraId="5D954021" w14:textId="21F8ECCD" w:rsidR="002D212A" w:rsidRPr="002D212A" w:rsidRDefault="002D212A" w:rsidP="002D212A">
            <w:pPr>
              <w:spacing w:line="240" w:lineRule="auto"/>
              <w:rPr>
                <w:rFonts w:eastAsia="Times New Roman" w:cs="Arial"/>
                <w:lang w:eastAsia="bg-BG"/>
              </w:rPr>
            </w:pPr>
            <w:r w:rsidRPr="002D212A">
              <w:rPr>
                <w:rFonts w:cs="Arial"/>
                <w:b/>
                <w:bCs/>
              </w:rPr>
              <w:t>Нарушения на ендокринната система</w:t>
            </w:r>
          </w:p>
        </w:tc>
        <w:tc>
          <w:tcPr>
            <w:tcW w:w="1745" w:type="dxa"/>
          </w:tcPr>
          <w:p w14:paraId="41CA2CB9" w14:textId="77777777" w:rsidR="002D212A" w:rsidRPr="002D212A" w:rsidRDefault="002D212A" w:rsidP="002D212A">
            <w:pPr>
              <w:spacing w:line="240" w:lineRule="auto"/>
              <w:rPr>
                <w:rFonts w:eastAsia="Times New Roman" w:cs="Arial"/>
                <w:lang w:eastAsia="bg-BG"/>
              </w:rPr>
            </w:pPr>
          </w:p>
        </w:tc>
        <w:tc>
          <w:tcPr>
            <w:tcW w:w="1862" w:type="dxa"/>
          </w:tcPr>
          <w:p w14:paraId="04227CEB" w14:textId="77777777" w:rsidR="002D212A" w:rsidRPr="002D212A" w:rsidRDefault="002D212A" w:rsidP="002D212A">
            <w:pPr>
              <w:spacing w:line="240" w:lineRule="auto"/>
              <w:rPr>
                <w:rFonts w:eastAsia="Times New Roman" w:cs="Arial"/>
                <w:lang w:eastAsia="bg-BG"/>
              </w:rPr>
            </w:pPr>
          </w:p>
        </w:tc>
        <w:tc>
          <w:tcPr>
            <w:tcW w:w="1934" w:type="dxa"/>
          </w:tcPr>
          <w:p w14:paraId="3A1EF054" w14:textId="65A145B1" w:rsidR="002D212A" w:rsidRPr="002D212A" w:rsidRDefault="002D212A" w:rsidP="002D212A">
            <w:pPr>
              <w:spacing w:line="240" w:lineRule="auto"/>
              <w:rPr>
                <w:rFonts w:eastAsia="Times New Roman" w:cs="Arial"/>
                <w:lang w:eastAsia="bg-BG"/>
              </w:rPr>
            </w:pPr>
            <w:r w:rsidRPr="002D212A">
              <w:rPr>
                <w:rFonts w:cs="Arial"/>
              </w:rPr>
              <w:t>Ендокринни нарушения</w:t>
            </w:r>
          </w:p>
        </w:tc>
        <w:tc>
          <w:tcPr>
            <w:tcW w:w="1852" w:type="dxa"/>
          </w:tcPr>
          <w:p w14:paraId="4FF69FC1" w14:textId="77777777" w:rsidR="002D212A" w:rsidRPr="002D212A" w:rsidRDefault="002D212A" w:rsidP="002D212A">
            <w:pPr>
              <w:spacing w:line="240" w:lineRule="auto"/>
              <w:rPr>
                <w:rFonts w:eastAsia="Times New Roman" w:cs="Arial"/>
                <w:lang w:eastAsia="bg-BG"/>
              </w:rPr>
            </w:pPr>
          </w:p>
        </w:tc>
      </w:tr>
      <w:tr w:rsidR="002D212A" w14:paraId="6CAA027C" w14:textId="77777777" w:rsidTr="002D212A">
        <w:tc>
          <w:tcPr>
            <w:tcW w:w="2183" w:type="dxa"/>
          </w:tcPr>
          <w:p w14:paraId="76FB939B" w14:textId="77777777" w:rsidR="002D212A" w:rsidRPr="002D212A" w:rsidRDefault="002D212A" w:rsidP="002D212A">
            <w:pPr>
              <w:rPr>
                <w:rFonts w:cs="Arial"/>
              </w:rPr>
            </w:pPr>
            <w:r w:rsidRPr="002D212A">
              <w:rPr>
                <w:rFonts w:cs="Arial"/>
                <w:b/>
                <w:bCs/>
              </w:rPr>
              <w:t>Нарушения на метаболизма и</w:t>
            </w:r>
          </w:p>
          <w:p w14:paraId="2B8D5433" w14:textId="2C5A8843" w:rsidR="002D212A" w:rsidRPr="002D212A" w:rsidRDefault="002D212A" w:rsidP="002D212A">
            <w:pPr>
              <w:spacing w:line="240" w:lineRule="auto"/>
              <w:rPr>
                <w:rFonts w:eastAsia="Times New Roman" w:cs="Arial"/>
                <w:lang w:eastAsia="bg-BG"/>
              </w:rPr>
            </w:pPr>
            <w:r w:rsidRPr="002D212A">
              <w:rPr>
                <w:rFonts w:cs="Arial"/>
                <w:b/>
                <w:bCs/>
              </w:rPr>
              <w:t>храненето</w:t>
            </w:r>
          </w:p>
        </w:tc>
        <w:tc>
          <w:tcPr>
            <w:tcW w:w="1745" w:type="dxa"/>
          </w:tcPr>
          <w:p w14:paraId="67E3F3C1" w14:textId="77777777" w:rsidR="002D212A" w:rsidRPr="002D212A" w:rsidRDefault="002D212A" w:rsidP="002D212A">
            <w:pPr>
              <w:spacing w:line="240" w:lineRule="auto"/>
              <w:rPr>
                <w:rFonts w:eastAsia="Times New Roman" w:cs="Arial"/>
                <w:lang w:eastAsia="bg-BG"/>
              </w:rPr>
            </w:pPr>
          </w:p>
        </w:tc>
        <w:tc>
          <w:tcPr>
            <w:tcW w:w="1862" w:type="dxa"/>
          </w:tcPr>
          <w:p w14:paraId="2F0B1B0A" w14:textId="77777777" w:rsidR="002D212A" w:rsidRPr="002D212A" w:rsidRDefault="002D212A" w:rsidP="002D212A">
            <w:pPr>
              <w:spacing w:line="240" w:lineRule="auto"/>
              <w:rPr>
                <w:rFonts w:eastAsia="Times New Roman" w:cs="Arial"/>
                <w:lang w:eastAsia="bg-BG"/>
              </w:rPr>
            </w:pPr>
          </w:p>
        </w:tc>
        <w:tc>
          <w:tcPr>
            <w:tcW w:w="1934" w:type="dxa"/>
            <w:vAlign w:val="bottom"/>
          </w:tcPr>
          <w:p w14:paraId="58192600" w14:textId="282A3BFF" w:rsidR="002D212A" w:rsidRPr="002D212A" w:rsidRDefault="002D212A" w:rsidP="002D212A">
            <w:pPr>
              <w:spacing w:line="240" w:lineRule="auto"/>
              <w:rPr>
                <w:rFonts w:eastAsia="Times New Roman" w:cs="Arial"/>
                <w:lang w:eastAsia="bg-BG"/>
              </w:rPr>
            </w:pPr>
            <w:r w:rsidRPr="002D212A">
              <w:rPr>
                <w:rFonts w:cs="Arial"/>
              </w:rPr>
              <w:t>Повишен апетит Анорексия Хиперкалиемия Хипонатриемия</w:t>
            </w:r>
          </w:p>
        </w:tc>
        <w:tc>
          <w:tcPr>
            <w:tcW w:w="1852" w:type="dxa"/>
          </w:tcPr>
          <w:p w14:paraId="57D39FE5" w14:textId="77777777" w:rsidR="002D212A" w:rsidRPr="002D212A" w:rsidRDefault="002D212A" w:rsidP="002D212A">
            <w:pPr>
              <w:spacing w:line="240" w:lineRule="auto"/>
              <w:rPr>
                <w:rFonts w:eastAsia="Times New Roman" w:cs="Arial"/>
                <w:lang w:eastAsia="bg-BG"/>
              </w:rPr>
            </w:pPr>
          </w:p>
        </w:tc>
      </w:tr>
      <w:tr w:rsidR="002D212A" w14:paraId="08485C59" w14:textId="77777777" w:rsidTr="002D212A">
        <w:tc>
          <w:tcPr>
            <w:tcW w:w="2183" w:type="dxa"/>
          </w:tcPr>
          <w:p w14:paraId="512E3745" w14:textId="774C6E50" w:rsidR="002D212A" w:rsidRPr="002D212A" w:rsidRDefault="002D212A" w:rsidP="002D212A">
            <w:pPr>
              <w:spacing w:line="240" w:lineRule="auto"/>
              <w:rPr>
                <w:rFonts w:eastAsia="Times New Roman" w:cs="Arial"/>
                <w:lang w:eastAsia="bg-BG"/>
              </w:rPr>
            </w:pPr>
            <w:r w:rsidRPr="002D212A">
              <w:rPr>
                <w:rFonts w:cs="Arial"/>
                <w:b/>
                <w:bCs/>
              </w:rPr>
              <w:t>Психични нарушения</w:t>
            </w:r>
          </w:p>
        </w:tc>
        <w:tc>
          <w:tcPr>
            <w:tcW w:w="1745" w:type="dxa"/>
          </w:tcPr>
          <w:p w14:paraId="750B4561" w14:textId="4A30FA9C" w:rsidR="002D212A" w:rsidRPr="002D212A" w:rsidRDefault="002D212A" w:rsidP="002D212A">
            <w:pPr>
              <w:spacing w:line="240" w:lineRule="auto"/>
              <w:rPr>
                <w:rFonts w:eastAsia="Times New Roman" w:cs="Arial"/>
                <w:lang w:eastAsia="bg-BG"/>
              </w:rPr>
            </w:pPr>
            <w:r w:rsidRPr="002D212A">
              <w:rPr>
                <w:rFonts w:cs="Arial"/>
              </w:rPr>
              <w:t>Емоционална лабилност</w:t>
            </w:r>
          </w:p>
        </w:tc>
        <w:tc>
          <w:tcPr>
            <w:tcW w:w="1862" w:type="dxa"/>
            <w:vAlign w:val="bottom"/>
          </w:tcPr>
          <w:p w14:paraId="4C7188FB" w14:textId="540AFCC6" w:rsidR="002D212A" w:rsidRPr="002D212A" w:rsidRDefault="002D212A" w:rsidP="002D212A">
            <w:pPr>
              <w:spacing w:line="240" w:lineRule="auto"/>
              <w:rPr>
                <w:rFonts w:eastAsia="Times New Roman" w:cs="Arial"/>
                <w:lang w:eastAsia="bg-BG"/>
              </w:rPr>
            </w:pPr>
            <w:r w:rsidRPr="002D212A">
              <w:rPr>
                <w:rFonts w:cs="Arial"/>
              </w:rPr>
              <w:t>Депресия Нервност Сънливост</w:t>
            </w:r>
          </w:p>
        </w:tc>
        <w:tc>
          <w:tcPr>
            <w:tcW w:w="1934" w:type="dxa"/>
          </w:tcPr>
          <w:p w14:paraId="3AA0F102" w14:textId="44902A6C" w:rsidR="002D212A" w:rsidRPr="002D212A" w:rsidRDefault="002D212A" w:rsidP="002D212A">
            <w:pPr>
              <w:spacing w:line="240" w:lineRule="auto"/>
              <w:rPr>
                <w:rFonts w:eastAsia="Times New Roman" w:cs="Arial"/>
                <w:lang w:eastAsia="bg-BG"/>
              </w:rPr>
            </w:pPr>
            <w:r w:rsidRPr="002D212A">
              <w:rPr>
                <w:rFonts w:cs="Arial"/>
              </w:rPr>
              <w:t>Аноргазмия Безсъние</w:t>
            </w:r>
          </w:p>
        </w:tc>
        <w:tc>
          <w:tcPr>
            <w:tcW w:w="1852" w:type="dxa"/>
          </w:tcPr>
          <w:p w14:paraId="4B4A9BD0" w14:textId="77777777" w:rsidR="002D212A" w:rsidRPr="002D212A" w:rsidRDefault="002D212A" w:rsidP="002D212A">
            <w:pPr>
              <w:spacing w:line="240" w:lineRule="auto"/>
              <w:rPr>
                <w:rFonts w:eastAsia="Times New Roman" w:cs="Arial"/>
                <w:lang w:eastAsia="bg-BG"/>
              </w:rPr>
            </w:pPr>
          </w:p>
        </w:tc>
      </w:tr>
      <w:tr w:rsidR="002D212A" w14:paraId="239186AE" w14:textId="77777777" w:rsidTr="002D212A">
        <w:tc>
          <w:tcPr>
            <w:tcW w:w="2183" w:type="dxa"/>
            <w:vAlign w:val="bottom"/>
          </w:tcPr>
          <w:p w14:paraId="5B0B7761" w14:textId="69B839B0" w:rsidR="002D212A" w:rsidRPr="002D212A" w:rsidRDefault="002D212A" w:rsidP="002D212A">
            <w:pPr>
              <w:spacing w:line="240" w:lineRule="auto"/>
              <w:rPr>
                <w:rFonts w:eastAsia="Times New Roman" w:cs="Arial"/>
                <w:lang w:eastAsia="bg-BG"/>
              </w:rPr>
            </w:pPr>
            <w:r w:rsidRPr="002D212A">
              <w:rPr>
                <w:rFonts w:cs="Arial"/>
                <w:b/>
                <w:bCs/>
              </w:rPr>
              <w:t>Нарушения на нервната система</w:t>
            </w:r>
          </w:p>
        </w:tc>
        <w:tc>
          <w:tcPr>
            <w:tcW w:w="1745" w:type="dxa"/>
          </w:tcPr>
          <w:p w14:paraId="61EFB527" w14:textId="5B8A0794" w:rsidR="002D212A" w:rsidRPr="002D212A" w:rsidRDefault="002D212A" w:rsidP="002D212A">
            <w:pPr>
              <w:spacing w:line="240" w:lineRule="auto"/>
              <w:rPr>
                <w:rFonts w:eastAsia="Times New Roman" w:cs="Arial"/>
                <w:lang w:eastAsia="bg-BG"/>
              </w:rPr>
            </w:pPr>
            <w:r w:rsidRPr="002D212A">
              <w:rPr>
                <w:rFonts w:cs="Arial"/>
              </w:rPr>
              <w:t>Главоболие</w:t>
            </w:r>
          </w:p>
        </w:tc>
        <w:tc>
          <w:tcPr>
            <w:tcW w:w="1862" w:type="dxa"/>
            <w:vAlign w:val="bottom"/>
          </w:tcPr>
          <w:p w14:paraId="44058F1B" w14:textId="59518F28" w:rsidR="002D212A" w:rsidRPr="002D212A" w:rsidRDefault="002D212A" w:rsidP="002D212A">
            <w:pPr>
              <w:spacing w:line="240" w:lineRule="auto"/>
              <w:rPr>
                <w:rFonts w:eastAsia="Times New Roman" w:cs="Arial"/>
                <w:lang w:eastAsia="bg-BG"/>
              </w:rPr>
            </w:pPr>
            <w:r w:rsidRPr="002D212A">
              <w:rPr>
                <w:rFonts w:cs="Arial"/>
              </w:rPr>
              <w:t>Замайване Перестезия</w:t>
            </w:r>
          </w:p>
        </w:tc>
        <w:tc>
          <w:tcPr>
            <w:tcW w:w="1934" w:type="dxa"/>
            <w:vAlign w:val="bottom"/>
          </w:tcPr>
          <w:p w14:paraId="244FD4E7" w14:textId="28EDDBEE" w:rsidR="002D212A" w:rsidRPr="002D212A" w:rsidRDefault="002D212A" w:rsidP="002D212A">
            <w:pPr>
              <w:spacing w:line="240" w:lineRule="auto"/>
              <w:rPr>
                <w:rFonts w:eastAsia="Times New Roman" w:cs="Arial"/>
                <w:lang w:eastAsia="bg-BG"/>
              </w:rPr>
            </w:pPr>
            <w:r w:rsidRPr="002D212A">
              <w:rPr>
                <w:rFonts w:cs="Arial"/>
              </w:rPr>
              <w:t>Световъртеж Тремор</w:t>
            </w:r>
          </w:p>
        </w:tc>
        <w:tc>
          <w:tcPr>
            <w:tcW w:w="1852" w:type="dxa"/>
          </w:tcPr>
          <w:p w14:paraId="25A77072" w14:textId="77777777" w:rsidR="002D212A" w:rsidRPr="002D212A" w:rsidRDefault="002D212A" w:rsidP="002D212A">
            <w:pPr>
              <w:spacing w:line="240" w:lineRule="auto"/>
              <w:rPr>
                <w:rFonts w:eastAsia="Times New Roman" w:cs="Arial"/>
                <w:lang w:eastAsia="bg-BG"/>
              </w:rPr>
            </w:pPr>
          </w:p>
        </w:tc>
      </w:tr>
      <w:tr w:rsidR="002D212A" w14:paraId="4C9F32EE" w14:textId="77777777" w:rsidTr="002D212A">
        <w:tc>
          <w:tcPr>
            <w:tcW w:w="2183" w:type="dxa"/>
          </w:tcPr>
          <w:p w14:paraId="20E87CB5" w14:textId="481B109A" w:rsidR="002D212A" w:rsidRPr="002D212A" w:rsidRDefault="002D212A" w:rsidP="002D212A">
            <w:pPr>
              <w:spacing w:line="240" w:lineRule="auto"/>
              <w:rPr>
                <w:rFonts w:eastAsia="Times New Roman" w:cs="Arial"/>
                <w:lang w:eastAsia="bg-BG"/>
              </w:rPr>
            </w:pPr>
            <w:r w:rsidRPr="002D212A">
              <w:rPr>
                <w:rFonts w:cs="Arial"/>
                <w:b/>
                <w:bCs/>
              </w:rPr>
              <w:t>Нарушения на очите</w:t>
            </w:r>
          </w:p>
        </w:tc>
        <w:tc>
          <w:tcPr>
            <w:tcW w:w="1745" w:type="dxa"/>
          </w:tcPr>
          <w:p w14:paraId="1204E7C6" w14:textId="77777777" w:rsidR="002D212A" w:rsidRPr="002D212A" w:rsidRDefault="002D212A" w:rsidP="002D212A">
            <w:pPr>
              <w:spacing w:line="240" w:lineRule="auto"/>
              <w:rPr>
                <w:rFonts w:eastAsia="Times New Roman" w:cs="Arial"/>
                <w:lang w:eastAsia="bg-BG"/>
              </w:rPr>
            </w:pPr>
          </w:p>
        </w:tc>
        <w:tc>
          <w:tcPr>
            <w:tcW w:w="1862" w:type="dxa"/>
          </w:tcPr>
          <w:p w14:paraId="613C5D5C" w14:textId="77777777" w:rsidR="002D212A" w:rsidRPr="002D212A" w:rsidRDefault="002D212A" w:rsidP="002D212A">
            <w:pPr>
              <w:spacing w:line="240" w:lineRule="auto"/>
              <w:rPr>
                <w:rFonts w:eastAsia="Times New Roman" w:cs="Arial"/>
                <w:lang w:eastAsia="bg-BG"/>
              </w:rPr>
            </w:pPr>
          </w:p>
        </w:tc>
        <w:tc>
          <w:tcPr>
            <w:tcW w:w="1934" w:type="dxa"/>
            <w:vAlign w:val="bottom"/>
          </w:tcPr>
          <w:p w14:paraId="5158C74D" w14:textId="77777777" w:rsidR="002D212A" w:rsidRPr="002D212A" w:rsidRDefault="002D212A" w:rsidP="002D212A">
            <w:pPr>
              <w:rPr>
                <w:rFonts w:cs="Arial"/>
              </w:rPr>
            </w:pPr>
            <w:r w:rsidRPr="002D212A">
              <w:rPr>
                <w:rFonts w:cs="Arial"/>
              </w:rPr>
              <w:t>Конюнктивит</w:t>
            </w:r>
          </w:p>
          <w:p w14:paraId="55E2A944" w14:textId="77777777" w:rsidR="002D212A" w:rsidRPr="002D212A" w:rsidRDefault="002D212A" w:rsidP="002D212A">
            <w:pPr>
              <w:rPr>
                <w:rFonts w:cs="Arial"/>
              </w:rPr>
            </w:pPr>
            <w:r w:rsidRPr="002D212A">
              <w:rPr>
                <w:rFonts w:cs="Arial"/>
              </w:rPr>
              <w:t>Сухо око</w:t>
            </w:r>
          </w:p>
          <w:p w14:paraId="63D688BB" w14:textId="73847CCD" w:rsidR="002D212A" w:rsidRPr="002D212A" w:rsidRDefault="002D212A" w:rsidP="002D212A">
            <w:pPr>
              <w:spacing w:line="240" w:lineRule="auto"/>
              <w:rPr>
                <w:rFonts w:eastAsia="Times New Roman" w:cs="Arial"/>
                <w:lang w:eastAsia="bg-BG"/>
              </w:rPr>
            </w:pPr>
            <w:r w:rsidRPr="002D212A">
              <w:rPr>
                <w:rFonts w:cs="Arial"/>
              </w:rPr>
              <w:t>Очни нарушения</w:t>
            </w:r>
          </w:p>
        </w:tc>
        <w:tc>
          <w:tcPr>
            <w:tcW w:w="1852" w:type="dxa"/>
          </w:tcPr>
          <w:p w14:paraId="384866DE" w14:textId="77777777" w:rsidR="002D212A" w:rsidRPr="002D212A" w:rsidRDefault="002D212A" w:rsidP="002D212A">
            <w:pPr>
              <w:spacing w:line="240" w:lineRule="auto"/>
              <w:rPr>
                <w:rFonts w:eastAsia="Times New Roman" w:cs="Arial"/>
                <w:lang w:eastAsia="bg-BG"/>
              </w:rPr>
            </w:pPr>
          </w:p>
        </w:tc>
      </w:tr>
      <w:tr w:rsidR="002D212A" w14:paraId="0D6D7DBD" w14:textId="77777777" w:rsidTr="002D212A">
        <w:tc>
          <w:tcPr>
            <w:tcW w:w="2183" w:type="dxa"/>
            <w:vAlign w:val="bottom"/>
          </w:tcPr>
          <w:p w14:paraId="1271BDF7" w14:textId="3CB4C247" w:rsidR="002D212A" w:rsidRPr="002D212A" w:rsidRDefault="002D212A" w:rsidP="002D212A">
            <w:pPr>
              <w:spacing w:line="240" w:lineRule="auto"/>
              <w:rPr>
                <w:rFonts w:eastAsia="Times New Roman" w:cs="Arial"/>
                <w:lang w:eastAsia="bg-BG"/>
              </w:rPr>
            </w:pPr>
            <w:r w:rsidRPr="002D212A">
              <w:rPr>
                <w:rFonts w:cs="Arial"/>
                <w:b/>
                <w:bCs/>
              </w:rPr>
              <w:t>Сърдечни нарушения</w:t>
            </w:r>
          </w:p>
        </w:tc>
        <w:tc>
          <w:tcPr>
            <w:tcW w:w="1745" w:type="dxa"/>
          </w:tcPr>
          <w:p w14:paraId="3091569E" w14:textId="77777777" w:rsidR="002D212A" w:rsidRPr="002D212A" w:rsidRDefault="002D212A" w:rsidP="002D212A">
            <w:pPr>
              <w:spacing w:line="240" w:lineRule="auto"/>
              <w:rPr>
                <w:rFonts w:eastAsia="Times New Roman" w:cs="Arial"/>
                <w:lang w:eastAsia="bg-BG"/>
              </w:rPr>
            </w:pPr>
          </w:p>
        </w:tc>
        <w:tc>
          <w:tcPr>
            <w:tcW w:w="1862" w:type="dxa"/>
          </w:tcPr>
          <w:p w14:paraId="52B4B37B" w14:textId="77777777" w:rsidR="002D212A" w:rsidRPr="002D212A" w:rsidRDefault="002D212A" w:rsidP="002D212A">
            <w:pPr>
              <w:spacing w:line="240" w:lineRule="auto"/>
              <w:rPr>
                <w:rFonts w:eastAsia="Times New Roman" w:cs="Arial"/>
                <w:lang w:eastAsia="bg-BG"/>
              </w:rPr>
            </w:pPr>
          </w:p>
        </w:tc>
        <w:tc>
          <w:tcPr>
            <w:tcW w:w="1934" w:type="dxa"/>
          </w:tcPr>
          <w:p w14:paraId="7956457B" w14:textId="7D8DF6BB" w:rsidR="002D212A" w:rsidRPr="002D212A" w:rsidRDefault="002D212A" w:rsidP="002D212A">
            <w:pPr>
              <w:spacing w:line="240" w:lineRule="auto"/>
              <w:rPr>
                <w:rFonts w:eastAsia="Times New Roman" w:cs="Arial"/>
                <w:lang w:eastAsia="bg-BG"/>
              </w:rPr>
            </w:pPr>
            <w:r w:rsidRPr="002D212A">
              <w:rPr>
                <w:rFonts w:cs="Arial"/>
              </w:rPr>
              <w:t>Тахикардия</w:t>
            </w:r>
          </w:p>
        </w:tc>
        <w:tc>
          <w:tcPr>
            <w:tcW w:w="1852" w:type="dxa"/>
          </w:tcPr>
          <w:p w14:paraId="7DB46AAE" w14:textId="77777777" w:rsidR="002D212A" w:rsidRPr="002D212A" w:rsidRDefault="002D212A" w:rsidP="002D212A">
            <w:pPr>
              <w:spacing w:line="240" w:lineRule="auto"/>
              <w:rPr>
                <w:rFonts w:eastAsia="Times New Roman" w:cs="Arial"/>
                <w:lang w:eastAsia="bg-BG"/>
              </w:rPr>
            </w:pPr>
          </w:p>
        </w:tc>
      </w:tr>
      <w:tr w:rsidR="002D212A" w14:paraId="77C7D1B1" w14:textId="77777777" w:rsidTr="002D212A">
        <w:tc>
          <w:tcPr>
            <w:tcW w:w="2183" w:type="dxa"/>
          </w:tcPr>
          <w:p w14:paraId="3C7D7E1F" w14:textId="6401A961" w:rsidR="002D212A" w:rsidRDefault="002D212A" w:rsidP="002D212A">
            <w:pPr>
              <w:spacing w:line="240" w:lineRule="auto"/>
              <w:rPr>
                <w:rFonts w:ascii="Times New Roman" w:eastAsia="Times New Roman" w:hAnsi="Times New Roman" w:cs="Times New Roman"/>
                <w:sz w:val="24"/>
                <w:szCs w:val="24"/>
                <w:lang w:eastAsia="bg-BG"/>
              </w:rPr>
            </w:pPr>
            <w:r>
              <w:rPr>
                <w:b/>
                <w:bCs/>
              </w:rPr>
              <w:t>Съдови нарушения</w:t>
            </w:r>
          </w:p>
        </w:tc>
        <w:tc>
          <w:tcPr>
            <w:tcW w:w="1745" w:type="dxa"/>
          </w:tcPr>
          <w:p w14:paraId="355C4986" w14:textId="77777777" w:rsidR="002D212A" w:rsidRDefault="002D212A" w:rsidP="002D212A">
            <w:pPr>
              <w:spacing w:line="240" w:lineRule="auto"/>
              <w:rPr>
                <w:rFonts w:ascii="Times New Roman" w:eastAsia="Times New Roman" w:hAnsi="Times New Roman" w:cs="Times New Roman"/>
                <w:sz w:val="24"/>
                <w:szCs w:val="24"/>
                <w:lang w:eastAsia="bg-BG"/>
              </w:rPr>
            </w:pPr>
          </w:p>
        </w:tc>
        <w:tc>
          <w:tcPr>
            <w:tcW w:w="1862" w:type="dxa"/>
          </w:tcPr>
          <w:p w14:paraId="2ECBE5FA" w14:textId="77777777" w:rsidR="002D212A" w:rsidRDefault="002D212A" w:rsidP="002D212A">
            <w:r>
              <w:t>Мигрена</w:t>
            </w:r>
          </w:p>
          <w:p w14:paraId="307D607D" w14:textId="5F426556" w:rsidR="002D212A" w:rsidRDefault="002D212A" w:rsidP="002D212A">
            <w:pPr>
              <w:spacing w:line="240" w:lineRule="auto"/>
              <w:rPr>
                <w:rFonts w:ascii="Times New Roman" w:eastAsia="Times New Roman" w:hAnsi="Times New Roman" w:cs="Times New Roman"/>
                <w:sz w:val="24"/>
                <w:szCs w:val="24"/>
                <w:lang w:eastAsia="bg-BG"/>
              </w:rPr>
            </w:pPr>
            <w:r>
              <w:t>Варикозни вени Хипертония</w:t>
            </w:r>
          </w:p>
        </w:tc>
        <w:tc>
          <w:tcPr>
            <w:tcW w:w="1934" w:type="dxa"/>
            <w:vAlign w:val="bottom"/>
          </w:tcPr>
          <w:p w14:paraId="113672F4" w14:textId="77777777" w:rsidR="002D212A" w:rsidRDefault="002D212A" w:rsidP="002D212A">
            <w:r>
              <w:t>Флебит</w:t>
            </w:r>
          </w:p>
          <w:p w14:paraId="54EB67D6" w14:textId="70E4C4E4" w:rsidR="002D212A" w:rsidRDefault="002D212A" w:rsidP="002D212A">
            <w:pPr>
              <w:spacing w:line="240" w:lineRule="auto"/>
              <w:rPr>
                <w:rFonts w:ascii="Times New Roman" w:eastAsia="Times New Roman" w:hAnsi="Times New Roman" w:cs="Times New Roman"/>
                <w:sz w:val="24"/>
                <w:szCs w:val="24"/>
                <w:lang w:eastAsia="bg-BG"/>
              </w:rPr>
            </w:pPr>
            <w:r>
              <w:t>Съдово нарушение Епистаксис Синкоп Венозна тромбоемболия (ВТЕ) Артериална тромбоемболия (АТЕ)</w:t>
            </w:r>
          </w:p>
        </w:tc>
        <w:tc>
          <w:tcPr>
            <w:tcW w:w="1852" w:type="dxa"/>
          </w:tcPr>
          <w:p w14:paraId="65FB6112" w14:textId="77777777" w:rsidR="002D212A" w:rsidRDefault="002D212A" w:rsidP="002D212A">
            <w:pPr>
              <w:spacing w:line="240" w:lineRule="auto"/>
              <w:rPr>
                <w:rFonts w:ascii="Times New Roman" w:eastAsia="Times New Roman" w:hAnsi="Times New Roman" w:cs="Times New Roman"/>
                <w:sz w:val="24"/>
                <w:szCs w:val="24"/>
                <w:lang w:eastAsia="bg-BG"/>
              </w:rPr>
            </w:pPr>
          </w:p>
        </w:tc>
      </w:tr>
      <w:tr w:rsidR="002D212A" w14:paraId="01F9AB3C" w14:textId="77777777" w:rsidTr="002D212A">
        <w:tc>
          <w:tcPr>
            <w:tcW w:w="2183" w:type="dxa"/>
          </w:tcPr>
          <w:p w14:paraId="47C4718E" w14:textId="13625F42" w:rsidR="002D212A" w:rsidRDefault="002D212A" w:rsidP="002D212A">
            <w:pPr>
              <w:spacing w:line="240" w:lineRule="auto"/>
              <w:rPr>
                <w:rFonts w:ascii="Times New Roman" w:eastAsia="Times New Roman" w:hAnsi="Times New Roman" w:cs="Times New Roman"/>
                <w:sz w:val="24"/>
                <w:szCs w:val="24"/>
                <w:lang w:eastAsia="bg-BG"/>
              </w:rPr>
            </w:pPr>
            <w:r>
              <w:rPr>
                <w:b/>
                <w:bCs/>
              </w:rPr>
              <w:t>Стомашно- чревни нарушения</w:t>
            </w:r>
          </w:p>
        </w:tc>
        <w:tc>
          <w:tcPr>
            <w:tcW w:w="1745" w:type="dxa"/>
          </w:tcPr>
          <w:p w14:paraId="564530F9" w14:textId="3FED2757" w:rsidR="002D212A" w:rsidRDefault="002D212A" w:rsidP="002D212A">
            <w:pPr>
              <w:spacing w:line="240" w:lineRule="auto"/>
              <w:rPr>
                <w:rFonts w:ascii="Times New Roman" w:eastAsia="Times New Roman" w:hAnsi="Times New Roman" w:cs="Times New Roman"/>
                <w:sz w:val="24"/>
                <w:szCs w:val="24"/>
                <w:lang w:eastAsia="bg-BG"/>
              </w:rPr>
            </w:pPr>
            <w:r>
              <w:t>Гадене</w:t>
            </w:r>
          </w:p>
        </w:tc>
        <w:tc>
          <w:tcPr>
            <w:tcW w:w="1862" w:type="dxa"/>
          </w:tcPr>
          <w:p w14:paraId="377498E0" w14:textId="080B0F92" w:rsidR="002D212A" w:rsidRDefault="002D212A" w:rsidP="002D212A">
            <w:pPr>
              <w:spacing w:line="240" w:lineRule="auto"/>
              <w:rPr>
                <w:rFonts w:ascii="Times New Roman" w:eastAsia="Times New Roman" w:hAnsi="Times New Roman" w:cs="Times New Roman"/>
                <w:sz w:val="24"/>
                <w:szCs w:val="24"/>
                <w:lang w:eastAsia="bg-BG"/>
              </w:rPr>
            </w:pPr>
            <w:r>
              <w:t xml:space="preserve">Коремна болка Повръщане Диспепсия </w:t>
            </w:r>
            <w:r>
              <w:lastRenderedPageBreak/>
              <w:t>Флатуленция Гастрит Диария</w:t>
            </w:r>
          </w:p>
        </w:tc>
        <w:tc>
          <w:tcPr>
            <w:tcW w:w="1934" w:type="dxa"/>
            <w:vAlign w:val="bottom"/>
          </w:tcPr>
          <w:p w14:paraId="0F1989BE" w14:textId="2B611B26" w:rsidR="002D212A" w:rsidRDefault="002D212A" w:rsidP="002D212A">
            <w:pPr>
              <w:spacing w:line="240" w:lineRule="auto"/>
              <w:rPr>
                <w:rFonts w:ascii="Times New Roman" w:eastAsia="Times New Roman" w:hAnsi="Times New Roman" w:cs="Times New Roman"/>
                <w:sz w:val="24"/>
                <w:szCs w:val="24"/>
                <w:lang w:eastAsia="bg-BG"/>
              </w:rPr>
            </w:pPr>
            <w:r>
              <w:lastRenderedPageBreak/>
              <w:t xml:space="preserve">Уголемен корем Стомашно-чревно </w:t>
            </w:r>
            <w:r>
              <w:lastRenderedPageBreak/>
              <w:t>нарушение Стомашно-чревно усещане за пълнота Хиатусова херния Орална кандидоза Запек Сухота в устата</w:t>
            </w:r>
          </w:p>
        </w:tc>
        <w:tc>
          <w:tcPr>
            <w:tcW w:w="1852" w:type="dxa"/>
            <w:vAlign w:val="bottom"/>
          </w:tcPr>
          <w:p w14:paraId="61C5F29F" w14:textId="77777777" w:rsidR="002D212A" w:rsidRDefault="002D212A" w:rsidP="002D212A">
            <w:pPr>
              <w:spacing w:line="240" w:lineRule="auto"/>
              <w:rPr>
                <w:rFonts w:ascii="Times New Roman" w:eastAsia="Times New Roman" w:hAnsi="Times New Roman" w:cs="Times New Roman"/>
                <w:sz w:val="24"/>
                <w:szCs w:val="24"/>
                <w:lang w:eastAsia="bg-BG"/>
              </w:rPr>
            </w:pPr>
          </w:p>
        </w:tc>
      </w:tr>
      <w:tr w:rsidR="002D212A" w14:paraId="0F22CD01" w14:textId="77777777" w:rsidTr="002D212A">
        <w:tc>
          <w:tcPr>
            <w:tcW w:w="2183" w:type="dxa"/>
            <w:vAlign w:val="bottom"/>
          </w:tcPr>
          <w:p w14:paraId="622ADEBB" w14:textId="475B42BE" w:rsidR="002D212A" w:rsidRDefault="002D212A" w:rsidP="002D212A">
            <w:pPr>
              <w:spacing w:line="240" w:lineRule="auto"/>
              <w:rPr>
                <w:rFonts w:ascii="Times New Roman" w:eastAsia="Times New Roman" w:hAnsi="Times New Roman" w:cs="Times New Roman"/>
                <w:sz w:val="24"/>
                <w:szCs w:val="24"/>
                <w:lang w:eastAsia="bg-BG"/>
              </w:rPr>
            </w:pPr>
            <w:r>
              <w:rPr>
                <w:b/>
                <w:bCs/>
              </w:rPr>
              <w:t>Хепатобилиарни нарушения</w:t>
            </w:r>
          </w:p>
        </w:tc>
        <w:tc>
          <w:tcPr>
            <w:tcW w:w="1745" w:type="dxa"/>
          </w:tcPr>
          <w:p w14:paraId="21AFA625" w14:textId="77777777" w:rsidR="002D212A" w:rsidRDefault="002D212A" w:rsidP="002D212A">
            <w:pPr>
              <w:spacing w:line="240" w:lineRule="auto"/>
              <w:rPr>
                <w:rFonts w:ascii="Times New Roman" w:eastAsia="Times New Roman" w:hAnsi="Times New Roman" w:cs="Times New Roman"/>
                <w:sz w:val="24"/>
                <w:szCs w:val="24"/>
                <w:lang w:eastAsia="bg-BG"/>
              </w:rPr>
            </w:pPr>
          </w:p>
        </w:tc>
        <w:tc>
          <w:tcPr>
            <w:tcW w:w="1862" w:type="dxa"/>
          </w:tcPr>
          <w:p w14:paraId="6A85ADBC" w14:textId="77777777" w:rsidR="002D212A" w:rsidRDefault="002D212A" w:rsidP="002D212A">
            <w:pPr>
              <w:spacing w:line="240" w:lineRule="auto"/>
              <w:rPr>
                <w:rFonts w:ascii="Times New Roman" w:eastAsia="Times New Roman" w:hAnsi="Times New Roman" w:cs="Times New Roman"/>
                <w:sz w:val="24"/>
                <w:szCs w:val="24"/>
                <w:lang w:eastAsia="bg-BG"/>
              </w:rPr>
            </w:pPr>
          </w:p>
        </w:tc>
        <w:tc>
          <w:tcPr>
            <w:tcW w:w="1934" w:type="dxa"/>
            <w:vAlign w:val="bottom"/>
          </w:tcPr>
          <w:p w14:paraId="131C46DF" w14:textId="77777777" w:rsidR="002D212A" w:rsidRDefault="002D212A" w:rsidP="002D212A">
            <w:r>
              <w:t>Жлъчна болка</w:t>
            </w:r>
          </w:p>
          <w:p w14:paraId="2566EC66" w14:textId="3ED7964E" w:rsidR="002D212A" w:rsidRDefault="002D212A" w:rsidP="002D212A">
            <w:pPr>
              <w:spacing w:line="240" w:lineRule="auto"/>
              <w:rPr>
                <w:rFonts w:ascii="Times New Roman" w:eastAsia="Times New Roman" w:hAnsi="Times New Roman" w:cs="Times New Roman"/>
                <w:sz w:val="24"/>
                <w:szCs w:val="24"/>
                <w:lang w:eastAsia="bg-BG"/>
              </w:rPr>
            </w:pPr>
            <w:r>
              <w:t>Холецистит</w:t>
            </w:r>
            <w:r>
              <w:tab/>
            </w:r>
          </w:p>
        </w:tc>
        <w:tc>
          <w:tcPr>
            <w:tcW w:w="1852" w:type="dxa"/>
          </w:tcPr>
          <w:p w14:paraId="7887DC7E" w14:textId="77777777" w:rsidR="002D212A" w:rsidRDefault="002D212A" w:rsidP="002D212A">
            <w:pPr>
              <w:spacing w:line="240" w:lineRule="auto"/>
              <w:rPr>
                <w:rFonts w:ascii="Times New Roman" w:eastAsia="Times New Roman" w:hAnsi="Times New Roman" w:cs="Times New Roman"/>
                <w:sz w:val="24"/>
                <w:szCs w:val="24"/>
                <w:lang w:eastAsia="bg-BG"/>
              </w:rPr>
            </w:pPr>
          </w:p>
        </w:tc>
      </w:tr>
      <w:tr w:rsidR="002D212A" w14:paraId="793514ED" w14:textId="77777777" w:rsidTr="002D212A">
        <w:tc>
          <w:tcPr>
            <w:tcW w:w="2183" w:type="dxa"/>
          </w:tcPr>
          <w:p w14:paraId="451F6353" w14:textId="6FADF823" w:rsidR="002D212A" w:rsidRDefault="002D212A" w:rsidP="002D212A">
            <w:pPr>
              <w:spacing w:line="240" w:lineRule="auto"/>
              <w:rPr>
                <w:rFonts w:ascii="Times New Roman" w:eastAsia="Times New Roman" w:hAnsi="Times New Roman" w:cs="Times New Roman"/>
                <w:sz w:val="24"/>
                <w:szCs w:val="24"/>
                <w:lang w:eastAsia="bg-BG"/>
              </w:rPr>
            </w:pPr>
            <w:r>
              <w:rPr>
                <w:b/>
                <w:bCs/>
              </w:rPr>
              <w:t>Нарушения на кожата и подкожната тъкан</w:t>
            </w:r>
          </w:p>
        </w:tc>
        <w:tc>
          <w:tcPr>
            <w:tcW w:w="1745" w:type="dxa"/>
          </w:tcPr>
          <w:p w14:paraId="60323753" w14:textId="77777777" w:rsidR="002D212A" w:rsidRDefault="002D212A" w:rsidP="002D212A">
            <w:pPr>
              <w:spacing w:line="240" w:lineRule="auto"/>
              <w:rPr>
                <w:rFonts w:ascii="Times New Roman" w:eastAsia="Times New Roman" w:hAnsi="Times New Roman" w:cs="Times New Roman"/>
                <w:sz w:val="24"/>
                <w:szCs w:val="24"/>
                <w:lang w:eastAsia="bg-BG"/>
              </w:rPr>
            </w:pPr>
          </w:p>
        </w:tc>
        <w:tc>
          <w:tcPr>
            <w:tcW w:w="1862" w:type="dxa"/>
          </w:tcPr>
          <w:p w14:paraId="018152A2" w14:textId="001553B3" w:rsidR="002D212A" w:rsidRDefault="002D212A" w:rsidP="002D212A">
            <w:pPr>
              <w:spacing w:line="240" w:lineRule="auto"/>
              <w:rPr>
                <w:rFonts w:ascii="Times New Roman" w:eastAsia="Times New Roman" w:hAnsi="Times New Roman" w:cs="Times New Roman"/>
                <w:sz w:val="24"/>
                <w:szCs w:val="24"/>
                <w:lang w:eastAsia="bg-BG"/>
              </w:rPr>
            </w:pPr>
            <w:r>
              <w:t>Акне Сърбеж Обрив</w:t>
            </w:r>
          </w:p>
        </w:tc>
        <w:tc>
          <w:tcPr>
            <w:tcW w:w="1934" w:type="dxa"/>
          </w:tcPr>
          <w:p w14:paraId="4D38AC9A" w14:textId="77777777" w:rsidR="002D212A" w:rsidRDefault="002D212A" w:rsidP="002D212A">
            <w:r>
              <w:t>Хлоазма</w:t>
            </w:r>
            <w:r>
              <w:tab/>
            </w:r>
          </w:p>
          <w:p w14:paraId="12428117" w14:textId="77777777" w:rsidR="002D212A" w:rsidRDefault="002D212A" w:rsidP="002D212A">
            <w:r>
              <w:t>Екзема</w:t>
            </w:r>
            <w:r>
              <w:tab/>
            </w:r>
          </w:p>
          <w:p w14:paraId="1C5F1B1C" w14:textId="77777777" w:rsidR="002D212A" w:rsidRDefault="002D212A" w:rsidP="002D212A">
            <w:r>
              <w:t>Алопеция</w:t>
            </w:r>
            <w:r>
              <w:tab/>
            </w:r>
          </w:p>
          <w:p w14:paraId="1C633376" w14:textId="77777777" w:rsidR="002D212A" w:rsidRDefault="002D212A" w:rsidP="002D212A">
            <w:pPr>
              <w:spacing w:line="240" w:lineRule="auto"/>
            </w:pPr>
            <w:r>
              <w:t>Акнеиформен</w:t>
            </w:r>
          </w:p>
          <w:p w14:paraId="761A36F1" w14:textId="77777777" w:rsidR="002D212A" w:rsidRDefault="002D212A" w:rsidP="002D212A">
            <w:pPr>
              <w:rPr>
                <w:lang w:eastAsia="bg-BG"/>
              </w:rPr>
            </w:pPr>
            <w:r w:rsidRPr="002D212A">
              <w:rPr>
                <w:lang w:eastAsia="bg-BG"/>
              </w:rPr>
              <w:t xml:space="preserve">дерматит </w:t>
            </w:r>
          </w:p>
          <w:p w14:paraId="594BBE68" w14:textId="066BF171" w:rsidR="002D212A" w:rsidRDefault="002D212A" w:rsidP="002D212A">
            <w:pPr>
              <w:rPr>
                <w:sz w:val="24"/>
                <w:szCs w:val="24"/>
                <w:lang w:eastAsia="bg-BG"/>
              </w:rPr>
            </w:pPr>
            <w:r w:rsidRPr="002D212A">
              <w:rPr>
                <w:lang w:eastAsia="bg-BG"/>
              </w:rPr>
              <w:t>Суха кожа Еритема нодозум Хипертрихоза Кожно нарушение Кожни стрии Контактен дерматит Фотосенсибили- зиращ дерматит Кожно възелче</w:t>
            </w:r>
          </w:p>
        </w:tc>
        <w:tc>
          <w:tcPr>
            <w:tcW w:w="1852" w:type="dxa"/>
          </w:tcPr>
          <w:p w14:paraId="49D48668" w14:textId="77777777" w:rsidR="002D212A" w:rsidRDefault="002D212A" w:rsidP="002D212A">
            <w:pPr>
              <w:spacing w:line="240" w:lineRule="auto"/>
              <w:rPr>
                <w:rFonts w:ascii="Times New Roman" w:eastAsia="Times New Roman" w:hAnsi="Times New Roman" w:cs="Times New Roman"/>
                <w:sz w:val="24"/>
                <w:szCs w:val="24"/>
                <w:lang w:eastAsia="bg-BG"/>
              </w:rPr>
            </w:pPr>
          </w:p>
        </w:tc>
      </w:tr>
      <w:tr w:rsidR="002D212A" w14:paraId="66168D60" w14:textId="77777777" w:rsidTr="002D212A">
        <w:tc>
          <w:tcPr>
            <w:tcW w:w="2183" w:type="dxa"/>
            <w:vAlign w:val="bottom"/>
          </w:tcPr>
          <w:p w14:paraId="0470BD70" w14:textId="58AB72E4" w:rsidR="002D212A" w:rsidRDefault="002D212A" w:rsidP="002D212A">
            <w:pPr>
              <w:spacing w:line="240" w:lineRule="auto"/>
              <w:rPr>
                <w:rFonts w:ascii="Times New Roman" w:eastAsia="Times New Roman" w:hAnsi="Times New Roman" w:cs="Times New Roman"/>
                <w:sz w:val="24"/>
                <w:szCs w:val="24"/>
                <w:lang w:eastAsia="bg-BG"/>
              </w:rPr>
            </w:pPr>
            <w:r>
              <w:rPr>
                <w:b/>
                <w:bCs/>
              </w:rPr>
              <w:t>Нарушения на мускулно- скелетната система и съединителната тъкан</w:t>
            </w:r>
          </w:p>
        </w:tc>
        <w:tc>
          <w:tcPr>
            <w:tcW w:w="1745" w:type="dxa"/>
          </w:tcPr>
          <w:p w14:paraId="7420368B" w14:textId="77777777" w:rsidR="002D212A" w:rsidRDefault="002D212A" w:rsidP="002D212A">
            <w:pPr>
              <w:spacing w:line="240" w:lineRule="auto"/>
              <w:rPr>
                <w:rFonts w:ascii="Times New Roman" w:eastAsia="Times New Roman" w:hAnsi="Times New Roman" w:cs="Times New Roman"/>
                <w:sz w:val="24"/>
                <w:szCs w:val="24"/>
                <w:lang w:eastAsia="bg-BG"/>
              </w:rPr>
            </w:pPr>
          </w:p>
        </w:tc>
        <w:tc>
          <w:tcPr>
            <w:tcW w:w="1862" w:type="dxa"/>
          </w:tcPr>
          <w:p w14:paraId="12D96FEE" w14:textId="446373C3" w:rsidR="002D212A" w:rsidRDefault="002D212A" w:rsidP="002D212A">
            <w:pPr>
              <w:spacing w:line="240" w:lineRule="auto"/>
              <w:rPr>
                <w:rFonts w:ascii="Times New Roman" w:eastAsia="Times New Roman" w:hAnsi="Times New Roman" w:cs="Times New Roman"/>
                <w:sz w:val="24"/>
                <w:szCs w:val="24"/>
                <w:lang w:eastAsia="bg-BG"/>
              </w:rPr>
            </w:pPr>
            <w:r>
              <w:t>Болка в гърба Болка в крайниците Мускулни крампи</w:t>
            </w:r>
          </w:p>
        </w:tc>
        <w:tc>
          <w:tcPr>
            <w:tcW w:w="1934" w:type="dxa"/>
          </w:tcPr>
          <w:p w14:paraId="3AA7B3A2" w14:textId="77777777" w:rsidR="002D212A" w:rsidRDefault="002D212A" w:rsidP="002D212A">
            <w:pPr>
              <w:spacing w:line="240" w:lineRule="auto"/>
              <w:rPr>
                <w:rFonts w:ascii="Times New Roman" w:eastAsia="Times New Roman" w:hAnsi="Times New Roman" w:cs="Times New Roman"/>
                <w:sz w:val="24"/>
                <w:szCs w:val="24"/>
                <w:lang w:eastAsia="bg-BG"/>
              </w:rPr>
            </w:pPr>
          </w:p>
        </w:tc>
        <w:tc>
          <w:tcPr>
            <w:tcW w:w="1852" w:type="dxa"/>
          </w:tcPr>
          <w:p w14:paraId="4EA33434" w14:textId="77777777" w:rsidR="002D212A" w:rsidRDefault="002D212A" w:rsidP="002D212A">
            <w:pPr>
              <w:spacing w:line="240" w:lineRule="auto"/>
              <w:rPr>
                <w:rFonts w:ascii="Times New Roman" w:eastAsia="Times New Roman" w:hAnsi="Times New Roman" w:cs="Times New Roman"/>
                <w:sz w:val="24"/>
                <w:szCs w:val="24"/>
                <w:lang w:eastAsia="bg-BG"/>
              </w:rPr>
            </w:pPr>
          </w:p>
        </w:tc>
      </w:tr>
      <w:tr w:rsidR="002D212A" w14:paraId="5157048C" w14:textId="77777777" w:rsidTr="002D212A">
        <w:tc>
          <w:tcPr>
            <w:tcW w:w="2183" w:type="dxa"/>
          </w:tcPr>
          <w:p w14:paraId="0A3A7797" w14:textId="365CDF00" w:rsidR="002D212A" w:rsidRDefault="002D212A" w:rsidP="002D212A">
            <w:pPr>
              <w:spacing w:line="240" w:lineRule="auto"/>
              <w:rPr>
                <w:rFonts w:ascii="Times New Roman" w:eastAsia="Times New Roman" w:hAnsi="Times New Roman" w:cs="Times New Roman"/>
                <w:sz w:val="24"/>
                <w:szCs w:val="24"/>
                <w:lang w:eastAsia="bg-BG"/>
              </w:rPr>
            </w:pPr>
            <w:r>
              <w:rPr>
                <w:b/>
                <w:bCs/>
              </w:rPr>
              <w:t>Нарушения на възпроизводител ната система и гърдата</w:t>
            </w:r>
          </w:p>
        </w:tc>
        <w:tc>
          <w:tcPr>
            <w:tcW w:w="1745" w:type="dxa"/>
          </w:tcPr>
          <w:p w14:paraId="000A9BEC" w14:textId="23E3D0B4" w:rsidR="002D212A" w:rsidRDefault="002D212A" w:rsidP="002D212A">
            <w:pPr>
              <w:spacing w:line="240" w:lineRule="auto"/>
              <w:rPr>
                <w:rFonts w:ascii="Times New Roman" w:eastAsia="Times New Roman" w:hAnsi="Times New Roman" w:cs="Times New Roman"/>
                <w:sz w:val="24"/>
                <w:szCs w:val="24"/>
                <w:lang w:eastAsia="bg-BG"/>
              </w:rPr>
            </w:pPr>
            <w:r>
              <w:t>Болка в гърдата Метрорагия* Аменорея</w:t>
            </w:r>
          </w:p>
        </w:tc>
        <w:tc>
          <w:tcPr>
            <w:tcW w:w="1862" w:type="dxa"/>
            <w:vAlign w:val="bottom"/>
          </w:tcPr>
          <w:p w14:paraId="320C6BD3" w14:textId="75CA4ABA" w:rsidR="002D212A" w:rsidRDefault="002D212A" w:rsidP="002D212A">
            <w:pPr>
              <w:spacing w:line="240" w:lineRule="auto"/>
              <w:rPr>
                <w:rFonts w:ascii="Times New Roman" w:eastAsia="Times New Roman" w:hAnsi="Times New Roman" w:cs="Times New Roman"/>
                <w:sz w:val="24"/>
                <w:szCs w:val="24"/>
                <w:lang w:eastAsia="bg-BG"/>
              </w:rPr>
            </w:pPr>
            <w:r>
              <w:t xml:space="preserve">Вагинална кандидоза Тазова болка Уголемяване на гърдите Фиброкистозна гърда Маточно/ вагинално кървене* Генитален секрет Горещи вълни Вагинит Менструално нарушение Дисменорея </w:t>
            </w:r>
            <w:r>
              <w:lastRenderedPageBreak/>
              <w:t>Хипоменорея Менорагия Суха вагина Подозрителна цитонамазка Понижено либидо</w:t>
            </w:r>
          </w:p>
        </w:tc>
        <w:tc>
          <w:tcPr>
            <w:tcW w:w="1934" w:type="dxa"/>
          </w:tcPr>
          <w:p w14:paraId="2191553F" w14:textId="6CA1AA65" w:rsidR="002D212A" w:rsidRDefault="002D212A" w:rsidP="002D212A">
            <w:pPr>
              <w:spacing w:line="240" w:lineRule="auto"/>
              <w:rPr>
                <w:rFonts w:ascii="Times New Roman" w:eastAsia="Times New Roman" w:hAnsi="Times New Roman" w:cs="Times New Roman"/>
                <w:sz w:val="24"/>
                <w:szCs w:val="24"/>
                <w:lang w:eastAsia="bg-BG"/>
              </w:rPr>
            </w:pPr>
            <w:r>
              <w:lastRenderedPageBreak/>
              <w:t xml:space="preserve">Диспареуния Вулвовагинит Кървене след сношение Отпадно кървене Кистозна гърда Хиперплазия на гърдата Неоплазма на гърдата Цервикален полип Ендометриална атрофия Киста </w:t>
            </w:r>
            <w:r>
              <w:lastRenderedPageBreak/>
              <w:t>на яйчника Уголемяване на матката</w:t>
            </w:r>
          </w:p>
        </w:tc>
        <w:tc>
          <w:tcPr>
            <w:tcW w:w="1852" w:type="dxa"/>
          </w:tcPr>
          <w:p w14:paraId="5F801FF6" w14:textId="77777777" w:rsidR="002D212A" w:rsidRDefault="002D212A" w:rsidP="002D212A">
            <w:pPr>
              <w:spacing w:line="240" w:lineRule="auto"/>
              <w:rPr>
                <w:rFonts w:ascii="Times New Roman" w:eastAsia="Times New Roman" w:hAnsi="Times New Roman" w:cs="Times New Roman"/>
                <w:sz w:val="24"/>
                <w:szCs w:val="24"/>
                <w:lang w:eastAsia="bg-BG"/>
              </w:rPr>
            </w:pPr>
          </w:p>
        </w:tc>
      </w:tr>
      <w:tr w:rsidR="002D212A" w14:paraId="5B551CBC" w14:textId="77777777" w:rsidTr="002D212A">
        <w:tc>
          <w:tcPr>
            <w:tcW w:w="2183" w:type="dxa"/>
          </w:tcPr>
          <w:p w14:paraId="12564315" w14:textId="1112C308" w:rsidR="002D212A" w:rsidRDefault="002D212A" w:rsidP="002D212A">
            <w:pPr>
              <w:spacing w:line="240" w:lineRule="auto"/>
              <w:rPr>
                <w:rFonts w:ascii="Times New Roman" w:eastAsia="Times New Roman" w:hAnsi="Times New Roman" w:cs="Times New Roman"/>
                <w:sz w:val="24"/>
                <w:szCs w:val="24"/>
                <w:lang w:eastAsia="bg-BG"/>
              </w:rPr>
            </w:pPr>
            <w:r>
              <w:rPr>
                <w:b/>
                <w:bCs/>
              </w:rPr>
              <w:t>Общи нарушения и ефекти на мястото на приложение</w:t>
            </w:r>
          </w:p>
        </w:tc>
        <w:tc>
          <w:tcPr>
            <w:tcW w:w="1745" w:type="dxa"/>
          </w:tcPr>
          <w:p w14:paraId="12583667" w14:textId="77777777" w:rsidR="002D212A" w:rsidRDefault="002D212A" w:rsidP="002D212A">
            <w:pPr>
              <w:spacing w:line="240" w:lineRule="auto"/>
              <w:rPr>
                <w:rFonts w:ascii="Times New Roman" w:eastAsia="Times New Roman" w:hAnsi="Times New Roman" w:cs="Times New Roman"/>
                <w:sz w:val="24"/>
                <w:szCs w:val="24"/>
                <w:lang w:eastAsia="bg-BG"/>
              </w:rPr>
            </w:pPr>
          </w:p>
        </w:tc>
        <w:tc>
          <w:tcPr>
            <w:tcW w:w="1862" w:type="dxa"/>
            <w:vAlign w:val="bottom"/>
          </w:tcPr>
          <w:p w14:paraId="5D2BC29E" w14:textId="17D0B165" w:rsidR="002D212A" w:rsidRDefault="002D212A" w:rsidP="002D212A">
            <w:pPr>
              <w:spacing w:line="240" w:lineRule="auto"/>
              <w:rPr>
                <w:rFonts w:ascii="Times New Roman" w:eastAsia="Times New Roman" w:hAnsi="Times New Roman" w:cs="Times New Roman"/>
                <w:sz w:val="24"/>
                <w:szCs w:val="24"/>
                <w:lang w:eastAsia="bg-BG"/>
              </w:rPr>
            </w:pPr>
            <w:r>
              <w:t>Астения Повишено потене Оток (Генерализиран оток, Периферен оток, Оток на лицето)</w:t>
            </w:r>
          </w:p>
        </w:tc>
        <w:tc>
          <w:tcPr>
            <w:tcW w:w="1934" w:type="dxa"/>
          </w:tcPr>
          <w:p w14:paraId="72D5FFE3" w14:textId="3C323EF7" w:rsidR="002D212A" w:rsidRDefault="002D212A" w:rsidP="002D212A">
            <w:pPr>
              <w:spacing w:line="240" w:lineRule="auto"/>
              <w:rPr>
                <w:rFonts w:ascii="Times New Roman" w:eastAsia="Times New Roman" w:hAnsi="Times New Roman" w:cs="Times New Roman"/>
                <w:sz w:val="24"/>
                <w:szCs w:val="24"/>
                <w:lang w:eastAsia="bg-BG"/>
              </w:rPr>
            </w:pPr>
            <w:r>
              <w:t>Общо неразположение</w:t>
            </w:r>
          </w:p>
        </w:tc>
        <w:tc>
          <w:tcPr>
            <w:tcW w:w="1852" w:type="dxa"/>
            <w:vAlign w:val="bottom"/>
          </w:tcPr>
          <w:p w14:paraId="16C6952A" w14:textId="77777777" w:rsidR="002D212A" w:rsidRDefault="002D212A" w:rsidP="002D212A">
            <w:pPr>
              <w:spacing w:line="240" w:lineRule="auto"/>
              <w:rPr>
                <w:rFonts w:ascii="Times New Roman" w:eastAsia="Times New Roman" w:hAnsi="Times New Roman" w:cs="Times New Roman"/>
                <w:sz w:val="24"/>
                <w:szCs w:val="24"/>
                <w:lang w:eastAsia="bg-BG"/>
              </w:rPr>
            </w:pPr>
          </w:p>
        </w:tc>
      </w:tr>
      <w:tr w:rsidR="002D212A" w14:paraId="5918A3ED" w14:textId="77777777" w:rsidTr="002D212A">
        <w:tc>
          <w:tcPr>
            <w:tcW w:w="2183" w:type="dxa"/>
          </w:tcPr>
          <w:p w14:paraId="6B3C4624" w14:textId="6EA66A4F" w:rsidR="002D212A" w:rsidRDefault="002D212A" w:rsidP="002D212A">
            <w:pPr>
              <w:spacing w:line="240" w:lineRule="auto"/>
              <w:rPr>
                <w:rFonts w:ascii="Times New Roman" w:eastAsia="Times New Roman" w:hAnsi="Times New Roman" w:cs="Times New Roman"/>
                <w:sz w:val="24"/>
                <w:szCs w:val="24"/>
                <w:lang w:eastAsia="bg-BG"/>
              </w:rPr>
            </w:pPr>
            <w:r>
              <w:rPr>
                <w:b/>
                <w:bCs/>
              </w:rPr>
              <w:t>Изследвания</w:t>
            </w:r>
          </w:p>
        </w:tc>
        <w:tc>
          <w:tcPr>
            <w:tcW w:w="1745" w:type="dxa"/>
          </w:tcPr>
          <w:p w14:paraId="025BB7DC" w14:textId="77777777" w:rsidR="002D212A" w:rsidRDefault="002D212A" w:rsidP="002D212A">
            <w:pPr>
              <w:spacing w:line="240" w:lineRule="auto"/>
              <w:rPr>
                <w:rFonts w:ascii="Times New Roman" w:eastAsia="Times New Roman" w:hAnsi="Times New Roman" w:cs="Times New Roman"/>
                <w:sz w:val="24"/>
                <w:szCs w:val="24"/>
                <w:lang w:eastAsia="bg-BG"/>
              </w:rPr>
            </w:pPr>
          </w:p>
        </w:tc>
        <w:tc>
          <w:tcPr>
            <w:tcW w:w="1862" w:type="dxa"/>
            <w:vAlign w:val="bottom"/>
          </w:tcPr>
          <w:p w14:paraId="13A9323D" w14:textId="01495E13" w:rsidR="002D212A" w:rsidRDefault="002D212A" w:rsidP="002D212A">
            <w:pPr>
              <w:spacing w:line="240" w:lineRule="auto"/>
              <w:rPr>
                <w:rFonts w:ascii="Times New Roman" w:eastAsia="Times New Roman" w:hAnsi="Times New Roman" w:cs="Times New Roman"/>
                <w:sz w:val="24"/>
                <w:szCs w:val="24"/>
                <w:lang w:eastAsia="bg-BG"/>
              </w:rPr>
            </w:pPr>
            <w:r>
              <w:t>Покачване на теглото</w:t>
            </w:r>
          </w:p>
        </w:tc>
        <w:tc>
          <w:tcPr>
            <w:tcW w:w="1934" w:type="dxa"/>
            <w:vAlign w:val="bottom"/>
          </w:tcPr>
          <w:p w14:paraId="76AABEAA" w14:textId="77777777" w:rsidR="002D212A" w:rsidRDefault="002D212A" w:rsidP="002D212A">
            <w:r>
              <w:t xml:space="preserve">Понижаване на </w:t>
            </w:r>
          </w:p>
          <w:p w14:paraId="5CF9144B" w14:textId="0F616FB5" w:rsidR="002D212A" w:rsidRDefault="002D212A" w:rsidP="002D212A">
            <w:pPr>
              <w:spacing w:line="240" w:lineRule="auto"/>
              <w:rPr>
                <w:rFonts w:ascii="Times New Roman" w:eastAsia="Times New Roman" w:hAnsi="Times New Roman" w:cs="Times New Roman"/>
                <w:sz w:val="24"/>
                <w:szCs w:val="24"/>
                <w:lang w:eastAsia="bg-BG"/>
              </w:rPr>
            </w:pPr>
            <w:r>
              <w:t>теглото</w:t>
            </w:r>
            <w:r>
              <w:tab/>
            </w:r>
          </w:p>
        </w:tc>
        <w:tc>
          <w:tcPr>
            <w:tcW w:w="1852" w:type="dxa"/>
          </w:tcPr>
          <w:p w14:paraId="5A8C72B0" w14:textId="77777777" w:rsidR="002D212A" w:rsidRDefault="002D212A" w:rsidP="002D212A">
            <w:pPr>
              <w:spacing w:line="240" w:lineRule="auto"/>
              <w:rPr>
                <w:rFonts w:ascii="Times New Roman" w:eastAsia="Times New Roman" w:hAnsi="Times New Roman" w:cs="Times New Roman"/>
                <w:sz w:val="24"/>
                <w:szCs w:val="24"/>
                <w:lang w:eastAsia="bg-BG"/>
              </w:rPr>
            </w:pPr>
          </w:p>
        </w:tc>
      </w:tr>
      <w:tr w:rsidR="002D212A" w14:paraId="61660AC5" w14:textId="77777777" w:rsidTr="0051584F">
        <w:tc>
          <w:tcPr>
            <w:tcW w:w="9576" w:type="dxa"/>
            <w:gridSpan w:val="5"/>
          </w:tcPr>
          <w:p w14:paraId="1D5AB8B9" w14:textId="77777777" w:rsidR="002D212A" w:rsidRPr="002D212A" w:rsidRDefault="002D212A" w:rsidP="002D212A">
            <w:pPr>
              <w:spacing w:line="240" w:lineRule="auto"/>
              <w:rPr>
                <w:rFonts w:eastAsia="Times New Roman" w:cs="Arial"/>
                <w:sz w:val="24"/>
                <w:szCs w:val="24"/>
                <w:lang w:eastAsia="bg-BG"/>
              </w:rPr>
            </w:pPr>
            <w:r w:rsidRPr="002D212A">
              <w:rPr>
                <w:rFonts w:eastAsia="Times New Roman" w:cs="Arial"/>
                <w:color w:val="000000"/>
                <w:lang w:eastAsia="bg-BG"/>
              </w:rPr>
              <w:t>* неправилното кървене обикновено отзвучава в хода на лечението</w:t>
            </w:r>
            <w:r w:rsidRPr="002D212A">
              <w:rPr>
                <w:rFonts w:eastAsia="Times New Roman" w:cs="Arial"/>
                <w:color w:val="000000"/>
                <w:lang w:eastAsia="bg-BG"/>
              </w:rPr>
              <w:tab/>
            </w:r>
          </w:p>
          <w:p w14:paraId="4039BC63" w14:textId="77777777" w:rsidR="002D212A" w:rsidRPr="002D212A" w:rsidRDefault="002D212A" w:rsidP="002D212A">
            <w:pPr>
              <w:spacing w:line="240" w:lineRule="auto"/>
              <w:rPr>
                <w:rFonts w:eastAsia="Times New Roman" w:cs="Arial"/>
                <w:i/>
                <w:iCs/>
                <w:color w:val="000000"/>
                <w:lang w:eastAsia="bg-BG"/>
              </w:rPr>
            </w:pPr>
          </w:p>
          <w:p w14:paraId="5A85FDCA" w14:textId="47A5D719" w:rsidR="002D212A" w:rsidRDefault="002D212A" w:rsidP="002D212A">
            <w:pPr>
              <w:spacing w:line="240" w:lineRule="auto"/>
              <w:rPr>
                <w:rFonts w:ascii="Times New Roman" w:eastAsia="Times New Roman" w:hAnsi="Times New Roman" w:cs="Times New Roman"/>
                <w:sz w:val="24"/>
                <w:szCs w:val="24"/>
                <w:lang w:eastAsia="bg-BG"/>
              </w:rPr>
            </w:pPr>
            <w:r w:rsidRPr="002D212A">
              <w:rPr>
                <w:rFonts w:eastAsia="Times New Roman" w:cs="Arial"/>
                <w:i/>
                <w:iCs/>
                <w:color w:val="000000"/>
                <w:lang w:eastAsia="bg-BG"/>
              </w:rPr>
              <w:t>Описание на избрани нежелани лекарствени реакции</w:t>
            </w:r>
          </w:p>
        </w:tc>
      </w:tr>
    </w:tbl>
    <w:p w14:paraId="13354D6D" w14:textId="77777777" w:rsidR="002D212A" w:rsidRPr="002D212A" w:rsidRDefault="002D212A" w:rsidP="002D212A">
      <w:pPr>
        <w:spacing w:line="240" w:lineRule="auto"/>
        <w:rPr>
          <w:rFonts w:eastAsia="Times New Roman" w:cs="Arial"/>
          <w:lang w:eastAsia="bg-BG"/>
        </w:rPr>
      </w:pPr>
      <w:r w:rsidRPr="002D212A">
        <w:rPr>
          <w:rFonts w:eastAsia="Times New Roman" w:cs="Arial"/>
          <w:color w:val="000000"/>
          <w:lang w:eastAsia="bg-BG"/>
        </w:rPr>
        <w:t>Наблюдаван е повишен риск от артериални и венозни тромботични и тромбоемболични събития, включително инфаркт на миокарда, инсулт, преходни исхемични атаки, венозна тромбоза и белодробна емболия, при жени, използващи КХК, които са обсъдени по-подробно в точка 4.4.</w:t>
      </w:r>
    </w:p>
    <w:p w14:paraId="5B036699" w14:textId="77777777" w:rsidR="002D212A" w:rsidRPr="002D212A" w:rsidRDefault="002D212A" w:rsidP="002D212A">
      <w:pPr>
        <w:spacing w:line="240" w:lineRule="auto"/>
        <w:rPr>
          <w:rFonts w:eastAsia="Times New Roman" w:cs="Arial"/>
          <w:color w:val="000000"/>
          <w:lang w:eastAsia="bg-BG"/>
        </w:rPr>
      </w:pPr>
    </w:p>
    <w:p w14:paraId="7EE812C7" w14:textId="06F408D4" w:rsidR="002D212A" w:rsidRPr="002D212A" w:rsidRDefault="002D212A" w:rsidP="002D212A">
      <w:pPr>
        <w:spacing w:line="240" w:lineRule="auto"/>
        <w:rPr>
          <w:rFonts w:eastAsia="Times New Roman" w:cs="Arial"/>
          <w:lang w:eastAsia="bg-BG"/>
        </w:rPr>
      </w:pPr>
      <w:r w:rsidRPr="002D212A">
        <w:rPr>
          <w:rFonts w:eastAsia="Times New Roman" w:cs="Arial"/>
          <w:color w:val="000000"/>
          <w:lang w:eastAsia="bg-BG"/>
        </w:rPr>
        <w:t xml:space="preserve">Следните сериозни нежелани лекарствени реакции са наблюдавани при жени използващи КОК, и са обсъдени </w:t>
      </w:r>
      <w:r w:rsidRPr="002D212A">
        <w:rPr>
          <w:rFonts w:eastAsia="Times New Roman" w:cs="Arial"/>
          <w:i/>
          <w:iCs/>
          <w:color w:val="000000"/>
          <w:lang w:eastAsia="bg-BG"/>
        </w:rPr>
        <w:t>в точка</w:t>
      </w:r>
      <w:r w:rsidRPr="002D212A">
        <w:rPr>
          <w:rFonts w:eastAsia="Times New Roman" w:cs="Arial"/>
          <w:color w:val="000000"/>
          <w:lang w:eastAsia="bg-BG"/>
        </w:rPr>
        <w:t xml:space="preserve"> 4.4 Специални предупреждения и предпазни мерки при употреба:</w:t>
      </w:r>
    </w:p>
    <w:p w14:paraId="31ED5939" w14:textId="77777777" w:rsidR="002D212A" w:rsidRPr="002D212A" w:rsidRDefault="002D212A" w:rsidP="002D212A">
      <w:pPr>
        <w:pStyle w:val="ListParagraph"/>
        <w:numPr>
          <w:ilvl w:val="0"/>
          <w:numId w:val="47"/>
        </w:numPr>
        <w:spacing w:line="240" w:lineRule="auto"/>
        <w:rPr>
          <w:rFonts w:eastAsia="Times New Roman" w:cs="Arial"/>
          <w:color w:val="000000"/>
          <w:lang w:eastAsia="bg-BG"/>
        </w:rPr>
      </w:pPr>
      <w:r w:rsidRPr="002D212A">
        <w:rPr>
          <w:rFonts w:eastAsia="Times New Roman" w:cs="Arial"/>
          <w:color w:val="000000"/>
          <w:lang w:eastAsia="bg-BG"/>
        </w:rPr>
        <w:t>Нарушения, свързани с венозен тромбоемболизъм;</w:t>
      </w:r>
    </w:p>
    <w:p w14:paraId="45FAF07B" w14:textId="77777777" w:rsidR="002D212A" w:rsidRPr="002D212A" w:rsidRDefault="002D212A" w:rsidP="002D212A">
      <w:pPr>
        <w:pStyle w:val="ListParagraph"/>
        <w:numPr>
          <w:ilvl w:val="0"/>
          <w:numId w:val="47"/>
        </w:numPr>
        <w:spacing w:line="240" w:lineRule="auto"/>
        <w:rPr>
          <w:rFonts w:eastAsia="Times New Roman" w:cs="Arial"/>
          <w:color w:val="000000"/>
          <w:lang w:eastAsia="bg-BG"/>
        </w:rPr>
      </w:pPr>
      <w:r w:rsidRPr="002D212A">
        <w:rPr>
          <w:rFonts w:eastAsia="Times New Roman" w:cs="Arial"/>
          <w:color w:val="000000"/>
          <w:lang w:eastAsia="bg-BG"/>
        </w:rPr>
        <w:t>Нарушения, свързани с артериален тромбоемболизъм;</w:t>
      </w:r>
    </w:p>
    <w:p w14:paraId="51AC5BD8" w14:textId="77777777" w:rsidR="002D212A" w:rsidRPr="002D212A" w:rsidRDefault="002D212A" w:rsidP="002D212A">
      <w:pPr>
        <w:pStyle w:val="ListParagraph"/>
        <w:numPr>
          <w:ilvl w:val="0"/>
          <w:numId w:val="47"/>
        </w:numPr>
        <w:spacing w:line="240" w:lineRule="auto"/>
        <w:rPr>
          <w:rFonts w:eastAsia="Times New Roman" w:cs="Arial"/>
          <w:color w:val="000000"/>
          <w:lang w:eastAsia="bg-BG"/>
        </w:rPr>
      </w:pPr>
      <w:r w:rsidRPr="002D212A">
        <w:rPr>
          <w:rFonts w:eastAsia="Times New Roman" w:cs="Arial"/>
          <w:color w:val="000000"/>
          <w:lang w:eastAsia="bg-BG"/>
        </w:rPr>
        <w:t>Хипертония;</w:t>
      </w:r>
    </w:p>
    <w:p w14:paraId="55DED8AE" w14:textId="77777777" w:rsidR="002D212A" w:rsidRPr="002D212A" w:rsidRDefault="002D212A" w:rsidP="002D212A">
      <w:pPr>
        <w:pStyle w:val="ListParagraph"/>
        <w:numPr>
          <w:ilvl w:val="0"/>
          <w:numId w:val="47"/>
        </w:numPr>
        <w:spacing w:line="240" w:lineRule="auto"/>
        <w:rPr>
          <w:rFonts w:eastAsia="Times New Roman" w:cs="Arial"/>
          <w:color w:val="000000"/>
          <w:lang w:eastAsia="bg-BG"/>
        </w:rPr>
      </w:pPr>
      <w:r w:rsidRPr="002D212A">
        <w:rPr>
          <w:rFonts w:eastAsia="Times New Roman" w:cs="Arial"/>
          <w:color w:val="000000"/>
          <w:lang w:eastAsia="bg-BG"/>
        </w:rPr>
        <w:t>Чернодробни тумори;</w:t>
      </w:r>
    </w:p>
    <w:p w14:paraId="64FB819B" w14:textId="77777777" w:rsidR="002D212A" w:rsidRPr="002D212A" w:rsidRDefault="002D212A" w:rsidP="002D212A">
      <w:pPr>
        <w:pStyle w:val="ListParagraph"/>
        <w:numPr>
          <w:ilvl w:val="0"/>
          <w:numId w:val="47"/>
        </w:numPr>
        <w:spacing w:line="240" w:lineRule="auto"/>
        <w:rPr>
          <w:rFonts w:eastAsia="Times New Roman" w:cs="Arial"/>
          <w:color w:val="000000"/>
          <w:lang w:eastAsia="bg-BG"/>
        </w:rPr>
      </w:pPr>
      <w:r w:rsidRPr="002D212A">
        <w:rPr>
          <w:rFonts w:eastAsia="Times New Roman" w:cs="Arial"/>
          <w:color w:val="000000"/>
          <w:lang w:eastAsia="bg-BG"/>
        </w:rPr>
        <w:t>Поява или влошаване на състояния, за които връзката с използването на КОК не е доказана: Болест на Крон, улцерозен колит, епилепсия, миома на матката, порфирия, системен лупус еритематозус, гестационен херпес, хорея на Сиденхам, хемолитичен уремичен синдром, холестатична жълтеница;</w:t>
      </w:r>
    </w:p>
    <w:p w14:paraId="5F4FF7EC" w14:textId="77777777" w:rsidR="002D212A" w:rsidRPr="002D212A" w:rsidRDefault="002D212A" w:rsidP="002D212A">
      <w:pPr>
        <w:pStyle w:val="ListParagraph"/>
        <w:numPr>
          <w:ilvl w:val="0"/>
          <w:numId w:val="47"/>
        </w:numPr>
        <w:spacing w:line="240" w:lineRule="auto"/>
        <w:rPr>
          <w:rFonts w:eastAsia="Times New Roman" w:cs="Arial"/>
          <w:color w:val="000000"/>
          <w:lang w:eastAsia="bg-BG"/>
        </w:rPr>
      </w:pPr>
      <w:r w:rsidRPr="002D212A">
        <w:rPr>
          <w:rFonts w:eastAsia="Times New Roman" w:cs="Arial"/>
          <w:color w:val="000000"/>
          <w:lang w:eastAsia="bg-BG"/>
        </w:rPr>
        <w:t>Хлоазма;</w:t>
      </w:r>
    </w:p>
    <w:p w14:paraId="5EFF21C6" w14:textId="77777777" w:rsidR="002D212A" w:rsidRPr="002D212A" w:rsidRDefault="002D212A" w:rsidP="002D212A">
      <w:pPr>
        <w:pStyle w:val="ListParagraph"/>
        <w:numPr>
          <w:ilvl w:val="0"/>
          <w:numId w:val="47"/>
        </w:numPr>
        <w:spacing w:line="240" w:lineRule="auto"/>
        <w:rPr>
          <w:rFonts w:eastAsia="Times New Roman" w:cs="Arial"/>
          <w:color w:val="000000"/>
          <w:lang w:eastAsia="bg-BG"/>
        </w:rPr>
      </w:pPr>
      <w:r w:rsidRPr="002D212A">
        <w:rPr>
          <w:rFonts w:eastAsia="Times New Roman" w:cs="Arial"/>
          <w:color w:val="000000"/>
          <w:lang w:eastAsia="bg-BG"/>
        </w:rPr>
        <w:t>Остро или хронично нарушение на чернодробната функция може да наложи преустановяване използването на КОК до възстановяване в норма на показателите на чернодробната функция.</w:t>
      </w:r>
    </w:p>
    <w:p w14:paraId="39500772" w14:textId="52674642" w:rsidR="002D212A" w:rsidRPr="002D212A" w:rsidRDefault="002D212A" w:rsidP="002D212A">
      <w:pPr>
        <w:pStyle w:val="ListParagraph"/>
        <w:numPr>
          <w:ilvl w:val="0"/>
          <w:numId w:val="47"/>
        </w:numPr>
        <w:spacing w:line="240" w:lineRule="auto"/>
        <w:rPr>
          <w:rFonts w:eastAsia="Times New Roman" w:cs="Arial"/>
          <w:color w:val="000000"/>
          <w:lang w:eastAsia="bg-BG"/>
        </w:rPr>
      </w:pPr>
      <w:r w:rsidRPr="002D212A">
        <w:rPr>
          <w:rFonts w:eastAsia="Times New Roman" w:cs="Arial"/>
          <w:color w:val="000000"/>
          <w:lang w:eastAsia="bg-BG"/>
        </w:rPr>
        <w:t>При жени с наследствен ангиоедем екзогенните естрогени могат да индуцират или обострят симптомите на ангиоедема.</w:t>
      </w:r>
    </w:p>
    <w:p w14:paraId="5BAB9FCD" w14:textId="77777777" w:rsidR="002D212A" w:rsidRPr="002D212A" w:rsidRDefault="002D212A" w:rsidP="002D212A">
      <w:pPr>
        <w:spacing w:line="240" w:lineRule="auto"/>
        <w:rPr>
          <w:rFonts w:eastAsia="Times New Roman" w:cs="Arial"/>
          <w:color w:val="000000"/>
          <w:lang w:eastAsia="bg-BG"/>
        </w:rPr>
      </w:pPr>
    </w:p>
    <w:p w14:paraId="4E3A6AE4" w14:textId="7ED565B4" w:rsidR="002D212A" w:rsidRPr="002D212A" w:rsidRDefault="002D212A" w:rsidP="002D212A">
      <w:pPr>
        <w:spacing w:line="240" w:lineRule="auto"/>
        <w:rPr>
          <w:rFonts w:eastAsia="Times New Roman" w:cs="Arial"/>
          <w:lang w:eastAsia="bg-BG"/>
        </w:rPr>
      </w:pPr>
      <w:r w:rsidRPr="002D212A">
        <w:rPr>
          <w:rFonts w:eastAsia="Times New Roman" w:cs="Arial"/>
          <w:color w:val="000000"/>
          <w:lang w:eastAsia="bg-BG"/>
        </w:rPr>
        <w:t>Честотата на диагностициран карцином на гърдата при използващи КОК е много слабо увеличена. Тъй като карцином на гърдата има рядко при жени на възраст под 40 години, повишеният брой е малък в сравнение с общия риск от карцином на гърдата. Причинна връзка с използването на КОК не е известна. За допълнителна информация, вижте точки 4.3 и 4.4.</w:t>
      </w:r>
    </w:p>
    <w:p w14:paraId="445F05D5" w14:textId="77777777" w:rsidR="002D212A" w:rsidRPr="002D212A" w:rsidRDefault="002D212A" w:rsidP="002D212A">
      <w:pPr>
        <w:spacing w:line="240" w:lineRule="auto"/>
        <w:rPr>
          <w:rFonts w:eastAsia="Times New Roman" w:cs="Arial"/>
          <w:i/>
          <w:iCs/>
          <w:color w:val="000000"/>
          <w:u w:val="single"/>
          <w:lang w:eastAsia="bg-BG"/>
        </w:rPr>
      </w:pPr>
    </w:p>
    <w:p w14:paraId="32239BCC" w14:textId="621E6D96" w:rsidR="002D212A" w:rsidRPr="002D212A" w:rsidRDefault="002D212A" w:rsidP="002D212A">
      <w:pPr>
        <w:spacing w:line="240" w:lineRule="auto"/>
        <w:rPr>
          <w:rFonts w:eastAsia="Times New Roman" w:cs="Arial"/>
          <w:lang w:eastAsia="bg-BG"/>
        </w:rPr>
      </w:pPr>
      <w:r w:rsidRPr="002D212A">
        <w:rPr>
          <w:rFonts w:eastAsia="Times New Roman" w:cs="Arial"/>
          <w:i/>
          <w:iCs/>
          <w:color w:val="000000"/>
          <w:u w:val="single"/>
          <w:lang w:eastAsia="bg-BG"/>
        </w:rPr>
        <w:t>Взаимодействия</w:t>
      </w:r>
    </w:p>
    <w:p w14:paraId="1B1CBB53" w14:textId="77777777" w:rsidR="002D212A" w:rsidRPr="002D212A" w:rsidRDefault="002D212A" w:rsidP="002D212A">
      <w:pPr>
        <w:spacing w:line="240" w:lineRule="auto"/>
        <w:rPr>
          <w:rFonts w:eastAsia="Times New Roman" w:cs="Arial"/>
          <w:lang w:eastAsia="bg-BG"/>
        </w:rPr>
      </w:pPr>
      <w:r w:rsidRPr="002D212A">
        <w:rPr>
          <w:rFonts w:eastAsia="Times New Roman" w:cs="Arial"/>
          <w:color w:val="000000"/>
          <w:lang w:eastAsia="bg-BG"/>
        </w:rPr>
        <w:lastRenderedPageBreak/>
        <w:t>Пробивно кървене и/или контрацептивен неуспех могат да се появят в резултат от взаимодействие на други лекарства (ензимни индуктори) с перорални контрацептиви (вж. точка 4.5).</w:t>
      </w:r>
    </w:p>
    <w:p w14:paraId="30F0E7DC" w14:textId="77777777" w:rsidR="002D212A" w:rsidRPr="002D212A" w:rsidRDefault="002D212A" w:rsidP="002D212A">
      <w:pPr>
        <w:spacing w:line="240" w:lineRule="auto"/>
        <w:rPr>
          <w:rFonts w:eastAsia="Times New Roman" w:cs="Arial"/>
          <w:color w:val="000000"/>
          <w:u w:val="single"/>
          <w:lang w:eastAsia="bg-BG"/>
        </w:rPr>
      </w:pPr>
    </w:p>
    <w:p w14:paraId="384B2D4E" w14:textId="0C6F9D44" w:rsidR="002D212A" w:rsidRPr="002D212A" w:rsidRDefault="002D212A" w:rsidP="002D212A">
      <w:pPr>
        <w:spacing w:line="240" w:lineRule="auto"/>
        <w:rPr>
          <w:rFonts w:eastAsia="Times New Roman" w:cs="Arial"/>
          <w:lang w:eastAsia="bg-BG"/>
        </w:rPr>
      </w:pPr>
      <w:r w:rsidRPr="002D212A">
        <w:rPr>
          <w:rFonts w:eastAsia="Times New Roman" w:cs="Arial"/>
          <w:color w:val="000000"/>
          <w:u w:val="single"/>
          <w:lang w:eastAsia="bg-BG"/>
        </w:rPr>
        <w:t>Съобщаване на подозирани нежелани реакции</w:t>
      </w:r>
    </w:p>
    <w:p w14:paraId="3715CE1F" w14:textId="77777777" w:rsidR="002D212A" w:rsidRPr="002D212A" w:rsidRDefault="002D212A" w:rsidP="002D212A">
      <w:pPr>
        <w:spacing w:line="240" w:lineRule="auto"/>
        <w:rPr>
          <w:rFonts w:eastAsia="Times New Roman" w:cs="Arial"/>
          <w:lang w:eastAsia="bg-BG"/>
        </w:rPr>
      </w:pPr>
      <w:r w:rsidRPr="002D212A">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5A914B5C" w14:textId="77777777" w:rsidR="002D212A" w:rsidRPr="002D212A" w:rsidRDefault="002D212A" w:rsidP="002D212A">
      <w:pPr>
        <w:spacing w:line="240" w:lineRule="auto"/>
        <w:rPr>
          <w:rFonts w:ascii="Times New Roman" w:eastAsia="Times New Roman" w:hAnsi="Times New Roman" w:cs="Times New Roman"/>
          <w:sz w:val="24"/>
          <w:szCs w:val="24"/>
          <w:lang w:eastAsia="bg-BG"/>
        </w:rPr>
      </w:pPr>
      <w:r w:rsidRPr="002D212A">
        <w:rPr>
          <w:rFonts w:eastAsia="Times New Roman" w:cs="Arial"/>
          <w:color w:val="000000"/>
          <w:lang w:eastAsia="bg-BG"/>
        </w:rPr>
        <w:t xml:space="preserve">Изпълнителна агенция по лекарствата ул. „Дамян Груев” № 8 </w:t>
      </w:r>
      <w:r w:rsidRPr="002D212A">
        <w:rPr>
          <w:rFonts w:eastAsia="Times New Roman" w:cs="Arial"/>
          <w:i/>
          <w:iCs/>
          <w:color w:val="000000"/>
          <w:lang w:eastAsia="bg-BG"/>
        </w:rPr>
        <w:t>1303</w:t>
      </w:r>
      <w:r w:rsidRPr="002D212A">
        <w:rPr>
          <w:rFonts w:eastAsia="Times New Roman" w:cs="Arial"/>
          <w:color w:val="000000"/>
          <w:lang w:eastAsia="bg-BG"/>
        </w:rPr>
        <w:t xml:space="preserve"> София тел.:+359 2 8903417 уебсайт: </w:t>
      </w:r>
      <w:r w:rsidRPr="002D212A">
        <w:rPr>
          <w:rFonts w:eastAsia="Times New Roman" w:cs="Arial"/>
          <w:lang w:eastAsia="bg-BG"/>
        </w:rPr>
        <w:fldChar w:fldCharType="begin"/>
      </w:r>
      <w:r w:rsidRPr="002D212A">
        <w:rPr>
          <w:rFonts w:eastAsia="Times New Roman" w:cs="Arial"/>
          <w:lang w:eastAsia="bg-BG"/>
        </w:rPr>
        <w:instrText xml:space="preserve"> HYPERLINK "http://www.bda.bg" </w:instrText>
      </w:r>
      <w:r w:rsidRPr="002D212A">
        <w:rPr>
          <w:rFonts w:eastAsia="Times New Roman" w:cs="Arial"/>
          <w:lang w:eastAsia="bg-BG"/>
        </w:rPr>
      </w:r>
      <w:r w:rsidRPr="002D212A">
        <w:rPr>
          <w:rFonts w:eastAsia="Times New Roman" w:cs="Arial"/>
          <w:lang w:eastAsia="bg-BG"/>
        </w:rPr>
        <w:fldChar w:fldCharType="separate"/>
      </w:r>
      <w:r w:rsidRPr="002D212A">
        <w:rPr>
          <w:rFonts w:eastAsia="Times New Roman" w:cs="Arial"/>
          <w:color w:val="000000"/>
          <w:u w:val="single"/>
          <w:lang w:val="en-US"/>
        </w:rPr>
        <w:t>www.bda.bg</w:t>
      </w:r>
      <w:r w:rsidRPr="002D212A">
        <w:rPr>
          <w:rFonts w:eastAsia="Times New Roman" w:cs="Arial"/>
          <w:lang w:eastAsia="bg-BG"/>
        </w:rPr>
        <w:fldChar w:fldCharType="end"/>
      </w:r>
    </w:p>
    <w:p w14:paraId="17C2006D" w14:textId="77777777" w:rsidR="002D212A" w:rsidRPr="002D212A" w:rsidRDefault="002D212A" w:rsidP="002D212A">
      <w:pPr>
        <w:spacing w:line="240" w:lineRule="auto"/>
        <w:rPr>
          <w:rFonts w:ascii="Times New Roman" w:eastAsia="Times New Roman" w:hAnsi="Times New Roman" w:cs="Times New Roman"/>
          <w:sz w:val="24"/>
          <w:szCs w:val="24"/>
          <w:lang w:eastAsia="bg-BG"/>
        </w:rPr>
      </w:pPr>
    </w:p>
    <w:p w14:paraId="378A0F20" w14:textId="65582394" w:rsidR="001D095A" w:rsidRDefault="002C50EE" w:rsidP="00340E8D">
      <w:pPr>
        <w:pStyle w:val="Heading2"/>
      </w:pPr>
      <w:r>
        <w:t>4.9. Предозиране</w:t>
      </w:r>
    </w:p>
    <w:p w14:paraId="67E45DC0" w14:textId="77777777" w:rsidR="002D212A" w:rsidRDefault="002D212A" w:rsidP="002D212A"/>
    <w:p w14:paraId="3A97B80E" w14:textId="60DE7E9A" w:rsidR="002D212A" w:rsidRPr="002D212A" w:rsidRDefault="002D212A" w:rsidP="002D212A">
      <w:pPr>
        <w:rPr>
          <w:sz w:val="24"/>
          <w:szCs w:val="24"/>
          <w:lang w:eastAsia="bg-BG"/>
        </w:rPr>
      </w:pPr>
      <w:r w:rsidRPr="002D212A">
        <w:rPr>
          <w:lang w:eastAsia="bg-BG"/>
        </w:rPr>
        <w:t>Досега няма опит с предозиране на Джаз. На базата на общия опит с комбинирани перорални контрацептиви, симптомите, които обикновено могат да се появят, включват: гадене, повръщане и отпадне кървене. Отпадното кървене може да се прояви дори при момичета преди менархе, ако случайно приемат лекарствения продукт. Няма антидот и допълнителното лечение следва да бъде симптоматично.</w:t>
      </w:r>
    </w:p>
    <w:p w14:paraId="02081B24" w14:textId="36FE76F4" w:rsidR="00395555" w:rsidRPr="00395555" w:rsidRDefault="002C50EE" w:rsidP="008A6AF2">
      <w:pPr>
        <w:pStyle w:val="Heading1"/>
      </w:pPr>
      <w:r>
        <w:t>5. ФАРМАКОЛОГИЧНИ СВОЙСТВА</w:t>
      </w:r>
    </w:p>
    <w:p w14:paraId="7F6CC5E1" w14:textId="38E92AEC" w:rsidR="00F62E44" w:rsidRDefault="002C50EE" w:rsidP="00387A66">
      <w:pPr>
        <w:pStyle w:val="Heading2"/>
      </w:pPr>
      <w:r>
        <w:t>5.1. Фармакодинамични свойства</w:t>
      </w:r>
    </w:p>
    <w:p w14:paraId="26FFE398" w14:textId="77777777" w:rsidR="002D212A" w:rsidRDefault="002D212A" w:rsidP="002D212A"/>
    <w:p w14:paraId="29BE094B" w14:textId="77777777" w:rsidR="00243085" w:rsidRPr="00243085" w:rsidRDefault="00243085" w:rsidP="00243085">
      <w:pPr>
        <w:spacing w:line="240" w:lineRule="auto"/>
        <w:rPr>
          <w:rFonts w:eastAsia="Times New Roman" w:cs="Arial"/>
          <w:sz w:val="24"/>
          <w:szCs w:val="24"/>
          <w:lang w:eastAsia="bg-BG"/>
        </w:rPr>
      </w:pPr>
      <w:r w:rsidRPr="00243085">
        <w:rPr>
          <w:rFonts w:eastAsia="Times New Roman" w:cs="Arial"/>
          <w:color w:val="000000"/>
          <w:lang w:eastAsia="bg-BG"/>
        </w:rPr>
        <w:t xml:space="preserve">Фармакотерапевтична група (АТС): прогестогени и естрогени, фиксирани комбинации, АТС код: </w:t>
      </w:r>
      <w:r w:rsidRPr="00243085">
        <w:rPr>
          <w:rFonts w:eastAsia="Times New Roman" w:cs="Arial"/>
          <w:color w:val="000000"/>
          <w:lang w:val="en-US"/>
        </w:rPr>
        <w:t>G03AA12.</w:t>
      </w:r>
    </w:p>
    <w:p w14:paraId="29C26513" w14:textId="77777777" w:rsidR="00243085" w:rsidRPr="00243085" w:rsidRDefault="00243085" w:rsidP="00243085">
      <w:pPr>
        <w:spacing w:line="240" w:lineRule="auto"/>
        <w:rPr>
          <w:rFonts w:eastAsia="Times New Roman" w:cs="Arial"/>
          <w:color w:val="000000"/>
          <w:lang w:eastAsia="bg-BG"/>
        </w:rPr>
      </w:pPr>
    </w:p>
    <w:p w14:paraId="7A775304" w14:textId="030674FB" w:rsidR="00243085" w:rsidRPr="00243085" w:rsidRDefault="00243085" w:rsidP="00243085">
      <w:pPr>
        <w:spacing w:line="240" w:lineRule="auto"/>
        <w:rPr>
          <w:rFonts w:eastAsia="Times New Roman" w:cs="Arial"/>
          <w:sz w:val="24"/>
          <w:szCs w:val="24"/>
          <w:lang w:eastAsia="bg-BG"/>
        </w:rPr>
      </w:pPr>
      <w:r w:rsidRPr="00243085">
        <w:rPr>
          <w:rFonts w:eastAsia="Times New Roman" w:cs="Arial"/>
          <w:color w:val="000000"/>
          <w:lang w:eastAsia="bg-BG"/>
        </w:rPr>
        <w:t xml:space="preserve">Индекс на </w:t>
      </w:r>
      <w:r w:rsidRPr="00243085">
        <w:rPr>
          <w:rFonts w:eastAsia="Times New Roman" w:cs="Arial"/>
          <w:color w:val="000000"/>
          <w:lang w:val="en-US"/>
        </w:rPr>
        <w:t xml:space="preserve">Pearl </w:t>
      </w:r>
      <w:r w:rsidRPr="00243085">
        <w:rPr>
          <w:rFonts w:eastAsia="Times New Roman" w:cs="Arial"/>
          <w:color w:val="000000"/>
          <w:lang w:eastAsia="bg-BG"/>
        </w:rPr>
        <w:t>за неуспех на метода: 0,41 (горен двустранен 95 % доверителен интервал: 0,85).</w:t>
      </w:r>
    </w:p>
    <w:p w14:paraId="4EB8B950" w14:textId="77777777" w:rsidR="00243085" w:rsidRPr="00243085" w:rsidRDefault="00243085" w:rsidP="00243085">
      <w:pPr>
        <w:spacing w:line="240" w:lineRule="auto"/>
        <w:rPr>
          <w:rFonts w:eastAsia="Times New Roman" w:cs="Arial"/>
          <w:sz w:val="24"/>
          <w:szCs w:val="24"/>
          <w:lang w:eastAsia="bg-BG"/>
        </w:rPr>
      </w:pPr>
      <w:r w:rsidRPr="00243085">
        <w:rPr>
          <w:rFonts w:eastAsia="Times New Roman" w:cs="Arial"/>
          <w:color w:val="000000"/>
          <w:lang w:eastAsia="bg-BG"/>
        </w:rPr>
        <w:t xml:space="preserve">Общ индекс на </w:t>
      </w:r>
      <w:r w:rsidRPr="00243085">
        <w:rPr>
          <w:rFonts w:eastAsia="Times New Roman" w:cs="Arial"/>
          <w:color w:val="000000"/>
          <w:lang w:val="en-US"/>
        </w:rPr>
        <w:t xml:space="preserve">Pearl </w:t>
      </w:r>
      <w:r w:rsidRPr="00243085">
        <w:rPr>
          <w:rFonts w:eastAsia="Times New Roman" w:cs="Arial"/>
          <w:color w:val="000000"/>
          <w:lang w:eastAsia="bg-BG"/>
        </w:rPr>
        <w:t>(неуспех на метода + неуспех на пациента): 0,80 (горен двустранен 95 % доверителен интервал: 1,30).</w:t>
      </w:r>
    </w:p>
    <w:p w14:paraId="75DC5CA2" w14:textId="77777777" w:rsidR="00243085" w:rsidRPr="00243085" w:rsidRDefault="00243085" w:rsidP="00243085">
      <w:pPr>
        <w:spacing w:line="240" w:lineRule="auto"/>
        <w:rPr>
          <w:rFonts w:eastAsia="Times New Roman" w:cs="Arial"/>
          <w:color w:val="000000"/>
          <w:lang w:eastAsia="bg-BG"/>
        </w:rPr>
      </w:pPr>
    </w:p>
    <w:p w14:paraId="1FAA0B74" w14:textId="66B62CAA" w:rsidR="00243085" w:rsidRPr="00243085" w:rsidRDefault="00243085" w:rsidP="00243085">
      <w:pPr>
        <w:spacing w:line="240" w:lineRule="auto"/>
        <w:rPr>
          <w:rFonts w:eastAsia="Times New Roman" w:cs="Arial"/>
          <w:sz w:val="24"/>
          <w:szCs w:val="24"/>
          <w:lang w:eastAsia="bg-BG"/>
        </w:rPr>
      </w:pPr>
      <w:r w:rsidRPr="00243085">
        <w:rPr>
          <w:rFonts w:eastAsia="Times New Roman" w:cs="Arial"/>
          <w:color w:val="000000"/>
          <w:lang w:eastAsia="bg-BG"/>
        </w:rPr>
        <w:t>Контрацептивният ефект на Джаз се определя от взаимодействието на различни фактори, най- важните от които са потискане на овулацията и промени в ендометриума.</w:t>
      </w:r>
    </w:p>
    <w:p w14:paraId="5A95F9FA" w14:textId="77777777" w:rsidR="00243085" w:rsidRPr="00243085" w:rsidRDefault="00243085" w:rsidP="00243085">
      <w:pPr>
        <w:spacing w:line="240" w:lineRule="auto"/>
        <w:rPr>
          <w:rFonts w:eastAsia="Times New Roman" w:cs="Arial"/>
          <w:color w:val="000000"/>
          <w:lang w:eastAsia="bg-BG"/>
        </w:rPr>
      </w:pPr>
    </w:p>
    <w:p w14:paraId="59862F5D" w14:textId="21DA9BC1" w:rsidR="00243085" w:rsidRPr="00243085" w:rsidRDefault="00243085" w:rsidP="00243085">
      <w:pPr>
        <w:spacing w:line="240" w:lineRule="auto"/>
        <w:rPr>
          <w:rFonts w:eastAsia="Times New Roman" w:cs="Arial"/>
          <w:sz w:val="24"/>
          <w:szCs w:val="24"/>
          <w:lang w:eastAsia="bg-BG"/>
        </w:rPr>
      </w:pPr>
      <w:r w:rsidRPr="00243085">
        <w:rPr>
          <w:rFonts w:eastAsia="Times New Roman" w:cs="Arial"/>
          <w:color w:val="000000"/>
          <w:lang w:eastAsia="bg-BG"/>
        </w:rPr>
        <w:t xml:space="preserve">При 3-циклично проучване за инхибиране на овулацията сравняващо дроспиренон 3 </w:t>
      </w:r>
      <w:r w:rsidRPr="00243085">
        <w:rPr>
          <w:rFonts w:eastAsia="Times New Roman" w:cs="Arial"/>
          <w:color w:val="000000"/>
          <w:lang w:val="en-US"/>
        </w:rPr>
        <w:t xml:space="preserve">mg/ </w:t>
      </w:r>
      <w:r w:rsidRPr="00243085">
        <w:rPr>
          <w:rFonts w:eastAsia="Times New Roman" w:cs="Arial"/>
          <w:color w:val="000000"/>
          <w:lang w:eastAsia="bg-BG"/>
        </w:rPr>
        <w:t xml:space="preserve">етинилестрадиол 0,020 </w:t>
      </w:r>
      <w:r w:rsidRPr="00243085">
        <w:rPr>
          <w:rFonts w:eastAsia="Times New Roman" w:cs="Arial"/>
          <w:color w:val="000000"/>
          <w:lang w:val="en-US"/>
        </w:rPr>
        <w:t xml:space="preserve">mg </w:t>
      </w:r>
      <w:r w:rsidRPr="00243085">
        <w:rPr>
          <w:rFonts w:eastAsia="Times New Roman" w:cs="Arial"/>
          <w:color w:val="000000"/>
          <w:lang w:eastAsia="bg-BG"/>
        </w:rPr>
        <w:t>в 24-дневен режим и 21-дневен режим, 24-дневният режим се свързва с по- голямо потискане на фоликулярното развитие. След като преднамерено се въвежда грешно дозиране по време на третия цикъл на лечение, по-голямата част от жените в 21-дневния режим показат активност на яйчниците, включително спонтанни овулации, в сравнение с жените приемащи в 24- дневния режим. Активността на яйчниците се възвръща до нивата от преди лечението по време на цикъла след лечението при 91,8% от жените, взели участие в 24-дневния режим.</w:t>
      </w:r>
    </w:p>
    <w:p w14:paraId="162A3BD1" w14:textId="77777777" w:rsidR="00243085" w:rsidRPr="00243085" w:rsidRDefault="00243085" w:rsidP="00243085">
      <w:pPr>
        <w:spacing w:line="240" w:lineRule="auto"/>
        <w:rPr>
          <w:rFonts w:eastAsia="Times New Roman" w:cs="Arial"/>
          <w:color w:val="000000"/>
          <w:lang w:eastAsia="bg-BG"/>
        </w:rPr>
      </w:pPr>
    </w:p>
    <w:p w14:paraId="0BD3F4E8" w14:textId="46A3D4DF" w:rsidR="00243085" w:rsidRPr="00243085" w:rsidRDefault="00243085" w:rsidP="00243085">
      <w:pPr>
        <w:spacing w:line="240" w:lineRule="auto"/>
        <w:rPr>
          <w:rFonts w:eastAsia="Times New Roman" w:cs="Arial"/>
          <w:sz w:val="24"/>
          <w:szCs w:val="24"/>
          <w:lang w:eastAsia="bg-BG"/>
        </w:rPr>
      </w:pPr>
      <w:r w:rsidRPr="00243085">
        <w:rPr>
          <w:rFonts w:eastAsia="Times New Roman" w:cs="Arial"/>
          <w:color w:val="000000"/>
          <w:lang w:eastAsia="bg-BG"/>
        </w:rPr>
        <w:t>Джаз е комбиниран перорален контрацептив с етинилестрадиол и прогестогена дроспиренон. В терапевтични дози дроспиренон има и антиандрогенни и леки антиминералкортикоидни свойства. Той няма естрогенна, глюкокориткоидна и антиглюкокортикоидна активност. Така, фармакологичният профил на дроспиренон силно наподобява на естествения хормон прогестоген.</w:t>
      </w:r>
    </w:p>
    <w:p w14:paraId="5D670DE5" w14:textId="77777777" w:rsidR="00243085" w:rsidRPr="00243085" w:rsidRDefault="00243085" w:rsidP="00243085">
      <w:pPr>
        <w:spacing w:line="240" w:lineRule="auto"/>
        <w:rPr>
          <w:rFonts w:eastAsia="Times New Roman" w:cs="Arial"/>
          <w:sz w:val="24"/>
          <w:szCs w:val="24"/>
          <w:lang w:eastAsia="bg-BG"/>
        </w:rPr>
      </w:pPr>
      <w:r w:rsidRPr="00243085">
        <w:rPr>
          <w:rFonts w:eastAsia="Times New Roman" w:cs="Arial"/>
          <w:color w:val="000000"/>
          <w:lang w:eastAsia="bg-BG"/>
        </w:rPr>
        <w:lastRenderedPageBreak/>
        <w:t>От проведените клинични изпитвания има индикации, че слабите антиминералкортикоидни свойства на Джаз водят до лек антииминералкортикоиден ефект.</w:t>
      </w:r>
    </w:p>
    <w:p w14:paraId="10DCBC0A" w14:textId="77777777" w:rsidR="00243085" w:rsidRPr="00243085" w:rsidRDefault="00243085" w:rsidP="00243085">
      <w:pPr>
        <w:spacing w:line="240" w:lineRule="auto"/>
        <w:rPr>
          <w:rFonts w:eastAsia="Times New Roman" w:cs="Arial"/>
          <w:color w:val="000000"/>
          <w:lang w:eastAsia="bg-BG"/>
        </w:rPr>
      </w:pPr>
    </w:p>
    <w:p w14:paraId="558CEB13" w14:textId="1D98FADD" w:rsidR="00243085" w:rsidRPr="00243085" w:rsidRDefault="00243085" w:rsidP="00243085">
      <w:pPr>
        <w:spacing w:line="240" w:lineRule="auto"/>
        <w:rPr>
          <w:rFonts w:eastAsia="Times New Roman" w:cs="Arial"/>
          <w:sz w:val="24"/>
          <w:szCs w:val="24"/>
          <w:lang w:eastAsia="bg-BG"/>
        </w:rPr>
      </w:pPr>
      <w:r w:rsidRPr="00243085">
        <w:rPr>
          <w:rFonts w:eastAsia="Times New Roman" w:cs="Arial"/>
          <w:color w:val="000000"/>
          <w:lang w:eastAsia="bg-BG"/>
        </w:rPr>
        <w:t xml:space="preserve">Две многоцентрови, двойно слепи, рандомизирани, плацебо контролирани проучвания бяха проведени, за да покажат ефикасността и безопасността на Джаз при жени с умерено акне вулгарис </w:t>
      </w:r>
      <w:r w:rsidRPr="00243085">
        <w:rPr>
          <w:rFonts w:eastAsia="Times New Roman" w:cs="Arial"/>
          <w:color w:val="000000"/>
          <w:lang w:val="en-US"/>
        </w:rPr>
        <w:t>(acne vulgaris).</w:t>
      </w:r>
    </w:p>
    <w:p w14:paraId="06931C8F" w14:textId="77777777" w:rsidR="00243085" w:rsidRPr="00243085" w:rsidRDefault="00243085" w:rsidP="00243085">
      <w:pPr>
        <w:spacing w:line="240" w:lineRule="auto"/>
        <w:rPr>
          <w:rFonts w:eastAsia="Times New Roman" w:cs="Arial"/>
          <w:color w:val="000000"/>
          <w:lang w:eastAsia="bg-BG"/>
        </w:rPr>
      </w:pPr>
    </w:p>
    <w:p w14:paraId="1A230C6D" w14:textId="7F26979B" w:rsidR="00243085" w:rsidRPr="00243085" w:rsidRDefault="00243085" w:rsidP="00243085">
      <w:pPr>
        <w:spacing w:line="240" w:lineRule="auto"/>
        <w:rPr>
          <w:rFonts w:eastAsia="Times New Roman" w:cs="Arial"/>
          <w:sz w:val="24"/>
          <w:szCs w:val="24"/>
          <w:lang w:eastAsia="bg-BG"/>
        </w:rPr>
      </w:pPr>
      <w:r w:rsidRPr="00243085">
        <w:rPr>
          <w:rFonts w:eastAsia="Times New Roman" w:cs="Arial"/>
          <w:color w:val="000000"/>
          <w:lang w:eastAsia="bg-BG"/>
        </w:rPr>
        <w:t xml:space="preserve">След 6 месеца в сравнение с плацебо, Джаз показа статистически и клинично значимо намаление на възпалителните лезии от 15,6% (49,3% срещу 33,7%), на не възпалителните лезии от 18,5% (40,6% срещу 22,1%) и на общия брой лезии от 16,5% (44,6% срещу 28,1%). В допълнение, по-голям процент индивиди бяха с оценка ‘чист’ или ‘почти чист’ по скалата </w:t>
      </w:r>
      <w:r w:rsidRPr="00243085">
        <w:rPr>
          <w:rFonts w:eastAsia="Times New Roman" w:cs="Arial"/>
          <w:color w:val="000000"/>
          <w:lang w:val="en-US"/>
        </w:rPr>
        <w:t xml:space="preserve">Investigator’s Stated Global Assessment (ISGA), 11,8% (18,6% </w:t>
      </w:r>
      <w:r w:rsidRPr="00243085">
        <w:rPr>
          <w:rFonts w:eastAsia="Times New Roman" w:cs="Arial"/>
          <w:color w:val="000000"/>
          <w:lang w:eastAsia="bg-BG"/>
        </w:rPr>
        <w:t xml:space="preserve">срещу </w:t>
      </w:r>
      <w:r w:rsidRPr="00243085">
        <w:rPr>
          <w:rFonts w:eastAsia="Times New Roman" w:cs="Arial"/>
          <w:color w:val="000000"/>
          <w:lang w:val="en-US"/>
        </w:rPr>
        <w:t>6,8%).</w:t>
      </w:r>
    </w:p>
    <w:p w14:paraId="23536392" w14:textId="77777777" w:rsidR="002D212A" w:rsidRPr="002D212A" w:rsidRDefault="002D212A" w:rsidP="002D212A"/>
    <w:p w14:paraId="544FFDAF" w14:textId="64206E42" w:rsidR="00F62E44" w:rsidRDefault="002C50EE" w:rsidP="00387A66">
      <w:pPr>
        <w:pStyle w:val="Heading2"/>
      </w:pPr>
      <w:r>
        <w:t>5.2. Фармакокинетични свойства</w:t>
      </w:r>
    </w:p>
    <w:p w14:paraId="3F97E109" w14:textId="77777777" w:rsidR="00243085" w:rsidRDefault="00243085" w:rsidP="00243085"/>
    <w:p w14:paraId="47DCDF00" w14:textId="3DCF7EF5" w:rsidR="00243085" w:rsidRPr="00243085" w:rsidRDefault="00243085" w:rsidP="00243085">
      <w:pPr>
        <w:pStyle w:val="ListParagraph"/>
        <w:numPr>
          <w:ilvl w:val="0"/>
          <w:numId w:val="48"/>
        </w:numPr>
        <w:spacing w:line="240" w:lineRule="auto"/>
        <w:rPr>
          <w:rFonts w:eastAsia="Times New Roman" w:cs="Arial"/>
          <w:lang w:eastAsia="bg-BG"/>
        </w:rPr>
      </w:pPr>
      <w:r w:rsidRPr="00243085">
        <w:rPr>
          <w:rFonts w:eastAsia="Times New Roman" w:cs="Arial"/>
          <w:color w:val="000000"/>
          <w:lang w:eastAsia="bg-BG"/>
        </w:rPr>
        <w:t>Дроспиренон</w:t>
      </w:r>
    </w:p>
    <w:p w14:paraId="15B142A8" w14:textId="77777777" w:rsidR="00243085" w:rsidRPr="00243085" w:rsidRDefault="00243085" w:rsidP="00243085">
      <w:pPr>
        <w:spacing w:line="240" w:lineRule="auto"/>
        <w:rPr>
          <w:rFonts w:eastAsia="Times New Roman" w:cs="Arial"/>
          <w:color w:val="000000"/>
          <w:u w:val="single"/>
          <w:lang w:eastAsia="bg-BG"/>
        </w:rPr>
      </w:pPr>
    </w:p>
    <w:p w14:paraId="7F63EB26" w14:textId="42F6EB64" w:rsidR="00243085" w:rsidRPr="00243085" w:rsidRDefault="00243085" w:rsidP="00243085">
      <w:pPr>
        <w:spacing w:line="240" w:lineRule="auto"/>
        <w:rPr>
          <w:rFonts w:eastAsia="Times New Roman" w:cs="Arial"/>
          <w:lang w:eastAsia="bg-BG"/>
        </w:rPr>
      </w:pPr>
      <w:r w:rsidRPr="00243085">
        <w:rPr>
          <w:rFonts w:eastAsia="Times New Roman" w:cs="Arial"/>
          <w:color w:val="000000"/>
          <w:u w:val="single"/>
          <w:lang w:eastAsia="bg-BG"/>
        </w:rPr>
        <w:t>Абсорбция</w:t>
      </w:r>
    </w:p>
    <w:p w14:paraId="3741088A" w14:textId="77777777" w:rsidR="00243085" w:rsidRPr="00243085" w:rsidRDefault="00243085" w:rsidP="00243085">
      <w:pPr>
        <w:spacing w:line="240" w:lineRule="auto"/>
        <w:rPr>
          <w:rFonts w:eastAsia="Times New Roman" w:cs="Arial"/>
          <w:color w:val="000000"/>
          <w:lang w:eastAsia="bg-BG"/>
        </w:rPr>
      </w:pPr>
      <w:r w:rsidRPr="00243085">
        <w:rPr>
          <w:rFonts w:eastAsia="Times New Roman" w:cs="Arial"/>
          <w:color w:val="000000"/>
          <w:lang w:eastAsia="bg-BG"/>
        </w:rPr>
        <w:t xml:space="preserve">Перорално прилаганият дроспиренон се абсорбира бързо и почти напълно. Максимална концентрация на активното вещество в серума от около 38 </w:t>
      </w:r>
      <w:r w:rsidRPr="00243085">
        <w:rPr>
          <w:rFonts w:eastAsia="Times New Roman" w:cs="Arial"/>
          <w:color w:val="000000"/>
          <w:lang w:val="en-US"/>
        </w:rPr>
        <w:t xml:space="preserve">ng/ml </w:t>
      </w:r>
      <w:r w:rsidRPr="00243085">
        <w:rPr>
          <w:rFonts w:eastAsia="Times New Roman" w:cs="Arial"/>
          <w:color w:val="000000"/>
          <w:lang w:eastAsia="bg-BG"/>
        </w:rPr>
        <w:t>се достига за около 1-2 часа след еднократен прием. Бионаличността е между 76 и 85 %. Едновременният прием с храна не повлиява бионаличността на дроспиренон.</w:t>
      </w:r>
    </w:p>
    <w:p w14:paraId="6E037C0D" w14:textId="77777777" w:rsidR="00243085" w:rsidRPr="00243085" w:rsidRDefault="00243085" w:rsidP="00243085">
      <w:pPr>
        <w:spacing w:line="240" w:lineRule="auto"/>
        <w:rPr>
          <w:rFonts w:eastAsia="Times New Roman" w:cs="Arial"/>
          <w:color w:val="000000"/>
          <w:lang w:eastAsia="bg-BG"/>
        </w:rPr>
      </w:pPr>
    </w:p>
    <w:p w14:paraId="6061A729" w14:textId="77777777" w:rsidR="00243085" w:rsidRPr="00243085" w:rsidRDefault="00243085" w:rsidP="00243085">
      <w:pPr>
        <w:spacing w:line="240" w:lineRule="auto"/>
        <w:rPr>
          <w:rFonts w:eastAsia="Times New Roman" w:cs="Arial"/>
          <w:lang w:eastAsia="bg-BG"/>
        </w:rPr>
      </w:pPr>
      <w:r w:rsidRPr="00243085">
        <w:rPr>
          <w:rFonts w:eastAsia="Times New Roman" w:cs="Arial"/>
          <w:color w:val="000000"/>
          <w:u w:val="single"/>
          <w:lang w:eastAsia="bg-BG"/>
        </w:rPr>
        <w:t>Разпределение</w:t>
      </w:r>
    </w:p>
    <w:p w14:paraId="1D56BA12" w14:textId="77777777" w:rsidR="00243085" w:rsidRPr="00243085" w:rsidRDefault="00243085" w:rsidP="00243085">
      <w:pPr>
        <w:spacing w:line="240" w:lineRule="auto"/>
        <w:rPr>
          <w:rFonts w:eastAsia="Times New Roman" w:cs="Arial"/>
          <w:lang w:eastAsia="bg-BG"/>
        </w:rPr>
      </w:pPr>
      <w:r w:rsidRPr="00243085">
        <w:rPr>
          <w:rFonts w:eastAsia="Times New Roman" w:cs="Arial"/>
          <w:color w:val="000000"/>
          <w:lang w:eastAsia="bg-BG"/>
        </w:rPr>
        <w:t xml:space="preserve">След перорално приложение, серумните нива на дроспиренон спадат с терминален полуживот от 31 часа. Дроспиренон се свързва със серумния албумин и не се свързва със полов хормон свързващия глобулин </w:t>
      </w:r>
      <w:r w:rsidRPr="00243085">
        <w:rPr>
          <w:rFonts w:eastAsia="Times New Roman" w:cs="Arial"/>
          <w:color w:val="000000"/>
          <w:lang w:val="en-US"/>
        </w:rPr>
        <w:t xml:space="preserve">(SHBG) </w:t>
      </w:r>
      <w:r w:rsidRPr="00243085">
        <w:rPr>
          <w:rFonts w:eastAsia="Times New Roman" w:cs="Arial"/>
          <w:color w:val="000000"/>
          <w:lang w:eastAsia="bg-BG"/>
        </w:rPr>
        <w:t xml:space="preserve">или кортикоид свързващия глобулин </w:t>
      </w:r>
      <w:r w:rsidRPr="00243085">
        <w:rPr>
          <w:rFonts w:eastAsia="Times New Roman" w:cs="Arial"/>
          <w:color w:val="000000"/>
          <w:lang w:val="en-US"/>
        </w:rPr>
        <w:t xml:space="preserve">(CBG). </w:t>
      </w:r>
      <w:r w:rsidRPr="00243085">
        <w:rPr>
          <w:rFonts w:eastAsia="Times New Roman" w:cs="Arial"/>
          <w:color w:val="000000"/>
          <w:lang w:eastAsia="bg-BG"/>
        </w:rPr>
        <w:t xml:space="preserve">Само 3 - 5 % от общите серумни концентрации на активното вещество се откриват като свободен стероид. Индуцирането от етинилестрадиол повишение на </w:t>
      </w:r>
      <w:r w:rsidRPr="00243085">
        <w:rPr>
          <w:rFonts w:eastAsia="Times New Roman" w:cs="Arial"/>
          <w:color w:val="000000"/>
          <w:lang w:val="en-US"/>
        </w:rPr>
        <w:t xml:space="preserve">SHBG </w:t>
      </w:r>
      <w:r w:rsidRPr="00243085">
        <w:rPr>
          <w:rFonts w:eastAsia="Times New Roman" w:cs="Arial"/>
          <w:color w:val="000000"/>
          <w:lang w:eastAsia="bg-BG"/>
        </w:rPr>
        <w:t xml:space="preserve">не повлиява на свързването на дроспиренон със серумния протеин. Средният обем на разпределение на дроспиренон е 3,7 ±1,2 </w:t>
      </w:r>
      <w:r w:rsidRPr="00243085">
        <w:rPr>
          <w:rFonts w:eastAsia="Times New Roman" w:cs="Arial"/>
          <w:color w:val="000000"/>
          <w:lang w:val="en-US"/>
        </w:rPr>
        <w:t>l/kg.</w:t>
      </w:r>
    </w:p>
    <w:p w14:paraId="60FACECA" w14:textId="77777777" w:rsidR="00243085" w:rsidRPr="00243085" w:rsidRDefault="00243085" w:rsidP="00243085">
      <w:pPr>
        <w:spacing w:line="240" w:lineRule="auto"/>
        <w:rPr>
          <w:rFonts w:eastAsia="Times New Roman" w:cs="Arial"/>
          <w:color w:val="000000"/>
          <w:u w:val="single"/>
          <w:lang w:eastAsia="bg-BG"/>
        </w:rPr>
      </w:pPr>
    </w:p>
    <w:p w14:paraId="232D06C7" w14:textId="5C37BA81" w:rsidR="00243085" w:rsidRPr="00243085" w:rsidRDefault="00243085" w:rsidP="00243085">
      <w:pPr>
        <w:spacing w:line="240" w:lineRule="auto"/>
        <w:rPr>
          <w:rFonts w:eastAsia="Times New Roman" w:cs="Arial"/>
          <w:lang w:eastAsia="bg-BG"/>
        </w:rPr>
      </w:pPr>
      <w:r w:rsidRPr="00243085">
        <w:rPr>
          <w:rFonts w:eastAsia="Times New Roman" w:cs="Arial"/>
          <w:color w:val="000000"/>
          <w:u w:val="single"/>
          <w:lang w:eastAsia="bg-BG"/>
        </w:rPr>
        <w:t>Биотрансформация</w:t>
      </w:r>
    </w:p>
    <w:p w14:paraId="1169C9A7" w14:textId="77777777" w:rsidR="00243085" w:rsidRPr="00243085" w:rsidRDefault="00243085" w:rsidP="00243085">
      <w:pPr>
        <w:spacing w:line="240" w:lineRule="auto"/>
        <w:rPr>
          <w:rFonts w:eastAsia="Times New Roman" w:cs="Arial"/>
          <w:lang w:eastAsia="bg-BG"/>
        </w:rPr>
      </w:pPr>
      <w:r w:rsidRPr="00243085">
        <w:rPr>
          <w:rFonts w:eastAsia="Times New Roman" w:cs="Arial"/>
          <w:color w:val="000000"/>
          <w:lang w:eastAsia="bg-BG"/>
        </w:rPr>
        <w:t xml:space="preserve">След перорален прием, дроспиренон се метаболизира екстензивно. Основните метаболити </w:t>
      </w:r>
      <w:r w:rsidRPr="00243085">
        <w:rPr>
          <w:rFonts w:eastAsia="Times New Roman" w:cs="Arial"/>
          <w:i/>
          <w:iCs/>
          <w:color w:val="000000"/>
          <w:lang w:eastAsia="bg-BG"/>
        </w:rPr>
        <w:t>в</w:t>
      </w:r>
      <w:r w:rsidRPr="00243085">
        <w:rPr>
          <w:rFonts w:eastAsia="Times New Roman" w:cs="Arial"/>
          <w:color w:val="000000"/>
          <w:lang w:eastAsia="bg-BG"/>
        </w:rPr>
        <w:t xml:space="preserve"> плазмата са киселата форма на дроспиренон, генерирана при отваряне на лактонния пръстен, и 4,5-дихидро- дроспиренон-3-сулфат, образуван чрез редукция и последващо сулфитиране. Дроспиренон също така е подложен на оксидативен метаболизъм, катализиран от </w:t>
      </w:r>
      <w:r w:rsidRPr="00243085">
        <w:rPr>
          <w:rFonts w:eastAsia="Times New Roman" w:cs="Arial"/>
          <w:color w:val="000000"/>
          <w:lang w:val="en-US"/>
        </w:rPr>
        <w:t>CYP3A4.</w:t>
      </w:r>
    </w:p>
    <w:p w14:paraId="2269B87A" w14:textId="77777777" w:rsidR="00243085" w:rsidRPr="00243085" w:rsidRDefault="00243085" w:rsidP="00243085">
      <w:pPr>
        <w:spacing w:line="240" w:lineRule="auto"/>
        <w:rPr>
          <w:rFonts w:eastAsia="Times New Roman" w:cs="Arial"/>
          <w:lang w:eastAsia="bg-BG"/>
        </w:rPr>
      </w:pPr>
      <w:r w:rsidRPr="00243085">
        <w:rPr>
          <w:rFonts w:eastAsia="Times New Roman" w:cs="Arial"/>
          <w:color w:val="000000"/>
          <w:lang w:eastAsia="bg-BG"/>
        </w:rPr>
        <w:t xml:space="preserve">Дроспиренон е в състояние да инхибира слабо до умерено цитохром Р450 ензимите </w:t>
      </w:r>
      <w:r w:rsidRPr="00243085">
        <w:rPr>
          <w:rFonts w:eastAsia="Times New Roman" w:cs="Arial"/>
          <w:color w:val="000000"/>
          <w:lang w:val="en-US"/>
        </w:rPr>
        <w:t xml:space="preserve">CYP1A1, CYP2C9, CYP2C19 </w:t>
      </w:r>
      <w:r w:rsidRPr="00243085">
        <w:rPr>
          <w:rFonts w:eastAsia="Times New Roman" w:cs="Arial"/>
          <w:color w:val="000000"/>
          <w:lang w:eastAsia="bg-BG"/>
        </w:rPr>
        <w:t xml:space="preserve">и </w:t>
      </w:r>
      <w:r w:rsidRPr="00243085">
        <w:rPr>
          <w:rFonts w:eastAsia="Times New Roman" w:cs="Arial"/>
          <w:color w:val="000000"/>
          <w:lang w:val="en-US"/>
        </w:rPr>
        <w:t xml:space="preserve">CYP3A4 </w:t>
      </w:r>
      <w:r w:rsidRPr="00243085">
        <w:rPr>
          <w:rFonts w:eastAsia="Times New Roman" w:cs="Arial"/>
          <w:i/>
          <w:iCs/>
          <w:color w:val="000000"/>
          <w:lang w:val="en-US"/>
        </w:rPr>
        <w:t>in vitro.</w:t>
      </w:r>
    </w:p>
    <w:p w14:paraId="60FC81A5" w14:textId="77777777" w:rsidR="00243085" w:rsidRPr="00243085" w:rsidRDefault="00243085" w:rsidP="00243085">
      <w:pPr>
        <w:spacing w:line="240" w:lineRule="auto"/>
        <w:rPr>
          <w:rFonts w:eastAsia="Times New Roman" w:cs="Arial"/>
          <w:color w:val="000000"/>
          <w:u w:val="single"/>
          <w:lang w:eastAsia="bg-BG"/>
        </w:rPr>
      </w:pPr>
    </w:p>
    <w:p w14:paraId="4CD6EB9F" w14:textId="10DBF2C1" w:rsidR="00243085" w:rsidRPr="00243085" w:rsidRDefault="00243085" w:rsidP="00243085">
      <w:pPr>
        <w:spacing w:line="240" w:lineRule="auto"/>
        <w:rPr>
          <w:rFonts w:eastAsia="Times New Roman" w:cs="Arial"/>
          <w:lang w:eastAsia="bg-BG"/>
        </w:rPr>
      </w:pPr>
      <w:r w:rsidRPr="00243085">
        <w:rPr>
          <w:rFonts w:eastAsia="Times New Roman" w:cs="Arial"/>
          <w:color w:val="000000"/>
          <w:u w:val="single"/>
          <w:lang w:eastAsia="bg-BG"/>
        </w:rPr>
        <w:t>Елиминиране</w:t>
      </w:r>
    </w:p>
    <w:p w14:paraId="6C1A21A7" w14:textId="77777777" w:rsidR="00243085" w:rsidRPr="00243085" w:rsidRDefault="00243085" w:rsidP="00243085">
      <w:pPr>
        <w:spacing w:line="240" w:lineRule="auto"/>
        <w:rPr>
          <w:rFonts w:eastAsia="Times New Roman" w:cs="Arial"/>
          <w:lang w:eastAsia="bg-BG"/>
        </w:rPr>
      </w:pPr>
      <w:r w:rsidRPr="00243085">
        <w:rPr>
          <w:rFonts w:eastAsia="Times New Roman" w:cs="Arial"/>
          <w:color w:val="000000"/>
          <w:lang w:eastAsia="bg-BG"/>
        </w:rPr>
        <w:t xml:space="preserve">Скоростта на метаболитен клирънс на дроспиренон в серума е 1,5 ± 0,2 </w:t>
      </w:r>
      <w:r w:rsidRPr="00243085">
        <w:rPr>
          <w:rFonts w:eastAsia="Times New Roman" w:cs="Arial"/>
          <w:color w:val="000000"/>
          <w:lang w:val="en-US"/>
        </w:rPr>
        <w:t xml:space="preserve">ml/min/kg. </w:t>
      </w:r>
      <w:r w:rsidRPr="00243085">
        <w:rPr>
          <w:rFonts w:eastAsia="Times New Roman" w:cs="Arial"/>
          <w:color w:val="000000"/>
          <w:lang w:eastAsia="bg-BG"/>
        </w:rPr>
        <w:t>Дроспиренон се екскретира само като следи в непроменена форма. Метаболитите на дроспиренон се екскретират с фекалиите и урината при скорост на екскреция от около 1,2 до 1,4. Времето на полуживот на метаболитната екскреция с урината и фекалиите е около 40 часа.</w:t>
      </w:r>
    </w:p>
    <w:p w14:paraId="5F323705" w14:textId="77777777" w:rsidR="00243085" w:rsidRPr="00243085" w:rsidRDefault="00243085" w:rsidP="00243085">
      <w:pPr>
        <w:spacing w:line="240" w:lineRule="auto"/>
        <w:rPr>
          <w:rFonts w:eastAsia="Times New Roman" w:cs="Arial"/>
          <w:color w:val="000000"/>
          <w:u w:val="single"/>
          <w:lang w:eastAsia="bg-BG"/>
        </w:rPr>
      </w:pPr>
    </w:p>
    <w:p w14:paraId="4189FD47" w14:textId="5206853C" w:rsidR="00243085" w:rsidRPr="00243085" w:rsidRDefault="00243085" w:rsidP="00243085">
      <w:pPr>
        <w:spacing w:line="240" w:lineRule="auto"/>
        <w:rPr>
          <w:rFonts w:eastAsia="Times New Roman" w:cs="Arial"/>
          <w:lang w:eastAsia="bg-BG"/>
        </w:rPr>
      </w:pPr>
      <w:r w:rsidRPr="00243085">
        <w:rPr>
          <w:rFonts w:eastAsia="Times New Roman" w:cs="Arial"/>
          <w:color w:val="000000"/>
          <w:u w:val="single"/>
          <w:lang w:eastAsia="bg-BG"/>
        </w:rPr>
        <w:lastRenderedPageBreak/>
        <w:t>Линейност/нелинейност</w:t>
      </w:r>
    </w:p>
    <w:p w14:paraId="65C65F23" w14:textId="77777777" w:rsidR="00243085" w:rsidRPr="00243085" w:rsidRDefault="00243085" w:rsidP="00243085">
      <w:pPr>
        <w:spacing w:line="240" w:lineRule="auto"/>
        <w:rPr>
          <w:rFonts w:eastAsia="Times New Roman" w:cs="Arial"/>
          <w:lang w:eastAsia="bg-BG"/>
        </w:rPr>
      </w:pPr>
      <w:r w:rsidRPr="00243085">
        <w:rPr>
          <w:rFonts w:eastAsia="Times New Roman" w:cs="Arial"/>
          <w:color w:val="000000"/>
          <w:lang w:eastAsia="bg-BG"/>
        </w:rPr>
        <w:t xml:space="preserve">В лечебния цикъл, максимални равновесни концентрации на дроспиренон в серума от около 70 </w:t>
      </w:r>
      <w:r w:rsidRPr="00243085">
        <w:rPr>
          <w:rFonts w:eastAsia="Times New Roman" w:cs="Arial"/>
          <w:color w:val="000000"/>
          <w:lang w:val="en-US"/>
        </w:rPr>
        <w:t xml:space="preserve">ng/ml </w:t>
      </w:r>
      <w:r w:rsidRPr="00243085">
        <w:rPr>
          <w:rFonts w:eastAsia="Times New Roman" w:cs="Arial"/>
          <w:color w:val="000000"/>
          <w:lang w:eastAsia="bg-BG"/>
        </w:rPr>
        <w:t>се достигат след около 8 дни лечение. Нивата на дроспиренон в серума акумулират с фактор от около 3 като следствие от отношението на терминалния полуживот и интервала на дозиране.</w:t>
      </w:r>
    </w:p>
    <w:p w14:paraId="51A336DC" w14:textId="77777777" w:rsidR="00243085" w:rsidRPr="00243085" w:rsidRDefault="00243085" w:rsidP="00243085">
      <w:pPr>
        <w:spacing w:line="240" w:lineRule="auto"/>
        <w:rPr>
          <w:rFonts w:eastAsia="Times New Roman" w:cs="Arial"/>
          <w:color w:val="000000"/>
          <w:u w:val="single"/>
          <w:lang w:eastAsia="bg-BG"/>
        </w:rPr>
      </w:pPr>
    </w:p>
    <w:p w14:paraId="063CB376" w14:textId="2475AE0F" w:rsidR="00243085" w:rsidRPr="00243085" w:rsidRDefault="00243085" w:rsidP="00243085">
      <w:pPr>
        <w:spacing w:line="240" w:lineRule="auto"/>
        <w:rPr>
          <w:rFonts w:eastAsia="Times New Roman" w:cs="Arial"/>
          <w:lang w:eastAsia="bg-BG"/>
        </w:rPr>
      </w:pPr>
      <w:r w:rsidRPr="00243085">
        <w:rPr>
          <w:rFonts w:eastAsia="Times New Roman" w:cs="Arial"/>
          <w:color w:val="000000"/>
          <w:u w:val="single"/>
          <w:lang w:eastAsia="bg-BG"/>
        </w:rPr>
        <w:t>Специални популации</w:t>
      </w:r>
    </w:p>
    <w:p w14:paraId="2D22979F" w14:textId="77777777" w:rsidR="00243085" w:rsidRPr="00243085" w:rsidRDefault="00243085" w:rsidP="00243085">
      <w:pPr>
        <w:spacing w:line="240" w:lineRule="auto"/>
        <w:rPr>
          <w:rFonts w:eastAsia="Times New Roman" w:cs="Arial"/>
          <w:i/>
          <w:iCs/>
          <w:color w:val="000000"/>
          <w:lang w:eastAsia="bg-BG"/>
        </w:rPr>
      </w:pPr>
    </w:p>
    <w:p w14:paraId="61BD5F00" w14:textId="7D7C85B6" w:rsidR="00243085" w:rsidRPr="00243085" w:rsidRDefault="00243085" w:rsidP="00243085">
      <w:pPr>
        <w:spacing w:line="240" w:lineRule="auto"/>
        <w:rPr>
          <w:rFonts w:eastAsia="Times New Roman" w:cs="Arial"/>
          <w:lang w:eastAsia="bg-BG"/>
        </w:rPr>
      </w:pPr>
      <w:r w:rsidRPr="00243085">
        <w:rPr>
          <w:rFonts w:eastAsia="Times New Roman" w:cs="Arial"/>
          <w:i/>
          <w:iCs/>
          <w:color w:val="000000"/>
          <w:lang w:eastAsia="bg-BG"/>
        </w:rPr>
        <w:t>Ефекти при бъбречно увреждане</w:t>
      </w:r>
    </w:p>
    <w:p w14:paraId="38F2787D" w14:textId="77777777" w:rsidR="00243085" w:rsidRPr="00243085" w:rsidRDefault="00243085" w:rsidP="00243085">
      <w:pPr>
        <w:spacing w:line="240" w:lineRule="auto"/>
        <w:rPr>
          <w:rFonts w:eastAsia="Times New Roman" w:cs="Arial"/>
          <w:lang w:eastAsia="bg-BG"/>
        </w:rPr>
      </w:pPr>
      <w:r w:rsidRPr="00243085">
        <w:rPr>
          <w:rFonts w:eastAsia="Times New Roman" w:cs="Arial"/>
          <w:color w:val="000000"/>
          <w:lang w:eastAsia="bg-BG"/>
        </w:rPr>
        <w:t xml:space="preserve">Равновесните нива на дроспиренон в серума при жени с леко бъбречно увреждане (креатининов клирънс </w:t>
      </w:r>
      <w:proofErr w:type="spellStart"/>
      <w:r w:rsidRPr="00243085">
        <w:rPr>
          <w:rFonts w:eastAsia="Times New Roman" w:cs="Arial"/>
          <w:color w:val="000000"/>
          <w:lang w:val="en-US"/>
        </w:rPr>
        <w:t>CLcr</w:t>
      </w:r>
      <w:proofErr w:type="spellEnd"/>
      <w:r w:rsidRPr="00243085">
        <w:rPr>
          <w:rFonts w:eastAsia="Times New Roman" w:cs="Arial"/>
          <w:color w:val="000000"/>
          <w:lang w:val="en-US"/>
        </w:rPr>
        <w:t xml:space="preserve">, </w:t>
      </w:r>
      <w:r w:rsidRPr="00243085">
        <w:rPr>
          <w:rFonts w:eastAsia="Times New Roman" w:cs="Arial"/>
          <w:color w:val="000000"/>
          <w:lang w:eastAsia="bg-BG"/>
        </w:rPr>
        <w:t xml:space="preserve">50-80 </w:t>
      </w:r>
      <w:r w:rsidRPr="00243085">
        <w:rPr>
          <w:rFonts w:eastAsia="Times New Roman" w:cs="Arial"/>
          <w:color w:val="000000"/>
          <w:lang w:val="en-US"/>
        </w:rPr>
        <w:t xml:space="preserve">mL/min) </w:t>
      </w:r>
      <w:r w:rsidRPr="00243085">
        <w:rPr>
          <w:rFonts w:eastAsia="Times New Roman" w:cs="Arial"/>
          <w:color w:val="000000"/>
          <w:lang w:eastAsia="bg-BG"/>
        </w:rPr>
        <w:t xml:space="preserve">са сравними с тези при жени с нормална бъбречна функция. Серумните нива на дроспиренон са средно 37 % по-високи при жени с умерено бъбречно увреждане (креатининов клирънс </w:t>
      </w:r>
      <w:proofErr w:type="spellStart"/>
      <w:r w:rsidRPr="00243085">
        <w:rPr>
          <w:rFonts w:eastAsia="Times New Roman" w:cs="Arial"/>
          <w:color w:val="000000"/>
          <w:lang w:val="en-US"/>
        </w:rPr>
        <w:t>CLcr</w:t>
      </w:r>
      <w:proofErr w:type="spellEnd"/>
      <w:r w:rsidRPr="00243085">
        <w:rPr>
          <w:rFonts w:eastAsia="Times New Roman" w:cs="Arial"/>
          <w:color w:val="000000"/>
          <w:lang w:val="en-US"/>
        </w:rPr>
        <w:t xml:space="preserve">, </w:t>
      </w:r>
      <w:r w:rsidRPr="00243085">
        <w:rPr>
          <w:rFonts w:eastAsia="Times New Roman" w:cs="Arial"/>
          <w:color w:val="000000"/>
          <w:lang w:eastAsia="bg-BG"/>
        </w:rPr>
        <w:t xml:space="preserve">30 - 50 </w:t>
      </w:r>
      <w:r w:rsidRPr="00243085">
        <w:rPr>
          <w:rFonts w:eastAsia="Times New Roman" w:cs="Arial"/>
          <w:color w:val="000000"/>
          <w:lang w:val="en-US"/>
        </w:rPr>
        <w:t xml:space="preserve">mL/min) </w:t>
      </w:r>
      <w:r w:rsidRPr="00243085">
        <w:rPr>
          <w:rFonts w:eastAsia="Times New Roman" w:cs="Arial"/>
          <w:color w:val="000000"/>
          <w:lang w:eastAsia="bg-BG"/>
        </w:rPr>
        <w:t>в сравнение с тези при жени с нормална бъбречна функция. Лечението с дроспиренон се понася добре от жени с леко и умерено бъбречно увреждане. Лечението с дроспиренон не показва някакъв клинично значим ефект върху серумните концентрации на калий.</w:t>
      </w:r>
    </w:p>
    <w:p w14:paraId="08FF6DB2" w14:textId="77777777" w:rsidR="00243085" w:rsidRPr="00243085" w:rsidRDefault="00243085" w:rsidP="00243085">
      <w:pPr>
        <w:spacing w:line="240" w:lineRule="auto"/>
        <w:rPr>
          <w:rFonts w:eastAsia="Times New Roman" w:cs="Arial"/>
          <w:i/>
          <w:iCs/>
          <w:color w:val="000000"/>
          <w:lang w:eastAsia="bg-BG"/>
        </w:rPr>
      </w:pPr>
    </w:p>
    <w:p w14:paraId="1CA7D4E2" w14:textId="231F7605" w:rsidR="00243085" w:rsidRPr="00243085" w:rsidRDefault="00243085" w:rsidP="00243085">
      <w:pPr>
        <w:spacing w:line="240" w:lineRule="auto"/>
        <w:rPr>
          <w:rFonts w:eastAsia="Times New Roman" w:cs="Arial"/>
          <w:i/>
          <w:iCs/>
          <w:color w:val="000000"/>
          <w:lang w:eastAsia="bg-BG"/>
        </w:rPr>
      </w:pPr>
      <w:r w:rsidRPr="00243085">
        <w:rPr>
          <w:rFonts w:eastAsia="Times New Roman" w:cs="Arial"/>
          <w:i/>
          <w:iCs/>
          <w:color w:val="000000"/>
          <w:lang w:eastAsia="bg-BG"/>
        </w:rPr>
        <w:t>Ефекти при чернодробно увреждане</w:t>
      </w:r>
    </w:p>
    <w:p w14:paraId="0A966358" w14:textId="77777777" w:rsidR="00243085" w:rsidRPr="00243085" w:rsidRDefault="00243085" w:rsidP="00243085">
      <w:pPr>
        <w:rPr>
          <w:rFonts w:eastAsia="Times New Roman" w:cs="Arial"/>
          <w:lang w:eastAsia="bg-BG"/>
        </w:rPr>
      </w:pPr>
      <w:r w:rsidRPr="00243085">
        <w:rPr>
          <w:rFonts w:cs="Arial"/>
        </w:rPr>
        <w:t xml:space="preserve">При проучване с еднократна доза, пероралният клирънс </w:t>
      </w:r>
      <w:r w:rsidRPr="00243085">
        <w:rPr>
          <w:rFonts w:cs="Arial"/>
          <w:lang w:val="en-US"/>
        </w:rPr>
        <w:t xml:space="preserve">(CL/F) </w:t>
      </w:r>
      <w:r w:rsidRPr="00243085">
        <w:rPr>
          <w:rFonts w:cs="Arial"/>
        </w:rPr>
        <w:t>спада приблизително с 50 % при доброволци с умерено чернодробно увреждане в сравнение с тези с нормална чернодробна функция. Наблюдаваният спад в клирънса на дроспиренон при доброволци с умерено чернодробно увреждане</w:t>
      </w:r>
      <w:r w:rsidRPr="00243085">
        <w:rPr>
          <w:rFonts w:cs="Arial"/>
          <w:lang w:val="en-US"/>
        </w:rPr>
        <w:t xml:space="preserve"> </w:t>
      </w:r>
      <w:r w:rsidRPr="00243085">
        <w:rPr>
          <w:rFonts w:eastAsia="Times New Roman" w:cs="Arial"/>
          <w:color w:val="000000"/>
          <w:lang w:eastAsia="bg-BG"/>
        </w:rPr>
        <w:t xml:space="preserve">не преминава във видима разлика по отношение концентрациите на серумен калий. Дори при диабет и съпровождащо лечение със спиронолактон (два фактора, които предразполагат пациента към хиперкалиемия) повишаване на серумните концентрации </w:t>
      </w:r>
      <w:r w:rsidRPr="00243085">
        <w:rPr>
          <w:rFonts w:eastAsia="Times New Roman" w:cs="Arial"/>
          <w:i/>
          <w:iCs/>
          <w:color w:val="000000"/>
          <w:lang w:eastAsia="bg-BG"/>
        </w:rPr>
        <w:t>на калий над</w:t>
      </w:r>
      <w:r w:rsidRPr="00243085">
        <w:rPr>
          <w:rFonts w:eastAsia="Times New Roman" w:cs="Arial"/>
          <w:color w:val="000000"/>
          <w:lang w:eastAsia="bg-BG"/>
        </w:rPr>
        <w:t xml:space="preserve"> горната граница на нормалния диапазон не се наблюдава. Може да се направи заключението, че дроспирен се понася добре от пациенти с лека или умерена форма на чернодробно увреждане </w:t>
      </w:r>
      <w:r w:rsidRPr="00243085">
        <w:rPr>
          <w:rFonts w:eastAsia="Times New Roman" w:cs="Arial"/>
          <w:color w:val="000000"/>
          <w:lang w:val="en-US"/>
        </w:rPr>
        <w:t xml:space="preserve">(Child-Pugh </w:t>
      </w:r>
      <w:r w:rsidRPr="00243085">
        <w:rPr>
          <w:rFonts w:eastAsia="Times New Roman" w:cs="Arial"/>
          <w:color w:val="000000"/>
          <w:lang w:eastAsia="bg-BG"/>
        </w:rPr>
        <w:t>В).</w:t>
      </w:r>
    </w:p>
    <w:p w14:paraId="45838452" w14:textId="466DE250" w:rsidR="00243085" w:rsidRPr="00243085" w:rsidRDefault="00243085" w:rsidP="00243085">
      <w:pPr>
        <w:spacing w:line="240" w:lineRule="auto"/>
        <w:rPr>
          <w:rFonts w:eastAsia="Times New Roman" w:cs="Arial"/>
          <w:lang w:val="en-US" w:eastAsia="bg-BG"/>
        </w:rPr>
      </w:pPr>
    </w:p>
    <w:p w14:paraId="6CAD67F1" w14:textId="60BD0286" w:rsidR="00243085" w:rsidRPr="00243085" w:rsidRDefault="00243085" w:rsidP="00243085">
      <w:pPr>
        <w:spacing w:line="240" w:lineRule="auto"/>
        <w:rPr>
          <w:rFonts w:cs="Arial"/>
          <w:i/>
          <w:iCs/>
        </w:rPr>
      </w:pPr>
      <w:r w:rsidRPr="00243085">
        <w:rPr>
          <w:rFonts w:cs="Arial"/>
          <w:i/>
          <w:iCs/>
        </w:rPr>
        <w:t>Етнически групи</w:t>
      </w:r>
    </w:p>
    <w:p w14:paraId="341BC2B6" w14:textId="77777777" w:rsidR="00243085" w:rsidRPr="00243085" w:rsidRDefault="00243085" w:rsidP="00243085">
      <w:pPr>
        <w:spacing w:line="240" w:lineRule="auto"/>
        <w:rPr>
          <w:rFonts w:eastAsia="Times New Roman" w:cs="Arial"/>
          <w:lang w:eastAsia="bg-BG"/>
        </w:rPr>
      </w:pPr>
      <w:r w:rsidRPr="00243085">
        <w:rPr>
          <w:rFonts w:eastAsia="Times New Roman" w:cs="Arial"/>
          <w:color w:val="000000"/>
          <w:lang w:eastAsia="bg-BG"/>
        </w:rPr>
        <w:t>Не е наблюдавана клинична разлика във фармакокинетиката на дроспиренон или етинилестрадиол между японки и представителки на бялата раса.</w:t>
      </w:r>
    </w:p>
    <w:p w14:paraId="7EC94502" w14:textId="77777777" w:rsidR="00243085" w:rsidRPr="00243085" w:rsidRDefault="00243085" w:rsidP="00243085">
      <w:pPr>
        <w:spacing w:line="240" w:lineRule="auto"/>
        <w:rPr>
          <w:rFonts w:eastAsia="Times New Roman" w:cs="Arial"/>
          <w:color w:val="000000"/>
          <w:lang w:eastAsia="bg-BG"/>
        </w:rPr>
      </w:pPr>
    </w:p>
    <w:p w14:paraId="28097F35" w14:textId="7C73BA91" w:rsidR="00243085" w:rsidRPr="00243085" w:rsidRDefault="00243085" w:rsidP="00243085">
      <w:pPr>
        <w:pStyle w:val="ListParagraph"/>
        <w:numPr>
          <w:ilvl w:val="0"/>
          <w:numId w:val="48"/>
        </w:numPr>
        <w:spacing w:line="240" w:lineRule="auto"/>
        <w:rPr>
          <w:rFonts w:eastAsia="Times New Roman" w:cs="Arial"/>
          <w:lang w:eastAsia="bg-BG"/>
        </w:rPr>
      </w:pPr>
      <w:r w:rsidRPr="00243085">
        <w:rPr>
          <w:rFonts w:eastAsia="Times New Roman" w:cs="Arial"/>
          <w:color w:val="000000"/>
          <w:lang w:eastAsia="bg-BG"/>
        </w:rPr>
        <w:t>Етинилестрадиол</w:t>
      </w:r>
    </w:p>
    <w:p w14:paraId="397945B3" w14:textId="77777777" w:rsidR="00243085" w:rsidRPr="00243085" w:rsidRDefault="00243085" w:rsidP="00243085">
      <w:pPr>
        <w:spacing w:line="240" w:lineRule="auto"/>
        <w:rPr>
          <w:rFonts w:eastAsia="Times New Roman" w:cs="Arial"/>
          <w:color w:val="000000"/>
          <w:u w:val="single"/>
          <w:lang w:eastAsia="bg-BG"/>
        </w:rPr>
      </w:pPr>
    </w:p>
    <w:p w14:paraId="0F61EBD9" w14:textId="44E2523A" w:rsidR="00243085" w:rsidRPr="00243085" w:rsidRDefault="00243085" w:rsidP="00243085">
      <w:pPr>
        <w:spacing w:line="240" w:lineRule="auto"/>
        <w:rPr>
          <w:rFonts w:eastAsia="Times New Roman" w:cs="Arial"/>
          <w:lang w:eastAsia="bg-BG"/>
        </w:rPr>
      </w:pPr>
      <w:r w:rsidRPr="00243085">
        <w:rPr>
          <w:rFonts w:eastAsia="Times New Roman" w:cs="Arial"/>
          <w:color w:val="000000"/>
          <w:u w:val="single"/>
          <w:lang w:eastAsia="bg-BG"/>
        </w:rPr>
        <w:t>Абсорбция</w:t>
      </w:r>
    </w:p>
    <w:p w14:paraId="3AA1A445" w14:textId="77777777" w:rsidR="00243085" w:rsidRPr="00243085" w:rsidRDefault="00243085" w:rsidP="00243085">
      <w:pPr>
        <w:spacing w:line="240" w:lineRule="auto"/>
        <w:rPr>
          <w:rFonts w:eastAsia="Times New Roman" w:cs="Arial"/>
          <w:lang w:eastAsia="bg-BG"/>
        </w:rPr>
      </w:pPr>
      <w:r w:rsidRPr="00243085">
        <w:rPr>
          <w:rFonts w:eastAsia="Times New Roman" w:cs="Arial"/>
          <w:color w:val="000000"/>
          <w:lang w:eastAsia="bg-BG"/>
        </w:rPr>
        <w:t xml:space="preserve">Перорално приложеният етинилестрадиол се абсорбира бързо и напълно. Пикови серумни концентрации от около 33 </w:t>
      </w:r>
      <w:proofErr w:type="spellStart"/>
      <w:r w:rsidRPr="00243085">
        <w:rPr>
          <w:rFonts w:eastAsia="Times New Roman" w:cs="Arial"/>
          <w:color w:val="000000"/>
          <w:lang w:val="en-US"/>
        </w:rPr>
        <w:t>pg</w:t>
      </w:r>
      <w:proofErr w:type="spellEnd"/>
      <w:r w:rsidRPr="00243085">
        <w:rPr>
          <w:rFonts w:eastAsia="Times New Roman" w:cs="Arial"/>
          <w:color w:val="000000"/>
          <w:lang w:val="en-US"/>
        </w:rPr>
        <w:t xml:space="preserve">/ml </w:t>
      </w:r>
      <w:r w:rsidRPr="00243085">
        <w:rPr>
          <w:rFonts w:eastAsia="Times New Roman" w:cs="Arial"/>
          <w:color w:val="000000"/>
          <w:lang w:eastAsia="bg-BG"/>
        </w:rPr>
        <w:t>се достигат за 1 - 2 часа след еднократна перорално приложена доза. Абсолютна бионаличност в резултат на пресистемна конюгация и метаболизъм на първо преминаване е приблизително 60 %. Съпровождащият прием на храна намалява бионаличността на етинилестрадиол при около 25 % от изследваните индивиди, докато при останалите не се наблюдава разлика.</w:t>
      </w:r>
    </w:p>
    <w:p w14:paraId="3B8153CE" w14:textId="77777777" w:rsidR="00243085" w:rsidRPr="00243085" w:rsidRDefault="00243085" w:rsidP="00243085">
      <w:pPr>
        <w:spacing w:line="240" w:lineRule="auto"/>
        <w:rPr>
          <w:rFonts w:eastAsia="Times New Roman" w:cs="Arial"/>
          <w:color w:val="000000"/>
          <w:u w:val="single"/>
          <w:lang w:eastAsia="bg-BG"/>
        </w:rPr>
      </w:pPr>
    </w:p>
    <w:p w14:paraId="6627CCFF" w14:textId="436602AC" w:rsidR="00243085" w:rsidRPr="00243085" w:rsidRDefault="00243085" w:rsidP="00243085">
      <w:pPr>
        <w:spacing w:line="240" w:lineRule="auto"/>
        <w:rPr>
          <w:rFonts w:eastAsia="Times New Roman" w:cs="Arial"/>
          <w:lang w:eastAsia="bg-BG"/>
        </w:rPr>
      </w:pPr>
      <w:r w:rsidRPr="00243085">
        <w:rPr>
          <w:rFonts w:eastAsia="Times New Roman" w:cs="Arial"/>
          <w:color w:val="000000"/>
          <w:u w:val="single"/>
          <w:lang w:eastAsia="bg-BG"/>
        </w:rPr>
        <w:t>Разпределение</w:t>
      </w:r>
    </w:p>
    <w:p w14:paraId="1FF03BFD" w14:textId="77777777" w:rsidR="00243085" w:rsidRPr="00243085" w:rsidRDefault="00243085" w:rsidP="00243085">
      <w:pPr>
        <w:spacing w:line="240" w:lineRule="auto"/>
        <w:rPr>
          <w:rFonts w:eastAsia="Times New Roman" w:cs="Arial"/>
          <w:lang w:eastAsia="bg-BG"/>
        </w:rPr>
      </w:pPr>
      <w:r w:rsidRPr="00243085">
        <w:rPr>
          <w:rFonts w:eastAsia="Times New Roman" w:cs="Arial"/>
          <w:color w:val="000000"/>
          <w:lang w:eastAsia="bg-BG"/>
        </w:rPr>
        <w:t xml:space="preserve">Серумните нива на етинилестрадиол се понижават в две фази, терминалната диспозиционна фаза се характеризира с време на полуживот приблизително 24 часа. Етинилестрадиол е силно, но неспецифично свързан със серумния албумин (приблизително 98,5 %), и индуцира повишение в серумните концентрации на </w:t>
      </w:r>
      <w:r w:rsidRPr="00243085">
        <w:rPr>
          <w:rFonts w:eastAsia="Times New Roman" w:cs="Arial"/>
          <w:color w:val="000000"/>
          <w:lang w:val="en-US"/>
        </w:rPr>
        <w:t xml:space="preserve">SHBG </w:t>
      </w:r>
      <w:r w:rsidRPr="00243085">
        <w:rPr>
          <w:rFonts w:eastAsia="Times New Roman" w:cs="Arial"/>
          <w:color w:val="000000"/>
          <w:lang w:eastAsia="bg-BG"/>
        </w:rPr>
        <w:t xml:space="preserve">и кортикоид свързващия глобулин </w:t>
      </w:r>
      <w:r w:rsidRPr="00243085">
        <w:rPr>
          <w:rFonts w:eastAsia="Times New Roman" w:cs="Arial"/>
          <w:color w:val="000000"/>
          <w:lang w:val="en-US"/>
        </w:rPr>
        <w:t xml:space="preserve">(CBG). </w:t>
      </w:r>
      <w:r w:rsidRPr="00243085">
        <w:rPr>
          <w:rFonts w:eastAsia="Times New Roman" w:cs="Arial"/>
          <w:color w:val="000000"/>
          <w:lang w:eastAsia="bg-BG"/>
        </w:rPr>
        <w:t xml:space="preserve">Установен е обем на разпределение от около 5 </w:t>
      </w:r>
      <w:r w:rsidRPr="00243085">
        <w:rPr>
          <w:rFonts w:eastAsia="Times New Roman" w:cs="Arial"/>
          <w:color w:val="000000"/>
          <w:lang w:val="en-US"/>
        </w:rPr>
        <w:t>l/kg.</w:t>
      </w:r>
    </w:p>
    <w:p w14:paraId="0D63A963" w14:textId="77777777" w:rsidR="00243085" w:rsidRPr="00243085" w:rsidRDefault="00243085" w:rsidP="00243085">
      <w:pPr>
        <w:spacing w:line="240" w:lineRule="auto"/>
        <w:rPr>
          <w:rFonts w:eastAsia="Times New Roman" w:cs="Arial"/>
          <w:color w:val="000000"/>
          <w:u w:val="single"/>
          <w:lang w:eastAsia="bg-BG"/>
        </w:rPr>
      </w:pPr>
    </w:p>
    <w:p w14:paraId="5E3A1B38" w14:textId="678250D3" w:rsidR="00243085" w:rsidRPr="00243085" w:rsidRDefault="00243085" w:rsidP="00243085">
      <w:pPr>
        <w:spacing w:line="240" w:lineRule="auto"/>
        <w:rPr>
          <w:rFonts w:eastAsia="Times New Roman" w:cs="Arial"/>
          <w:lang w:eastAsia="bg-BG"/>
        </w:rPr>
      </w:pPr>
      <w:r w:rsidRPr="00243085">
        <w:rPr>
          <w:rFonts w:eastAsia="Times New Roman" w:cs="Arial"/>
          <w:color w:val="000000"/>
          <w:u w:val="single"/>
          <w:lang w:eastAsia="bg-BG"/>
        </w:rPr>
        <w:lastRenderedPageBreak/>
        <w:t>Биотрансформация</w:t>
      </w:r>
    </w:p>
    <w:p w14:paraId="76332A07" w14:textId="77777777" w:rsidR="00243085" w:rsidRPr="00243085" w:rsidRDefault="00243085" w:rsidP="00243085">
      <w:pPr>
        <w:spacing w:line="240" w:lineRule="auto"/>
        <w:rPr>
          <w:rFonts w:eastAsia="Times New Roman" w:cs="Arial"/>
          <w:lang w:eastAsia="bg-BG"/>
        </w:rPr>
      </w:pPr>
      <w:r w:rsidRPr="00243085">
        <w:rPr>
          <w:rFonts w:eastAsia="Times New Roman" w:cs="Arial"/>
          <w:color w:val="000000"/>
          <w:lang w:eastAsia="bg-BG"/>
        </w:rPr>
        <w:t xml:space="preserve">Етинилестрадиол претърпява значителен метаболизъм при първото преминаване през червата и черния дроб. Етинилестрадиол се метаболизира главно чрез ароматно хидроксилиране, но се формира голямо разнообразие от хидроксилирани и метилирани метаболити, и те присъстват като свободни метаболити и като конюгати с глюкурониди и сулфати. Скоростта на метаболитен клирънс на етинилестрадиол е около 5 </w:t>
      </w:r>
      <w:r w:rsidRPr="00243085">
        <w:rPr>
          <w:rFonts w:eastAsia="Times New Roman" w:cs="Arial"/>
          <w:color w:val="000000"/>
          <w:lang w:val="en-US"/>
        </w:rPr>
        <w:t>ml/min/kg.</w:t>
      </w:r>
    </w:p>
    <w:p w14:paraId="23E043F5" w14:textId="77777777" w:rsidR="00243085" w:rsidRPr="00243085" w:rsidRDefault="00243085" w:rsidP="00243085">
      <w:pPr>
        <w:spacing w:line="240" w:lineRule="auto"/>
        <w:rPr>
          <w:rFonts w:eastAsia="Times New Roman" w:cs="Arial"/>
          <w:lang w:eastAsia="bg-BG"/>
        </w:rPr>
      </w:pPr>
      <w:r w:rsidRPr="00243085">
        <w:rPr>
          <w:rFonts w:eastAsia="Times New Roman" w:cs="Arial"/>
          <w:color w:val="000000"/>
          <w:lang w:eastAsia="bg-BG"/>
        </w:rPr>
        <w:t xml:space="preserve">Етинилестрадиол е обратим инхибитор на </w:t>
      </w:r>
      <w:r w:rsidRPr="00243085">
        <w:rPr>
          <w:rFonts w:eastAsia="Times New Roman" w:cs="Arial"/>
          <w:color w:val="000000"/>
          <w:lang w:val="en-US"/>
        </w:rPr>
        <w:t xml:space="preserve">CYP2C19, CYP1A1 </w:t>
      </w:r>
      <w:r w:rsidRPr="00243085">
        <w:rPr>
          <w:rFonts w:eastAsia="Times New Roman" w:cs="Arial"/>
          <w:color w:val="000000"/>
          <w:lang w:eastAsia="bg-BG"/>
        </w:rPr>
        <w:t xml:space="preserve">и </w:t>
      </w:r>
      <w:r w:rsidRPr="00243085">
        <w:rPr>
          <w:rFonts w:eastAsia="Times New Roman" w:cs="Arial"/>
          <w:color w:val="000000"/>
          <w:lang w:val="en-US"/>
        </w:rPr>
        <w:t xml:space="preserve">CYP1A2, </w:t>
      </w:r>
      <w:r w:rsidRPr="00243085">
        <w:rPr>
          <w:rFonts w:eastAsia="Times New Roman" w:cs="Arial"/>
          <w:color w:val="000000"/>
          <w:lang w:eastAsia="bg-BG"/>
        </w:rPr>
        <w:t xml:space="preserve">както и базиран на механизма на действие инхибитор на </w:t>
      </w:r>
      <w:r w:rsidRPr="00243085">
        <w:rPr>
          <w:rFonts w:eastAsia="Times New Roman" w:cs="Arial"/>
          <w:color w:val="000000"/>
          <w:lang w:val="en-US"/>
        </w:rPr>
        <w:t xml:space="preserve">CYP3A4/5, CYP2C8 </w:t>
      </w:r>
      <w:r w:rsidRPr="00243085">
        <w:rPr>
          <w:rFonts w:eastAsia="Times New Roman" w:cs="Arial"/>
          <w:color w:val="000000"/>
          <w:lang w:eastAsia="bg-BG"/>
        </w:rPr>
        <w:t xml:space="preserve">и </w:t>
      </w:r>
      <w:r w:rsidRPr="00243085">
        <w:rPr>
          <w:rFonts w:eastAsia="Times New Roman" w:cs="Arial"/>
          <w:color w:val="000000"/>
          <w:lang w:val="en-US"/>
        </w:rPr>
        <w:t xml:space="preserve">CYP2J2 </w:t>
      </w:r>
      <w:r w:rsidRPr="00243085">
        <w:rPr>
          <w:rFonts w:eastAsia="Times New Roman" w:cs="Arial"/>
          <w:i/>
          <w:iCs/>
          <w:color w:val="000000"/>
          <w:lang w:val="en-US"/>
        </w:rPr>
        <w:t>in vitro.</w:t>
      </w:r>
    </w:p>
    <w:p w14:paraId="1712C28F" w14:textId="77777777" w:rsidR="00243085" w:rsidRPr="00243085" w:rsidRDefault="00243085" w:rsidP="00243085">
      <w:pPr>
        <w:spacing w:line="240" w:lineRule="auto"/>
        <w:rPr>
          <w:rFonts w:eastAsia="Times New Roman" w:cs="Arial"/>
          <w:color w:val="000000"/>
          <w:u w:val="single"/>
          <w:lang w:eastAsia="bg-BG"/>
        </w:rPr>
      </w:pPr>
    </w:p>
    <w:p w14:paraId="6D9BD9C1" w14:textId="6B78DF13" w:rsidR="00243085" w:rsidRPr="00243085" w:rsidRDefault="00243085" w:rsidP="00243085">
      <w:pPr>
        <w:spacing w:line="240" w:lineRule="auto"/>
        <w:rPr>
          <w:rFonts w:eastAsia="Times New Roman" w:cs="Arial"/>
          <w:lang w:eastAsia="bg-BG"/>
        </w:rPr>
      </w:pPr>
      <w:r w:rsidRPr="00243085">
        <w:rPr>
          <w:rFonts w:eastAsia="Times New Roman" w:cs="Arial"/>
          <w:color w:val="000000"/>
          <w:u w:val="single"/>
          <w:lang w:eastAsia="bg-BG"/>
        </w:rPr>
        <w:t>Елиминиране</w:t>
      </w:r>
    </w:p>
    <w:p w14:paraId="0EFDB375" w14:textId="77777777" w:rsidR="00243085" w:rsidRPr="00243085" w:rsidRDefault="00243085" w:rsidP="00243085">
      <w:pPr>
        <w:spacing w:line="240" w:lineRule="auto"/>
        <w:rPr>
          <w:rFonts w:eastAsia="Times New Roman" w:cs="Arial"/>
          <w:lang w:eastAsia="bg-BG"/>
        </w:rPr>
      </w:pPr>
      <w:r w:rsidRPr="00243085">
        <w:rPr>
          <w:rFonts w:eastAsia="Times New Roman" w:cs="Arial"/>
          <w:color w:val="000000"/>
          <w:lang w:eastAsia="bg-BG"/>
        </w:rPr>
        <w:t>Етинилестрадиол не се екскретира в значим обем в непроменена форма. Метаболитите на етинилестрадиол се ескретират в урина и жлъчка в съотношение 4:6. Времето на полуживот на метаболитната екскреция е около 1 ден.</w:t>
      </w:r>
    </w:p>
    <w:p w14:paraId="3B830019" w14:textId="77777777" w:rsidR="00243085" w:rsidRPr="00243085" w:rsidRDefault="00243085" w:rsidP="00243085">
      <w:pPr>
        <w:spacing w:line="240" w:lineRule="auto"/>
        <w:rPr>
          <w:rFonts w:eastAsia="Times New Roman" w:cs="Arial"/>
          <w:color w:val="000000"/>
          <w:u w:val="single"/>
          <w:lang w:eastAsia="bg-BG"/>
        </w:rPr>
      </w:pPr>
    </w:p>
    <w:p w14:paraId="35DA4A2C" w14:textId="45BE95BB" w:rsidR="00243085" w:rsidRPr="00243085" w:rsidRDefault="00243085" w:rsidP="00243085">
      <w:pPr>
        <w:spacing w:line="240" w:lineRule="auto"/>
        <w:rPr>
          <w:rFonts w:eastAsia="Times New Roman" w:cs="Arial"/>
          <w:lang w:eastAsia="bg-BG"/>
        </w:rPr>
      </w:pPr>
      <w:r w:rsidRPr="00243085">
        <w:rPr>
          <w:rFonts w:eastAsia="Times New Roman" w:cs="Arial"/>
          <w:color w:val="000000"/>
          <w:u w:val="single"/>
          <w:lang w:eastAsia="bg-BG"/>
        </w:rPr>
        <w:t>Линейност/нелинейност</w:t>
      </w:r>
    </w:p>
    <w:p w14:paraId="125C5C71" w14:textId="77777777" w:rsidR="00243085" w:rsidRPr="00243085" w:rsidRDefault="00243085" w:rsidP="00243085">
      <w:pPr>
        <w:spacing w:line="240" w:lineRule="auto"/>
        <w:rPr>
          <w:rFonts w:eastAsia="Times New Roman" w:cs="Arial"/>
          <w:lang w:eastAsia="bg-BG"/>
        </w:rPr>
      </w:pPr>
      <w:r w:rsidRPr="00243085">
        <w:rPr>
          <w:rFonts w:eastAsia="Times New Roman" w:cs="Arial"/>
          <w:color w:val="000000"/>
          <w:lang w:eastAsia="bg-BG"/>
        </w:rPr>
        <w:t>Състояния на равновесие се постигат през втората половина от лечебния цикъл, а серумните нива на етинилестрадиол се акумулират при фактор от 2,0 до 2,3.</w:t>
      </w:r>
    </w:p>
    <w:p w14:paraId="170EB20B" w14:textId="77777777" w:rsidR="00243085" w:rsidRPr="00243085" w:rsidRDefault="00243085" w:rsidP="00243085">
      <w:pPr>
        <w:spacing w:line="240" w:lineRule="auto"/>
        <w:rPr>
          <w:rFonts w:ascii="Times New Roman" w:eastAsia="Times New Roman" w:hAnsi="Times New Roman" w:cs="Times New Roman"/>
          <w:sz w:val="24"/>
          <w:szCs w:val="24"/>
          <w:lang w:val="en-US" w:eastAsia="bg-BG"/>
        </w:rPr>
      </w:pPr>
    </w:p>
    <w:p w14:paraId="79E8CB2D" w14:textId="77777777" w:rsidR="00243085" w:rsidRPr="00243085" w:rsidRDefault="00243085" w:rsidP="00243085"/>
    <w:p w14:paraId="6925FEB0" w14:textId="4B32C19A" w:rsidR="00F62E44" w:rsidRDefault="002C50EE" w:rsidP="00387A66">
      <w:pPr>
        <w:pStyle w:val="Heading2"/>
      </w:pPr>
      <w:r>
        <w:t>5.3. Предклинични данни за безопасност</w:t>
      </w:r>
    </w:p>
    <w:p w14:paraId="3C25DD1B" w14:textId="77777777" w:rsidR="00243085" w:rsidRDefault="00243085" w:rsidP="00243085"/>
    <w:p w14:paraId="0113C009" w14:textId="5602DFA7" w:rsidR="00243085" w:rsidRPr="00243085" w:rsidRDefault="00243085" w:rsidP="00243085">
      <w:pPr>
        <w:rPr>
          <w:sz w:val="24"/>
          <w:szCs w:val="24"/>
          <w:lang w:eastAsia="bg-BG"/>
        </w:rPr>
      </w:pPr>
      <w:r w:rsidRPr="00243085">
        <w:rPr>
          <w:lang w:eastAsia="bg-BG"/>
        </w:rPr>
        <w:t>При лабораторни животни, ефектите на дроспиренон и етинилестрадиол съответстват на тези, свързани с утвърдените фармакологични действия. В частност, проучванията на репродуктивната токсичност при животни показват ембриотоксични и фетотоксични ефекти, които се считат за видово специфични. При въздействие надвишаващо това при потребителите на Джаз, ефектите на полово диференциране се наблюдават при плод на плъх, но не и на маймуна. Проучвания за оценка на риска  за околната среда са показали, че етинилестрадиол и дроспиренон могат да представляват</w:t>
      </w:r>
      <w:r>
        <w:rPr>
          <w:sz w:val="24"/>
          <w:szCs w:val="24"/>
          <w:lang w:val="en-US" w:eastAsia="bg-BG"/>
        </w:rPr>
        <w:t xml:space="preserve"> </w:t>
      </w:r>
      <w:r w:rsidRPr="00243085">
        <w:rPr>
          <w:lang w:eastAsia="bg-BG"/>
        </w:rPr>
        <w:t>потенциален риск за водната среда (вижте точка 6.6).</w:t>
      </w:r>
    </w:p>
    <w:p w14:paraId="357049A8" w14:textId="6CD46E4B" w:rsidR="00BB22B4" w:rsidRDefault="002C50EE" w:rsidP="00471F10">
      <w:pPr>
        <w:pStyle w:val="Heading1"/>
      </w:pPr>
      <w:r>
        <w:t>7. ПРИТЕЖАТЕЛ НА РАЗРЕШЕНИЕТО ЗА УПОТРЕБА</w:t>
      </w:r>
    </w:p>
    <w:p w14:paraId="7180D2A2" w14:textId="77777777" w:rsidR="00243085" w:rsidRDefault="00243085" w:rsidP="00243085"/>
    <w:p w14:paraId="66EB1C7D" w14:textId="75E08585" w:rsidR="00243085" w:rsidRPr="00243085" w:rsidRDefault="00243085" w:rsidP="00243085">
      <w:r w:rsidRPr="00243085">
        <w:t>Bayer</w:t>
      </w:r>
      <w:r>
        <w:rPr>
          <w:lang w:val="en-US"/>
        </w:rPr>
        <w:t xml:space="preserve"> </w:t>
      </w:r>
      <w:r w:rsidRPr="00243085">
        <w:t>AG</w:t>
      </w:r>
    </w:p>
    <w:p w14:paraId="59BEDC19" w14:textId="77777777" w:rsidR="00243085" w:rsidRPr="00243085" w:rsidRDefault="00243085" w:rsidP="00243085">
      <w:pPr>
        <w:rPr>
          <w:rFonts w:eastAsia="Times New Roman" w:cs="Arial"/>
          <w:color w:val="000000"/>
          <w:lang w:val="en-US"/>
        </w:rPr>
      </w:pPr>
      <w:r w:rsidRPr="00243085">
        <w:rPr>
          <w:rFonts w:eastAsia="Times New Roman" w:cs="Arial"/>
          <w:color w:val="000000"/>
          <w:lang w:val="en-US"/>
        </w:rPr>
        <w:t xml:space="preserve">Kaiser-Wilhelm-Allee 1 </w:t>
      </w:r>
    </w:p>
    <w:p w14:paraId="6D38BEEF" w14:textId="77777777" w:rsidR="00243085" w:rsidRPr="00243085" w:rsidRDefault="00243085" w:rsidP="00243085">
      <w:pPr>
        <w:rPr>
          <w:rFonts w:eastAsia="Times New Roman" w:cs="Arial"/>
          <w:color w:val="000000"/>
          <w:lang w:val="en-US"/>
        </w:rPr>
      </w:pPr>
      <w:r w:rsidRPr="00243085">
        <w:rPr>
          <w:rFonts w:eastAsia="Times New Roman" w:cs="Arial"/>
          <w:color w:val="000000"/>
          <w:lang w:val="en-US"/>
        </w:rPr>
        <w:t xml:space="preserve">51373 Leverkusen </w:t>
      </w:r>
    </w:p>
    <w:p w14:paraId="2154FB2B" w14:textId="0A0E9A0E" w:rsidR="00243085" w:rsidRPr="00243085" w:rsidRDefault="00243085" w:rsidP="00243085">
      <w:pPr>
        <w:rPr>
          <w:rFonts w:eastAsia="Times New Roman" w:cs="Arial"/>
          <w:sz w:val="24"/>
          <w:szCs w:val="24"/>
          <w:lang w:val="en-US" w:eastAsia="bg-BG"/>
        </w:rPr>
      </w:pPr>
      <w:r w:rsidRPr="00243085">
        <w:rPr>
          <w:rFonts w:eastAsia="Times New Roman" w:cs="Arial"/>
          <w:color w:val="000000"/>
          <w:lang w:eastAsia="bg-BG"/>
        </w:rPr>
        <w:t>Германия</w:t>
      </w:r>
    </w:p>
    <w:p w14:paraId="383972B0" w14:textId="77777777" w:rsidR="00243085" w:rsidRPr="00243085" w:rsidRDefault="00243085" w:rsidP="00243085"/>
    <w:p w14:paraId="0A53321D" w14:textId="74FBD4FB" w:rsidR="00EE6C97" w:rsidRDefault="00936AD0" w:rsidP="00A93499">
      <w:pPr>
        <w:pStyle w:val="Heading1"/>
      </w:pPr>
      <w:r>
        <w:t>8.</w:t>
      </w:r>
      <w:r w:rsidR="002C50EE">
        <w:t>НОМЕР НА РАЗРЕШЕНИЕТО ЗА УПОТРЕБА</w:t>
      </w:r>
    </w:p>
    <w:p w14:paraId="640161C5" w14:textId="77777777" w:rsidR="00243085" w:rsidRDefault="00243085" w:rsidP="00243085"/>
    <w:p w14:paraId="2CD9ED1E" w14:textId="25088573" w:rsidR="00243085" w:rsidRPr="00243085" w:rsidRDefault="00243085" w:rsidP="00243085">
      <w:pPr>
        <w:rPr>
          <w:sz w:val="24"/>
          <w:szCs w:val="24"/>
          <w:lang w:eastAsia="bg-BG"/>
        </w:rPr>
      </w:pPr>
      <w:r w:rsidRPr="00243085">
        <w:rPr>
          <w:lang w:eastAsia="bg-BG"/>
        </w:rPr>
        <w:t>Регистрационен номер: 20090142</w:t>
      </w:r>
    </w:p>
    <w:p w14:paraId="7C2688F5" w14:textId="6D610EDF" w:rsidR="00F62E44" w:rsidRDefault="00F62E44" w:rsidP="00F62E44"/>
    <w:p w14:paraId="00481C21" w14:textId="753A12CC" w:rsidR="00F62E44" w:rsidRDefault="002C50EE" w:rsidP="00387A66">
      <w:pPr>
        <w:pStyle w:val="Heading1"/>
      </w:pPr>
      <w:r>
        <w:t>9. ДАТА НА ПЪРВО РАЗРЕШАВАНЕ/ПОДНОВЯВАНЕ НА РАЗРЕШЕНИЕТО ЗА УПОТРЕБА</w:t>
      </w:r>
    </w:p>
    <w:p w14:paraId="3BB14CD1" w14:textId="77777777" w:rsidR="00243085" w:rsidRDefault="00243085" w:rsidP="00243085"/>
    <w:p w14:paraId="253AD777" w14:textId="77777777" w:rsidR="00243085" w:rsidRPr="00243085" w:rsidRDefault="00243085" w:rsidP="00243085">
      <w:pPr>
        <w:rPr>
          <w:sz w:val="24"/>
          <w:szCs w:val="24"/>
          <w:lang w:eastAsia="bg-BG"/>
        </w:rPr>
      </w:pPr>
      <w:r w:rsidRPr="00243085">
        <w:rPr>
          <w:lang w:eastAsia="bg-BG"/>
        </w:rPr>
        <w:t>Дата на първо разрешаване: 09 април 2009 г.</w:t>
      </w:r>
    </w:p>
    <w:p w14:paraId="0138CCBF" w14:textId="5D68B490" w:rsidR="00243085" w:rsidRPr="00243085" w:rsidRDefault="00243085" w:rsidP="00243085">
      <w:r w:rsidRPr="00243085">
        <w:rPr>
          <w:lang w:eastAsia="bg-BG"/>
        </w:rPr>
        <w:lastRenderedPageBreak/>
        <w:t>Дата на последно подновяване: 01 август 2012 г.</w:t>
      </w:r>
    </w:p>
    <w:p w14:paraId="43FB38A2" w14:textId="0C18A683" w:rsidR="007C605B" w:rsidRDefault="002C50EE" w:rsidP="005726E3">
      <w:pPr>
        <w:pStyle w:val="Heading1"/>
      </w:pPr>
      <w:r>
        <w:t>10. ДАТА НА АКТУАЛИЗИРАНЕ НА ТЕКСТА</w:t>
      </w:r>
      <w:bookmarkEnd w:id="0"/>
    </w:p>
    <w:p w14:paraId="472617BD" w14:textId="3CF3959F" w:rsidR="00BB22B4" w:rsidRPr="00BB22B4" w:rsidRDefault="00243085" w:rsidP="00243085">
      <w:r>
        <w:t>11/2022</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B3223"/>
    <w:multiLevelType w:val="hybridMultilevel"/>
    <w:tmpl w:val="69BE13E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62A94"/>
    <w:multiLevelType w:val="hybridMultilevel"/>
    <w:tmpl w:val="77B283F6"/>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78945F1"/>
    <w:multiLevelType w:val="hybridMultilevel"/>
    <w:tmpl w:val="A31856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84850"/>
    <w:multiLevelType w:val="hybridMultilevel"/>
    <w:tmpl w:val="0896B2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8"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6B42E1"/>
    <w:multiLevelType w:val="hybridMultilevel"/>
    <w:tmpl w:val="D04C93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DE0793"/>
    <w:multiLevelType w:val="hybridMultilevel"/>
    <w:tmpl w:val="61EE63AA"/>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DD5588"/>
    <w:multiLevelType w:val="hybridMultilevel"/>
    <w:tmpl w:val="07A24F6E"/>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2C2B04"/>
    <w:multiLevelType w:val="hybridMultilevel"/>
    <w:tmpl w:val="A7BA28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C3542C"/>
    <w:multiLevelType w:val="hybridMultilevel"/>
    <w:tmpl w:val="D3FE3F42"/>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6"/>
  </w:num>
  <w:num w:numId="2" w16cid:durableId="1612932146">
    <w:abstractNumId w:val="0"/>
  </w:num>
  <w:num w:numId="3" w16cid:durableId="1810323821">
    <w:abstractNumId w:val="16"/>
  </w:num>
  <w:num w:numId="4" w16cid:durableId="2135319613">
    <w:abstractNumId w:val="3"/>
  </w:num>
  <w:num w:numId="5" w16cid:durableId="740105516">
    <w:abstractNumId w:val="1"/>
  </w:num>
  <w:num w:numId="6" w16cid:durableId="1668363208">
    <w:abstractNumId w:val="23"/>
  </w:num>
  <w:num w:numId="7" w16cid:durableId="1241988161">
    <w:abstractNumId w:val="13"/>
  </w:num>
  <w:num w:numId="8" w16cid:durableId="2102022361">
    <w:abstractNumId w:val="22"/>
  </w:num>
  <w:num w:numId="9" w16cid:durableId="1154613663">
    <w:abstractNumId w:val="2"/>
  </w:num>
  <w:num w:numId="10" w16cid:durableId="1733848127">
    <w:abstractNumId w:val="4"/>
  </w:num>
  <w:num w:numId="11" w16cid:durableId="1861704680">
    <w:abstractNumId w:val="40"/>
  </w:num>
  <w:num w:numId="12" w16cid:durableId="1434934028">
    <w:abstractNumId w:val="19"/>
  </w:num>
  <w:num w:numId="13" w16cid:durableId="479157895">
    <w:abstractNumId w:val="26"/>
  </w:num>
  <w:num w:numId="14" w16cid:durableId="1670476636">
    <w:abstractNumId w:val="15"/>
  </w:num>
  <w:num w:numId="15" w16cid:durableId="1000155783">
    <w:abstractNumId w:val="39"/>
  </w:num>
  <w:num w:numId="16" w16cid:durableId="2056420707">
    <w:abstractNumId w:val="12"/>
  </w:num>
  <w:num w:numId="17" w16cid:durableId="1787119182">
    <w:abstractNumId w:val="32"/>
  </w:num>
  <w:num w:numId="18" w16cid:durableId="722945139">
    <w:abstractNumId w:val="8"/>
  </w:num>
  <w:num w:numId="19" w16cid:durableId="1678728408">
    <w:abstractNumId w:val="35"/>
  </w:num>
  <w:num w:numId="20" w16cid:durableId="1970816657">
    <w:abstractNumId w:val="31"/>
  </w:num>
  <w:num w:numId="21" w16cid:durableId="1531146514">
    <w:abstractNumId w:val="24"/>
  </w:num>
  <w:num w:numId="22" w16cid:durableId="1276465">
    <w:abstractNumId w:val="33"/>
  </w:num>
  <w:num w:numId="23" w16cid:durableId="1624310558">
    <w:abstractNumId w:val="25"/>
  </w:num>
  <w:num w:numId="24" w16cid:durableId="1692877547">
    <w:abstractNumId w:val="9"/>
  </w:num>
  <w:num w:numId="25" w16cid:durableId="50930855">
    <w:abstractNumId w:val="29"/>
  </w:num>
  <w:num w:numId="26" w16cid:durableId="176701536">
    <w:abstractNumId w:val="28"/>
  </w:num>
  <w:num w:numId="27" w16cid:durableId="2050564750">
    <w:abstractNumId w:val="42"/>
  </w:num>
  <w:num w:numId="28" w16cid:durableId="1820733422">
    <w:abstractNumId w:val="6"/>
  </w:num>
  <w:num w:numId="29" w16cid:durableId="973678124">
    <w:abstractNumId w:val="27"/>
  </w:num>
  <w:num w:numId="30" w16cid:durableId="154884452">
    <w:abstractNumId w:val="47"/>
  </w:num>
  <w:num w:numId="31" w16cid:durableId="1053964910">
    <w:abstractNumId w:val="5"/>
  </w:num>
  <w:num w:numId="32" w16cid:durableId="2073575793">
    <w:abstractNumId w:val="45"/>
  </w:num>
  <w:num w:numId="33" w16cid:durableId="1566643170">
    <w:abstractNumId w:val="38"/>
  </w:num>
  <w:num w:numId="34" w16cid:durableId="2060787732">
    <w:abstractNumId w:val="43"/>
  </w:num>
  <w:num w:numId="35" w16cid:durableId="34161354">
    <w:abstractNumId w:val="7"/>
  </w:num>
  <w:num w:numId="36" w16cid:durableId="1976908676">
    <w:abstractNumId w:val="10"/>
  </w:num>
  <w:num w:numId="37" w16cid:durableId="758528303">
    <w:abstractNumId w:val="21"/>
  </w:num>
  <w:num w:numId="38" w16cid:durableId="178396561">
    <w:abstractNumId w:val="46"/>
  </w:num>
  <w:num w:numId="39" w16cid:durableId="934825996">
    <w:abstractNumId w:val="14"/>
  </w:num>
  <w:num w:numId="40" w16cid:durableId="995304177">
    <w:abstractNumId w:val="18"/>
  </w:num>
  <w:num w:numId="41" w16cid:durableId="296300431">
    <w:abstractNumId w:val="30"/>
  </w:num>
  <w:num w:numId="42" w16cid:durableId="23750031">
    <w:abstractNumId w:val="44"/>
  </w:num>
  <w:num w:numId="43" w16cid:durableId="73094982">
    <w:abstractNumId w:val="37"/>
  </w:num>
  <w:num w:numId="44" w16cid:durableId="1020593307">
    <w:abstractNumId w:val="34"/>
  </w:num>
  <w:num w:numId="45" w16cid:durableId="1200438690">
    <w:abstractNumId w:val="17"/>
  </w:num>
  <w:num w:numId="46" w16cid:durableId="843742220">
    <w:abstractNumId w:val="11"/>
  </w:num>
  <w:num w:numId="47" w16cid:durableId="935593508">
    <w:abstractNumId w:val="20"/>
  </w:num>
  <w:num w:numId="48" w16cid:durableId="3932875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095A"/>
    <w:rsid w:val="001D1B23"/>
    <w:rsid w:val="00243085"/>
    <w:rsid w:val="002B3C38"/>
    <w:rsid w:val="002B4DBB"/>
    <w:rsid w:val="002C50EE"/>
    <w:rsid w:val="002D212A"/>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4092E"/>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7909</Words>
  <Characters>45082</Characters>
  <Application>Microsoft Office Word</Application>
  <DocSecurity>0</DocSecurity>
  <Lines>375</Lines>
  <Paragraphs>105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2023-06-03T22:13:00Z</dcterms:created>
  <dcterms:modified xsi:type="dcterms:W3CDTF">2023-06-03T22:13:00Z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