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60A821D0" w:rsidR="00AA23EC" w:rsidRDefault="00DD466D" w:rsidP="00DD466D">
      <w:pPr>
        <w:pStyle w:val="Heading1"/>
      </w:pPr>
      <w:r>
        <w:t>1.ИМЕ НА ЛЕКАРСТВЕНИЯ ПРОДУКТ</w:t>
      </w:r>
    </w:p>
    <w:p w14:paraId="2D260A58" w14:textId="2767AD62" w:rsidR="00DF4C8E" w:rsidRDefault="00DF4C8E" w:rsidP="00DF4C8E"/>
    <w:p w14:paraId="79CEFCDE" w14:textId="77777777" w:rsidR="00DF4C8E" w:rsidRPr="00DF4C8E" w:rsidRDefault="00DF4C8E" w:rsidP="00DF4C8E">
      <w:pPr>
        <w:rPr>
          <w:sz w:val="24"/>
          <w:szCs w:val="24"/>
        </w:rPr>
      </w:pPr>
      <w:r w:rsidRPr="00DF4C8E">
        <w:rPr>
          <w:lang w:eastAsia="bg-BG"/>
        </w:rPr>
        <w:t xml:space="preserve">ЗЕФАЦЕТ 200 </w:t>
      </w:r>
      <w:r w:rsidRPr="00DF4C8E">
        <w:rPr>
          <w:lang w:val="en-US"/>
        </w:rPr>
        <w:t>mg</w:t>
      </w:r>
      <w:r w:rsidRPr="00DF4C8E">
        <w:t xml:space="preserve"> </w:t>
      </w:r>
      <w:r w:rsidRPr="00DF4C8E">
        <w:rPr>
          <w:lang w:eastAsia="bg-BG"/>
        </w:rPr>
        <w:t>филмирани таблетки</w:t>
      </w:r>
    </w:p>
    <w:p w14:paraId="14C7D8F2" w14:textId="77777777" w:rsidR="00DF4C8E" w:rsidRPr="00DF4C8E" w:rsidRDefault="00DF4C8E" w:rsidP="00DF4C8E">
      <w:pPr>
        <w:rPr>
          <w:sz w:val="24"/>
          <w:szCs w:val="24"/>
        </w:rPr>
      </w:pPr>
      <w:r w:rsidRPr="00DF4C8E">
        <w:rPr>
          <w:lang w:val="en-US"/>
        </w:rPr>
        <w:t>ZEFACET</w:t>
      </w:r>
      <w:r w:rsidRPr="00DF4C8E">
        <w:t xml:space="preserve"> </w:t>
      </w:r>
      <w:r w:rsidRPr="00DF4C8E">
        <w:rPr>
          <w:lang w:eastAsia="bg-BG"/>
        </w:rPr>
        <w:t xml:space="preserve">200 </w:t>
      </w:r>
      <w:r w:rsidRPr="00DF4C8E">
        <w:rPr>
          <w:lang w:val="en-US"/>
        </w:rPr>
        <w:t>mg</w:t>
      </w:r>
      <w:r w:rsidRPr="00DF4C8E">
        <w:t xml:space="preserve"> </w:t>
      </w:r>
      <w:r w:rsidRPr="00DF4C8E">
        <w:rPr>
          <w:lang w:val="en-US"/>
        </w:rPr>
        <w:t>film</w:t>
      </w:r>
      <w:r w:rsidRPr="00DF4C8E">
        <w:t>-</w:t>
      </w:r>
      <w:r w:rsidRPr="00DF4C8E">
        <w:rPr>
          <w:lang w:val="en-US"/>
        </w:rPr>
        <w:t>coated</w:t>
      </w:r>
      <w:r w:rsidRPr="00DF4C8E">
        <w:t xml:space="preserve"> </w:t>
      </w:r>
      <w:r w:rsidRPr="00DF4C8E">
        <w:rPr>
          <w:lang w:val="en-US"/>
        </w:rPr>
        <w:t>tablets</w:t>
      </w:r>
    </w:p>
    <w:p w14:paraId="43E4B2BB" w14:textId="77777777" w:rsidR="00DF4C8E" w:rsidRDefault="00DF4C8E" w:rsidP="00DF4C8E">
      <w:pPr>
        <w:rPr>
          <w:lang w:eastAsia="bg-BG"/>
        </w:rPr>
      </w:pPr>
    </w:p>
    <w:p w14:paraId="51DA7EF9" w14:textId="0764DFA7" w:rsidR="00DF4C8E" w:rsidRPr="00DF4C8E" w:rsidRDefault="00DF4C8E" w:rsidP="00DF4C8E">
      <w:pPr>
        <w:rPr>
          <w:sz w:val="24"/>
          <w:szCs w:val="24"/>
        </w:rPr>
      </w:pPr>
      <w:r w:rsidRPr="00DF4C8E">
        <w:rPr>
          <w:lang w:eastAsia="bg-BG"/>
        </w:rPr>
        <w:t xml:space="preserve">ЗЕФАЦЕТ 400 </w:t>
      </w:r>
      <w:r w:rsidRPr="00DF4C8E">
        <w:rPr>
          <w:lang w:val="en-US"/>
        </w:rPr>
        <w:t>mg</w:t>
      </w:r>
      <w:r w:rsidRPr="00DF4C8E">
        <w:t xml:space="preserve"> </w:t>
      </w:r>
      <w:r w:rsidRPr="00DF4C8E">
        <w:rPr>
          <w:lang w:eastAsia="bg-BG"/>
        </w:rPr>
        <w:t>филмирани таблетки</w:t>
      </w:r>
    </w:p>
    <w:p w14:paraId="4646061A" w14:textId="77777777" w:rsidR="00DF4C8E" w:rsidRPr="00DF4C8E" w:rsidRDefault="00DF4C8E" w:rsidP="00DF4C8E">
      <w:pPr>
        <w:rPr>
          <w:sz w:val="24"/>
          <w:szCs w:val="24"/>
        </w:rPr>
      </w:pPr>
      <w:bookmarkStart w:id="1" w:name="_GoBack"/>
      <w:r w:rsidRPr="00DF4C8E">
        <w:rPr>
          <w:lang w:val="en-US"/>
        </w:rPr>
        <w:t>ZEFACET</w:t>
      </w:r>
      <w:r w:rsidRPr="00DF4C8E">
        <w:t xml:space="preserve"> </w:t>
      </w:r>
      <w:r w:rsidRPr="00DF4C8E">
        <w:rPr>
          <w:lang w:eastAsia="bg-BG"/>
        </w:rPr>
        <w:t xml:space="preserve">400 </w:t>
      </w:r>
      <w:r w:rsidRPr="00DF4C8E">
        <w:rPr>
          <w:lang w:val="en-US"/>
        </w:rPr>
        <w:t>mg</w:t>
      </w:r>
      <w:r w:rsidRPr="00DF4C8E">
        <w:t xml:space="preserve"> </w:t>
      </w:r>
      <w:r w:rsidRPr="00DF4C8E">
        <w:rPr>
          <w:lang w:val="en-US"/>
        </w:rPr>
        <w:t>film</w:t>
      </w:r>
      <w:r w:rsidRPr="00DF4C8E">
        <w:t>-</w:t>
      </w:r>
      <w:r w:rsidRPr="00DF4C8E">
        <w:rPr>
          <w:lang w:val="en-US"/>
        </w:rPr>
        <w:t>coated</w:t>
      </w:r>
      <w:r w:rsidRPr="00DF4C8E">
        <w:t xml:space="preserve"> </w:t>
      </w:r>
      <w:r w:rsidRPr="00DF4C8E">
        <w:rPr>
          <w:lang w:val="en-US"/>
        </w:rPr>
        <w:t>tablets</w:t>
      </w:r>
    </w:p>
    <w:bookmarkEnd w:id="1"/>
    <w:p w14:paraId="4F735328" w14:textId="77777777" w:rsidR="00DF4C8E" w:rsidRPr="00DF4C8E" w:rsidRDefault="00DF4C8E" w:rsidP="00DF4C8E"/>
    <w:p w14:paraId="0A368469" w14:textId="37A97817" w:rsidR="00C0049F" w:rsidRDefault="00DD466D" w:rsidP="009F1313">
      <w:pPr>
        <w:pStyle w:val="Heading1"/>
      </w:pPr>
      <w:r>
        <w:t>2. КАЧЕСТВЕН И КОЛИЧЕСТВЕН СЪСТАВ</w:t>
      </w:r>
    </w:p>
    <w:p w14:paraId="7B70E11E" w14:textId="34794924" w:rsidR="00DF4C8E" w:rsidRDefault="00DF4C8E" w:rsidP="00DF4C8E"/>
    <w:p w14:paraId="14C64247" w14:textId="77777777" w:rsidR="00DF4C8E" w:rsidRPr="00DF4C8E" w:rsidRDefault="00DF4C8E" w:rsidP="00DF4C8E">
      <w:pPr>
        <w:rPr>
          <w:sz w:val="24"/>
          <w:szCs w:val="24"/>
        </w:rPr>
      </w:pPr>
      <w:r w:rsidRPr="00DF4C8E">
        <w:rPr>
          <w:lang w:eastAsia="bg-BG"/>
        </w:rPr>
        <w:t xml:space="preserve">Всяка филмирана таблетка съдържа 200 </w:t>
      </w:r>
      <w:r w:rsidRPr="00DF4C8E">
        <w:rPr>
          <w:lang w:val="en-US"/>
        </w:rPr>
        <w:t>mg</w:t>
      </w:r>
      <w:r w:rsidRPr="00DF4C8E">
        <w:rPr>
          <w:lang w:val="ru-RU"/>
        </w:rPr>
        <w:t xml:space="preserve"> </w:t>
      </w:r>
      <w:r w:rsidRPr="00DF4C8E">
        <w:rPr>
          <w:lang w:eastAsia="bg-BG"/>
        </w:rPr>
        <w:t xml:space="preserve">цефиксим (безводен) , еквивалентен на 223,81 </w:t>
      </w:r>
      <w:r w:rsidRPr="00DF4C8E">
        <w:rPr>
          <w:lang w:val="en-US"/>
        </w:rPr>
        <w:t>mg</w:t>
      </w:r>
      <w:r w:rsidRPr="00DF4C8E">
        <w:rPr>
          <w:lang w:val="ru-RU"/>
        </w:rPr>
        <w:t xml:space="preserve"> </w:t>
      </w:r>
      <w:r w:rsidRPr="00DF4C8E">
        <w:rPr>
          <w:lang w:eastAsia="bg-BG"/>
        </w:rPr>
        <w:t>цефиксим трихидрат.</w:t>
      </w:r>
    </w:p>
    <w:p w14:paraId="65F2EDA4" w14:textId="77777777" w:rsidR="00DF4C8E" w:rsidRDefault="00DF4C8E" w:rsidP="00DF4C8E">
      <w:pPr>
        <w:rPr>
          <w:lang w:eastAsia="bg-BG"/>
        </w:rPr>
      </w:pPr>
    </w:p>
    <w:p w14:paraId="14E94E20" w14:textId="5566DB2B" w:rsidR="00DF4C8E" w:rsidRPr="00DF4C8E" w:rsidRDefault="00DF4C8E" w:rsidP="00DF4C8E">
      <w:pPr>
        <w:rPr>
          <w:sz w:val="24"/>
          <w:szCs w:val="24"/>
        </w:rPr>
      </w:pPr>
      <w:r w:rsidRPr="00DF4C8E">
        <w:rPr>
          <w:lang w:eastAsia="bg-BG"/>
        </w:rPr>
        <w:t xml:space="preserve">Всяка филмирана таблетка съдържа 400 </w:t>
      </w:r>
      <w:r w:rsidRPr="00DF4C8E">
        <w:rPr>
          <w:lang w:val="en-US"/>
        </w:rPr>
        <w:t>mg</w:t>
      </w:r>
      <w:r w:rsidRPr="00DF4C8E">
        <w:rPr>
          <w:lang w:val="ru-RU"/>
        </w:rPr>
        <w:t xml:space="preserve"> </w:t>
      </w:r>
      <w:r w:rsidRPr="00DF4C8E">
        <w:rPr>
          <w:lang w:eastAsia="bg-BG"/>
        </w:rPr>
        <w:t xml:space="preserve">цефиксим (безводен), еквивалентен на 447,63 </w:t>
      </w:r>
      <w:r w:rsidRPr="00DF4C8E">
        <w:rPr>
          <w:lang w:val="en-US"/>
        </w:rPr>
        <w:t>mg</w:t>
      </w:r>
      <w:r w:rsidRPr="00DF4C8E">
        <w:rPr>
          <w:lang w:val="ru-RU"/>
        </w:rPr>
        <w:t xml:space="preserve"> </w:t>
      </w:r>
      <w:r w:rsidRPr="00DF4C8E">
        <w:rPr>
          <w:lang w:eastAsia="bg-BG"/>
        </w:rPr>
        <w:t>цефиксим трихидрат.</w:t>
      </w:r>
    </w:p>
    <w:p w14:paraId="2BF7ACB1" w14:textId="77777777" w:rsidR="00DF4C8E" w:rsidRPr="00DF4C8E" w:rsidRDefault="00DF4C8E" w:rsidP="00DF4C8E"/>
    <w:p w14:paraId="614984C4" w14:textId="3393916F" w:rsidR="008A6AF2" w:rsidRDefault="00DD466D" w:rsidP="002C50EE">
      <w:pPr>
        <w:pStyle w:val="Heading1"/>
      </w:pPr>
      <w:r>
        <w:t>3. ЛЕКАРСТВЕНА ФОРМА</w:t>
      </w:r>
    </w:p>
    <w:p w14:paraId="3F3F1588" w14:textId="7229E3CF" w:rsidR="00DF4C8E" w:rsidRDefault="00DF4C8E" w:rsidP="00DF4C8E"/>
    <w:p w14:paraId="5A214EAF" w14:textId="77777777" w:rsidR="00DF4C8E" w:rsidRPr="00DF4C8E" w:rsidRDefault="00DF4C8E" w:rsidP="00DF4C8E">
      <w:pPr>
        <w:rPr>
          <w:sz w:val="24"/>
          <w:szCs w:val="24"/>
        </w:rPr>
      </w:pPr>
      <w:r w:rsidRPr="00DF4C8E">
        <w:rPr>
          <w:lang w:eastAsia="bg-BG"/>
        </w:rPr>
        <w:t xml:space="preserve">Зефацет 200 </w:t>
      </w:r>
      <w:r w:rsidRPr="00DF4C8E">
        <w:rPr>
          <w:lang w:val="en-US"/>
        </w:rPr>
        <w:t>mg</w:t>
      </w:r>
      <w:r w:rsidRPr="00DF4C8E">
        <w:rPr>
          <w:lang w:val="ru-RU"/>
        </w:rPr>
        <w:t xml:space="preserve"> </w:t>
      </w:r>
      <w:r w:rsidRPr="00DF4C8E">
        <w:rPr>
          <w:lang w:eastAsia="bg-BG"/>
        </w:rPr>
        <w:t>филмирани таблетки:</w:t>
      </w:r>
    </w:p>
    <w:p w14:paraId="4AD477A6" w14:textId="77777777" w:rsidR="00DF4C8E" w:rsidRPr="00DF4C8E" w:rsidRDefault="00DF4C8E" w:rsidP="00DF4C8E">
      <w:pPr>
        <w:rPr>
          <w:sz w:val="24"/>
          <w:szCs w:val="24"/>
        </w:rPr>
      </w:pPr>
      <w:r w:rsidRPr="00DF4C8E">
        <w:rPr>
          <w:lang w:eastAsia="bg-BG"/>
        </w:rPr>
        <w:t>Бели, кръгли двойноизпъкнали филмирани таблетки, с релефен надпис „С” от едната страна и гладка повърхност от другата страна.</w:t>
      </w:r>
    </w:p>
    <w:p w14:paraId="6BC7DC7E" w14:textId="77777777" w:rsidR="00DF4C8E" w:rsidRDefault="00DF4C8E" w:rsidP="00DF4C8E">
      <w:pPr>
        <w:rPr>
          <w:lang w:eastAsia="bg-BG"/>
        </w:rPr>
      </w:pPr>
    </w:p>
    <w:p w14:paraId="53FF009B" w14:textId="0BAFA133" w:rsidR="00DF4C8E" w:rsidRPr="00DF4C8E" w:rsidRDefault="00DF4C8E" w:rsidP="00DF4C8E">
      <w:pPr>
        <w:rPr>
          <w:sz w:val="24"/>
          <w:szCs w:val="24"/>
        </w:rPr>
      </w:pPr>
      <w:r w:rsidRPr="00DF4C8E">
        <w:rPr>
          <w:lang w:eastAsia="bg-BG"/>
        </w:rPr>
        <w:t xml:space="preserve">Зефацет 400 </w:t>
      </w:r>
      <w:r w:rsidRPr="00DF4C8E">
        <w:rPr>
          <w:lang w:val="en-US"/>
        </w:rPr>
        <w:t xml:space="preserve">mg </w:t>
      </w:r>
      <w:r w:rsidRPr="00DF4C8E">
        <w:rPr>
          <w:lang w:eastAsia="bg-BG"/>
        </w:rPr>
        <w:t>филмирани таблетки</w:t>
      </w:r>
    </w:p>
    <w:p w14:paraId="4C15817F" w14:textId="78C72A53" w:rsidR="00DF4C8E" w:rsidRPr="00DF4C8E" w:rsidRDefault="00DF4C8E" w:rsidP="00DF4C8E">
      <w:r w:rsidRPr="00DF4C8E">
        <w:rPr>
          <w:lang w:eastAsia="bg-BG"/>
        </w:rPr>
        <w:t>Бели до белезникави, с изменена правоъгълна форма филмирани таблетки, с делителна черта от двете страни. Таблетката може да бъде разделена на две равни половини.</w:t>
      </w:r>
    </w:p>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6D62CC1A" w:rsidR="00395555" w:rsidRDefault="00395555" w:rsidP="00395555"/>
    <w:p w14:paraId="2F1A9683" w14:textId="77777777" w:rsidR="00DF4C8E" w:rsidRPr="00DF4C8E" w:rsidRDefault="00DF4C8E" w:rsidP="00DF4C8E">
      <w:pPr>
        <w:spacing w:line="240" w:lineRule="auto"/>
        <w:rPr>
          <w:rFonts w:eastAsia="Times New Roman" w:cs="Arial"/>
          <w:sz w:val="28"/>
          <w:szCs w:val="24"/>
        </w:rPr>
      </w:pPr>
      <w:bookmarkStart w:id="2" w:name="bookmark0"/>
      <w:r w:rsidRPr="00DF4C8E">
        <w:rPr>
          <w:rFonts w:eastAsia="Times New Roman" w:cs="Arial"/>
          <w:b/>
          <w:bCs/>
          <w:color w:val="000000"/>
          <w:szCs w:val="20"/>
          <w:lang w:eastAsia="bg-BG"/>
        </w:rPr>
        <w:t>Цефиксим е показан за лечение на следните инфекции, причинени от чувствителни микроорганизми (вижте точка 4.4 и 5.1):</w:t>
      </w:r>
      <w:bookmarkEnd w:id="2"/>
    </w:p>
    <w:p w14:paraId="4630F7DE" w14:textId="77777777" w:rsidR="00DF4C8E" w:rsidRDefault="00DF4C8E" w:rsidP="00DF4C8E">
      <w:pPr>
        <w:pStyle w:val="ListParagraph"/>
        <w:numPr>
          <w:ilvl w:val="0"/>
          <w:numId w:val="2"/>
        </w:numPr>
        <w:spacing w:line="240" w:lineRule="auto"/>
        <w:rPr>
          <w:rFonts w:eastAsia="Times New Roman" w:cs="Arial"/>
          <w:color w:val="000000"/>
          <w:szCs w:val="20"/>
          <w:lang w:eastAsia="bg-BG"/>
        </w:rPr>
      </w:pPr>
      <w:r w:rsidRPr="00DF4C8E">
        <w:rPr>
          <w:rFonts w:eastAsia="Times New Roman" w:cs="Arial"/>
          <w:color w:val="000000"/>
          <w:szCs w:val="20"/>
          <w:lang w:eastAsia="bg-BG"/>
        </w:rPr>
        <w:t>Остър отит на средното ухо;</w:t>
      </w:r>
    </w:p>
    <w:p w14:paraId="2CFAA7F7" w14:textId="77777777" w:rsidR="00DF4C8E" w:rsidRDefault="00DF4C8E" w:rsidP="00DF4C8E">
      <w:pPr>
        <w:pStyle w:val="ListParagraph"/>
        <w:numPr>
          <w:ilvl w:val="0"/>
          <w:numId w:val="2"/>
        </w:numPr>
        <w:spacing w:line="240" w:lineRule="auto"/>
        <w:rPr>
          <w:rFonts w:eastAsia="Times New Roman" w:cs="Arial"/>
          <w:color w:val="000000"/>
          <w:szCs w:val="20"/>
          <w:lang w:eastAsia="bg-BG"/>
        </w:rPr>
      </w:pPr>
      <w:r w:rsidRPr="00DF4C8E">
        <w:rPr>
          <w:rFonts w:eastAsia="Times New Roman" w:cs="Arial"/>
          <w:color w:val="000000"/>
          <w:szCs w:val="20"/>
          <w:lang w:eastAsia="bg-BG"/>
        </w:rPr>
        <w:t>Остър бактериален фарингит;</w:t>
      </w:r>
    </w:p>
    <w:p w14:paraId="697C95AE" w14:textId="77777777" w:rsidR="00DF4C8E" w:rsidRDefault="00DF4C8E" w:rsidP="00DF4C8E">
      <w:pPr>
        <w:pStyle w:val="ListParagraph"/>
        <w:numPr>
          <w:ilvl w:val="0"/>
          <w:numId w:val="2"/>
        </w:numPr>
        <w:spacing w:line="240" w:lineRule="auto"/>
        <w:rPr>
          <w:rFonts w:eastAsia="Times New Roman" w:cs="Arial"/>
          <w:color w:val="000000"/>
          <w:szCs w:val="20"/>
          <w:lang w:eastAsia="bg-BG"/>
        </w:rPr>
      </w:pPr>
      <w:r w:rsidRPr="00DF4C8E">
        <w:rPr>
          <w:rFonts w:eastAsia="Times New Roman" w:cs="Arial"/>
          <w:color w:val="000000"/>
          <w:szCs w:val="20"/>
          <w:lang w:eastAsia="bg-BG"/>
        </w:rPr>
        <w:t>Неусложнен остър цистит;</w:t>
      </w:r>
    </w:p>
    <w:p w14:paraId="64AE9884" w14:textId="7CE7F3B0" w:rsidR="00DF4C8E" w:rsidRPr="00DF4C8E" w:rsidRDefault="00DF4C8E" w:rsidP="00DF4C8E">
      <w:pPr>
        <w:pStyle w:val="ListParagraph"/>
        <w:numPr>
          <w:ilvl w:val="0"/>
          <w:numId w:val="2"/>
        </w:numPr>
        <w:spacing w:line="240" w:lineRule="auto"/>
        <w:rPr>
          <w:rFonts w:eastAsia="Times New Roman" w:cs="Arial"/>
          <w:color w:val="000000"/>
          <w:szCs w:val="20"/>
          <w:lang w:eastAsia="bg-BG"/>
        </w:rPr>
      </w:pPr>
      <w:r w:rsidRPr="00DF4C8E">
        <w:rPr>
          <w:rFonts w:eastAsia="Times New Roman" w:cs="Arial"/>
          <w:color w:val="000000"/>
          <w:szCs w:val="20"/>
          <w:lang w:eastAsia="bg-BG"/>
        </w:rPr>
        <w:t>Неусложнена остра гонорея.</w:t>
      </w:r>
    </w:p>
    <w:p w14:paraId="023CE4E1" w14:textId="6B872008" w:rsidR="00DF4C8E" w:rsidRDefault="00DF4C8E" w:rsidP="00DF4C8E">
      <w:pPr>
        <w:rPr>
          <w:rFonts w:eastAsia="Times New Roman" w:cs="Arial"/>
          <w:color w:val="000000"/>
          <w:szCs w:val="20"/>
          <w:lang w:eastAsia="bg-BG"/>
        </w:rPr>
      </w:pPr>
      <w:r w:rsidRPr="00DF4C8E">
        <w:rPr>
          <w:rFonts w:eastAsia="Times New Roman" w:cs="Arial"/>
          <w:color w:val="000000"/>
          <w:szCs w:val="20"/>
          <w:lang w:eastAsia="bg-BG"/>
        </w:rPr>
        <w:t>Употребата на цефиксим трябва да бъде предназначена за инфекции, при които</w:t>
      </w:r>
      <w:r w:rsidRPr="00DF4C8E">
        <w:rPr>
          <w:rFonts w:eastAsia="Times New Roman" w:cs="Arial"/>
          <w:color w:val="000000"/>
          <w:szCs w:val="20"/>
          <w:lang w:val="ru-RU"/>
        </w:rPr>
        <w:t xml:space="preserve"> </w:t>
      </w:r>
      <w:r w:rsidRPr="00DF4C8E">
        <w:rPr>
          <w:rFonts w:eastAsia="Times New Roman" w:cs="Arial"/>
          <w:color w:val="000000"/>
          <w:szCs w:val="20"/>
          <w:lang w:eastAsia="bg-BG"/>
        </w:rPr>
        <w:t>за причинителите е известно или се предполага, че са резистентни към други общоизползвани антибактериални средства.</w:t>
      </w:r>
    </w:p>
    <w:p w14:paraId="39E4BB5B" w14:textId="16F473FE" w:rsidR="00DF4C8E" w:rsidRDefault="00DF4C8E" w:rsidP="00DF4C8E">
      <w:pPr>
        <w:rPr>
          <w:rFonts w:eastAsia="Times New Roman" w:cs="Arial"/>
          <w:color w:val="000000"/>
          <w:szCs w:val="20"/>
          <w:lang w:eastAsia="bg-BG"/>
        </w:rPr>
      </w:pPr>
    </w:p>
    <w:p w14:paraId="5D27F2E7" w14:textId="77777777" w:rsidR="00DF4C8E" w:rsidRPr="00DF4C8E" w:rsidRDefault="00DF4C8E" w:rsidP="00DF4C8E">
      <w:pPr>
        <w:rPr>
          <w:sz w:val="24"/>
          <w:szCs w:val="24"/>
        </w:rPr>
      </w:pPr>
      <w:r w:rsidRPr="00DF4C8E">
        <w:rPr>
          <w:lang w:eastAsia="bg-BG"/>
        </w:rPr>
        <w:lastRenderedPageBreak/>
        <w:t>Трябва да се има предвид официалното ръководство за подходящо използване на антибактериални средства.</w:t>
      </w:r>
    </w:p>
    <w:p w14:paraId="3B129A43" w14:textId="5802DCFD" w:rsidR="00DF4C8E" w:rsidRPr="00DF4C8E" w:rsidRDefault="00DF4C8E" w:rsidP="00DF4C8E">
      <w:pPr>
        <w:rPr>
          <w:rFonts w:cs="Arial"/>
          <w:sz w:val="24"/>
        </w:rPr>
      </w:pPr>
    </w:p>
    <w:p w14:paraId="7C0CA5EB" w14:textId="609E698C" w:rsidR="00C0049F" w:rsidRDefault="002C50EE" w:rsidP="009F1313">
      <w:pPr>
        <w:pStyle w:val="Heading2"/>
      </w:pPr>
      <w:r>
        <w:t>4.2. Дозировка и начин на приложение</w:t>
      </w:r>
    </w:p>
    <w:p w14:paraId="384413B3" w14:textId="26B48CD3" w:rsidR="00DF4C8E" w:rsidRDefault="00DF4C8E" w:rsidP="00DF4C8E"/>
    <w:p w14:paraId="389F4666" w14:textId="77777777" w:rsidR="00DF4C8E" w:rsidRPr="00DF4C8E" w:rsidRDefault="00DF4C8E" w:rsidP="00DF4C8E">
      <w:pPr>
        <w:pStyle w:val="Heading3"/>
        <w:rPr>
          <w:rFonts w:eastAsia="Times New Roman"/>
          <w:b/>
          <w:sz w:val="28"/>
          <w:u w:val="single"/>
        </w:rPr>
      </w:pPr>
      <w:r w:rsidRPr="00DF4C8E">
        <w:rPr>
          <w:rFonts w:eastAsia="Times New Roman"/>
          <w:b/>
          <w:u w:val="single"/>
          <w:lang w:eastAsia="bg-BG"/>
        </w:rPr>
        <w:t>Дозировка</w:t>
      </w:r>
    </w:p>
    <w:p w14:paraId="515C9A42" w14:textId="77777777" w:rsidR="00DF4C8E" w:rsidRPr="00DF4C8E" w:rsidRDefault="00DF4C8E" w:rsidP="00DF4C8E">
      <w:pPr>
        <w:spacing w:line="240" w:lineRule="auto"/>
        <w:rPr>
          <w:rFonts w:eastAsia="Times New Roman" w:cs="Arial"/>
          <w:sz w:val="28"/>
          <w:szCs w:val="24"/>
        </w:rPr>
      </w:pPr>
      <w:r w:rsidRPr="00DF4C8E">
        <w:rPr>
          <w:rFonts w:eastAsia="Times New Roman" w:cs="Arial"/>
          <w:i/>
          <w:iCs/>
          <w:color w:val="000000"/>
          <w:szCs w:val="20"/>
          <w:u w:val="single"/>
          <w:lang w:eastAsia="bg-BG"/>
        </w:rPr>
        <w:t>Възрастни и юноши (≥12 години):</w:t>
      </w:r>
    </w:p>
    <w:p w14:paraId="6896C2B2" w14:textId="77777777"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lang w:eastAsia="bg-BG"/>
        </w:rPr>
        <w:t xml:space="preserve">Обичайната доза за възрастни е 400 </w:t>
      </w:r>
      <w:r w:rsidRPr="00DF4C8E">
        <w:rPr>
          <w:rFonts w:eastAsia="Times New Roman" w:cs="Arial"/>
          <w:color w:val="000000"/>
          <w:szCs w:val="20"/>
          <w:lang w:val="en-US"/>
        </w:rPr>
        <w:t>mg</w:t>
      </w:r>
      <w:r w:rsidRPr="00DF4C8E">
        <w:rPr>
          <w:rFonts w:eastAsia="Times New Roman" w:cs="Arial"/>
          <w:color w:val="000000"/>
          <w:szCs w:val="20"/>
          <w:lang w:val="ru-RU"/>
        </w:rPr>
        <w:t xml:space="preserve"> </w:t>
      </w:r>
      <w:r w:rsidRPr="00DF4C8E">
        <w:rPr>
          <w:rFonts w:eastAsia="Times New Roman" w:cs="Arial"/>
          <w:color w:val="000000"/>
          <w:szCs w:val="20"/>
          <w:lang w:eastAsia="bg-BG"/>
        </w:rPr>
        <w:t>дневно, приета като единична дневна доза или разделена на два равни перорални приема.</w:t>
      </w:r>
    </w:p>
    <w:p w14:paraId="48B0A8F2" w14:textId="77777777" w:rsidR="00DF4C8E" w:rsidRDefault="00DF4C8E" w:rsidP="00DF4C8E">
      <w:pPr>
        <w:pStyle w:val="ListParagraph"/>
        <w:numPr>
          <w:ilvl w:val="0"/>
          <w:numId w:val="2"/>
        </w:numPr>
        <w:spacing w:line="240" w:lineRule="auto"/>
        <w:rPr>
          <w:rFonts w:eastAsia="Times New Roman" w:cs="Arial"/>
          <w:color w:val="000000"/>
          <w:szCs w:val="20"/>
          <w:lang w:eastAsia="bg-BG"/>
        </w:rPr>
      </w:pPr>
      <w:r w:rsidRPr="00DF4C8E">
        <w:rPr>
          <w:rFonts w:eastAsia="Times New Roman" w:cs="Arial"/>
          <w:color w:val="000000"/>
          <w:szCs w:val="20"/>
          <w:lang w:eastAsia="bg-BG"/>
        </w:rPr>
        <w:t xml:space="preserve">400 </w:t>
      </w:r>
      <w:r w:rsidRPr="00DF4C8E">
        <w:rPr>
          <w:rFonts w:eastAsia="Times New Roman" w:cs="Arial"/>
          <w:color w:val="000000"/>
          <w:szCs w:val="20"/>
          <w:lang w:val="en-US"/>
        </w:rPr>
        <w:t>mg</w:t>
      </w:r>
      <w:r w:rsidRPr="00DF4C8E">
        <w:rPr>
          <w:rFonts w:eastAsia="Times New Roman" w:cs="Arial"/>
          <w:color w:val="000000"/>
          <w:szCs w:val="20"/>
          <w:lang w:val="ru-RU"/>
        </w:rPr>
        <w:t xml:space="preserve"> </w:t>
      </w:r>
      <w:r w:rsidRPr="00DF4C8E">
        <w:rPr>
          <w:rFonts w:eastAsia="Times New Roman" w:cs="Arial"/>
          <w:color w:val="000000"/>
          <w:szCs w:val="20"/>
          <w:lang w:eastAsia="bg-BG"/>
        </w:rPr>
        <w:t>(на 1 или на две дози) от 7 до 10 дни при остър отит на средното ухо и остър бактериален фарингит;</w:t>
      </w:r>
    </w:p>
    <w:p w14:paraId="71092429" w14:textId="77777777" w:rsidR="00DF4C8E" w:rsidRDefault="00DF4C8E" w:rsidP="00DF4C8E">
      <w:pPr>
        <w:pStyle w:val="ListParagraph"/>
        <w:numPr>
          <w:ilvl w:val="0"/>
          <w:numId w:val="2"/>
        </w:numPr>
        <w:spacing w:line="240" w:lineRule="auto"/>
        <w:rPr>
          <w:rFonts w:eastAsia="Times New Roman" w:cs="Arial"/>
          <w:color w:val="000000"/>
          <w:szCs w:val="20"/>
          <w:lang w:eastAsia="bg-BG"/>
        </w:rPr>
      </w:pPr>
      <w:r w:rsidRPr="00DF4C8E">
        <w:rPr>
          <w:rFonts w:eastAsia="Times New Roman" w:cs="Arial"/>
          <w:color w:val="000000"/>
          <w:szCs w:val="20"/>
          <w:lang w:eastAsia="bg-BG"/>
        </w:rPr>
        <w:t xml:space="preserve">400 </w:t>
      </w:r>
      <w:r w:rsidRPr="00DF4C8E">
        <w:rPr>
          <w:rFonts w:eastAsia="Times New Roman" w:cs="Arial"/>
          <w:color w:val="000000"/>
          <w:szCs w:val="20"/>
          <w:lang w:val="en-US"/>
        </w:rPr>
        <w:t>mg</w:t>
      </w:r>
      <w:r w:rsidRPr="00DF4C8E">
        <w:rPr>
          <w:rFonts w:eastAsia="Times New Roman" w:cs="Arial"/>
          <w:color w:val="000000"/>
          <w:szCs w:val="20"/>
          <w:lang w:val="ru-RU"/>
        </w:rPr>
        <w:t xml:space="preserve"> </w:t>
      </w:r>
      <w:r w:rsidRPr="00DF4C8E">
        <w:rPr>
          <w:rFonts w:eastAsia="Times New Roman" w:cs="Arial"/>
          <w:color w:val="000000"/>
          <w:szCs w:val="20"/>
          <w:lang w:eastAsia="bg-BG"/>
        </w:rPr>
        <w:t>(на 1 или на 2 дози) от 1 до 3 дни при неусложнен остър цистит при жени;</w:t>
      </w:r>
    </w:p>
    <w:p w14:paraId="0EDBE5DC" w14:textId="7714B8F9" w:rsidR="00DF4C8E" w:rsidRPr="00DF4C8E" w:rsidRDefault="00DF4C8E" w:rsidP="00DF4C8E">
      <w:pPr>
        <w:pStyle w:val="ListParagraph"/>
        <w:numPr>
          <w:ilvl w:val="0"/>
          <w:numId w:val="2"/>
        </w:numPr>
        <w:spacing w:line="240" w:lineRule="auto"/>
        <w:rPr>
          <w:rFonts w:eastAsia="Times New Roman" w:cs="Arial"/>
          <w:color w:val="000000"/>
          <w:szCs w:val="20"/>
          <w:lang w:eastAsia="bg-BG"/>
        </w:rPr>
      </w:pPr>
      <w:r w:rsidRPr="00DF4C8E">
        <w:rPr>
          <w:rFonts w:eastAsia="Times New Roman" w:cs="Arial"/>
          <w:color w:val="000000"/>
          <w:szCs w:val="20"/>
          <w:lang w:eastAsia="bg-BG"/>
        </w:rPr>
        <w:t xml:space="preserve">400 </w:t>
      </w:r>
      <w:r w:rsidRPr="00DF4C8E">
        <w:rPr>
          <w:rFonts w:eastAsia="Times New Roman" w:cs="Arial"/>
          <w:color w:val="000000"/>
          <w:szCs w:val="20"/>
          <w:lang w:val="en-US"/>
        </w:rPr>
        <w:t xml:space="preserve">mg </w:t>
      </w:r>
      <w:r w:rsidRPr="00DF4C8E">
        <w:rPr>
          <w:rFonts w:eastAsia="Times New Roman" w:cs="Arial"/>
          <w:color w:val="000000"/>
          <w:szCs w:val="20"/>
          <w:lang w:eastAsia="bg-BG"/>
        </w:rPr>
        <w:t>(1 доза), неусложнена гонорея.</w:t>
      </w:r>
    </w:p>
    <w:p w14:paraId="7E2A9271" w14:textId="77777777" w:rsidR="00DF4C8E" w:rsidRPr="00DF4C8E" w:rsidRDefault="00DF4C8E" w:rsidP="00DF4C8E">
      <w:pPr>
        <w:spacing w:line="240" w:lineRule="auto"/>
        <w:rPr>
          <w:rFonts w:eastAsia="Times New Roman" w:cs="Arial"/>
          <w:b/>
          <w:bCs/>
          <w:color w:val="000000"/>
          <w:szCs w:val="20"/>
          <w:lang w:eastAsia="bg-BG"/>
        </w:rPr>
      </w:pPr>
    </w:p>
    <w:p w14:paraId="250DD030" w14:textId="4CB95CD1" w:rsidR="00DF4C8E" w:rsidRPr="00DF4C8E" w:rsidRDefault="00DF4C8E" w:rsidP="00DF4C8E">
      <w:pPr>
        <w:spacing w:line="240" w:lineRule="auto"/>
        <w:rPr>
          <w:rFonts w:eastAsia="Times New Roman" w:cs="Arial"/>
          <w:sz w:val="28"/>
          <w:szCs w:val="24"/>
        </w:rPr>
      </w:pPr>
      <w:r w:rsidRPr="00DF4C8E">
        <w:rPr>
          <w:rFonts w:eastAsia="Times New Roman" w:cs="Arial"/>
          <w:b/>
          <w:bCs/>
          <w:color w:val="000000"/>
          <w:szCs w:val="20"/>
          <w:lang w:eastAsia="bg-BG"/>
        </w:rPr>
        <w:t>Пациенти в старческа възраст</w:t>
      </w:r>
    </w:p>
    <w:p w14:paraId="1DF892D0" w14:textId="77777777"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lang w:eastAsia="bg-BG"/>
        </w:rPr>
        <w:t>На пациенти в старческа възраст може да се дава същата доза, препоръчвана при възрастни. Трябва да се направи оценка на бъбречната функция и да се коригира дозата при тежко бъбречно увреждане (вижте по-горе и точка 4.4).</w:t>
      </w:r>
    </w:p>
    <w:p w14:paraId="74D2EEC5" w14:textId="77777777" w:rsidR="00DF4C8E" w:rsidRPr="00DF4C8E" w:rsidRDefault="00DF4C8E" w:rsidP="00DF4C8E">
      <w:pPr>
        <w:spacing w:line="240" w:lineRule="auto"/>
        <w:rPr>
          <w:rFonts w:eastAsia="Times New Roman" w:cs="Arial"/>
          <w:b/>
          <w:bCs/>
          <w:color w:val="000000"/>
          <w:szCs w:val="20"/>
          <w:lang w:eastAsia="bg-BG"/>
        </w:rPr>
      </w:pPr>
      <w:bookmarkStart w:id="3" w:name="bookmark2"/>
    </w:p>
    <w:p w14:paraId="6424F314" w14:textId="600D2F0D" w:rsidR="00DF4C8E" w:rsidRPr="00DF4C8E" w:rsidRDefault="00DF4C8E" w:rsidP="00DF4C8E">
      <w:pPr>
        <w:spacing w:line="240" w:lineRule="auto"/>
        <w:rPr>
          <w:rFonts w:eastAsia="Times New Roman" w:cs="Arial"/>
          <w:sz w:val="28"/>
          <w:szCs w:val="24"/>
        </w:rPr>
      </w:pPr>
      <w:r w:rsidRPr="00DF4C8E">
        <w:rPr>
          <w:rFonts w:eastAsia="Times New Roman" w:cs="Arial"/>
          <w:b/>
          <w:bCs/>
          <w:color w:val="000000"/>
          <w:szCs w:val="20"/>
          <w:lang w:eastAsia="bg-BG"/>
        </w:rPr>
        <w:t>Педиатрична популация</w:t>
      </w:r>
      <w:bookmarkEnd w:id="3"/>
    </w:p>
    <w:p w14:paraId="788E24F9" w14:textId="5B1EEEBB" w:rsidR="00DF4C8E" w:rsidRPr="00DF4C8E" w:rsidRDefault="00DF4C8E" w:rsidP="00DF4C8E">
      <w:pPr>
        <w:spacing w:line="240" w:lineRule="auto"/>
        <w:rPr>
          <w:rFonts w:eastAsia="Times New Roman" w:cs="Arial"/>
          <w:sz w:val="28"/>
          <w:szCs w:val="24"/>
        </w:rPr>
      </w:pPr>
      <w:r w:rsidRPr="00DF4C8E">
        <w:rPr>
          <w:rFonts w:eastAsia="Times New Roman" w:cs="Arial"/>
          <w:b/>
          <w:bCs/>
          <w:color w:val="000000"/>
          <w:szCs w:val="20"/>
          <w:lang w:eastAsia="bg-BG"/>
        </w:rPr>
        <w:t>Деца от 6 месеца до 11 години</w:t>
      </w:r>
    </w:p>
    <w:p w14:paraId="002D5514" w14:textId="77777777"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lang w:eastAsia="bg-BG"/>
        </w:rPr>
        <w:t xml:space="preserve">Препоръчва се при деца от 6 месеца до 11 години да се дава цефиксим перорална суспензия, защото таблетките от 200 </w:t>
      </w:r>
      <w:r w:rsidRPr="00DF4C8E">
        <w:rPr>
          <w:rFonts w:eastAsia="Times New Roman" w:cs="Arial"/>
          <w:color w:val="000000"/>
          <w:szCs w:val="20"/>
          <w:lang w:val="en-US"/>
        </w:rPr>
        <w:t>mg</w:t>
      </w:r>
      <w:r w:rsidRPr="00DF4C8E">
        <w:rPr>
          <w:rFonts w:eastAsia="Times New Roman" w:cs="Arial"/>
          <w:color w:val="000000"/>
          <w:szCs w:val="20"/>
          <w:lang w:val="ru-RU"/>
        </w:rPr>
        <w:t xml:space="preserve"> </w:t>
      </w:r>
      <w:r w:rsidRPr="00DF4C8E">
        <w:rPr>
          <w:rFonts w:eastAsia="Times New Roman" w:cs="Arial"/>
          <w:color w:val="000000"/>
          <w:szCs w:val="20"/>
          <w:lang w:eastAsia="bg-BG"/>
        </w:rPr>
        <w:t>не могат да бъдат дозирани при тази възрастова група.</w:t>
      </w:r>
    </w:p>
    <w:p w14:paraId="6625940A" w14:textId="77777777"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lang w:eastAsia="bg-BG"/>
        </w:rPr>
        <w:t xml:space="preserve">Препоръчителната дозировка при деца в тази възрастова група е 8 </w:t>
      </w:r>
      <w:r w:rsidRPr="00DF4C8E">
        <w:rPr>
          <w:rFonts w:eastAsia="Times New Roman" w:cs="Arial"/>
          <w:color w:val="000000"/>
          <w:szCs w:val="20"/>
          <w:lang w:val="en-US"/>
        </w:rPr>
        <w:t>mg</w:t>
      </w:r>
      <w:r w:rsidRPr="00DF4C8E">
        <w:rPr>
          <w:rFonts w:eastAsia="Times New Roman" w:cs="Arial"/>
          <w:color w:val="000000"/>
          <w:szCs w:val="20"/>
          <w:lang w:val="ru-RU"/>
        </w:rPr>
        <w:t>/</w:t>
      </w:r>
      <w:r w:rsidRPr="00DF4C8E">
        <w:rPr>
          <w:rFonts w:eastAsia="Times New Roman" w:cs="Arial"/>
          <w:color w:val="000000"/>
          <w:szCs w:val="20"/>
          <w:lang w:val="en-US"/>
        </w:rPr>
        <w:t>kg</w:t>
      </w:r>
      <w:r w:rsidRPr="00DF4C8E">
        <w:rPr>
          <w:rFonts w:eastAsia="Times New Roman" w:cs="Arial"/>
          <w:color w:val="000000"/>
          <w:szCs w:val="20"/>
          <w:lang w:eastAsia="bg-BG"/>
        </w:rPr>
        <w:t>/дневно като еднократна доза или разделена на две дози в зависимост от телесното тегло.</w:t>
      </w:r>
    </w:p>
    <w:p w14:paraId="59A138E1" w14:textId="77777777" w:rsidR="00DF4C8E" w:rsidRPr="00DF4C8E" w:rsidRDefault="00DF4C8E" w:rsidP="00DF4C8E">
      <w:pPr>
        <w:spacing w:line="240" w:lineRule="auto"/>
        <w:rPr>
          <w:rFonts w:eastAsia="Times New Roman" w:cs="Arial"/>
          <w:b/>
          <w:bCs/>
          <w:color w:val="000000"/>
          <w:szCs w:val="20"/>
          <w:lang w:eastAsia="bg-BG"/>
        </w:rPr>
      </w:pPr>
      <w:bookmarkStart w:id="4" w:name="bookmark5"/>
    </w:p>
    <w:p w14:paraId="4AAD312E" w14:textId="1F31EEC2" w:rsidR="00DF4C8E" w:rsidRPr="00DF4C8E" w:rsidRDefault="00DF4C8E" w:rsidP="00DF4C8E">
      <w:pPr>
        <w:spacing w:line="240" w:lineRule="auto"/>
        <w:rPr>
          <w:rFonts w:eastAsia="Times New Roman" w:cs="Arial"/>
          <w:sz w:val="28"/>
          <w:szCs w:val="24"/>
        </w:rPr>
      </w:pPr>
      <w:r w:rsidRPr="00DF4C8E">
        <w:rPr>
          <w:rFonts w:eastAsia="Times New Roman" w:cs="Arial"/>
          <w:b/>
          <w:bCs/>
          <w:color w:val="000000"/>
          <w:szCs w:val="20"/>
          <w:lang w:eastAsia="bg-BG"/>
        </w:rPr>
        <w:t>Деца на възраст под 6 месеца</w:t>
      </w:r>
      <w:bookmarkEnd w:id="4"/>
    </w:p>
    <w:p w14:paraId="71448900" w14:textId="77777777"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lang w:eastAsia="bg-BG"/>
        </w:rPr>
        <w:t>Безопасността и ефикасността на цефиксим не е установена при деца по-малки от 6 месеца.</w:t>
      </w:r>
    </w:p>
    <w:p w14:paraId="1159056D" w14:textId="77777777" w:rsidR="00DF4C8E" w:rsidRPr="00DF4C8E" w:rsidRDefault="00DF4C8E" w:rsidP="00DF4C8E">
      <w:pPr>
        <w:spacing w:line="240" w:lineRule="auto"/>
        <w:rPr>
          <w:rFonts w:eastAsia="Times New Roman" w:cs="Arial"/>
          <w:b/>
          <w:bCs/>
          <w:color w:val="000000"/>
          <w:szCs w:val="20"/>
          <w:lang w:eastAsia="bg-BG"/>
        </w:rPr>
      </w:pPr>
      <w:bookmarkStart w:id="5" w:name="bookmark7"/>
    </w:p>
    <w:p w14:paraId="6D48B64A" w14:textId="778DADFF" w:rsidR="00DF4C8E" w:rsidRPr="00DF4C8E" w:rsidRDefault="00DF4C8E" w:rsidP="00DF4C8E">
      <w:pPr>
        <w:spacing w:line="240" w:lineRule="auto"/>
        <w:rPr>
          <w:rFonts w:eastAsia="Times New Roman" w:cs="Arial"/>
          <w:sz w:val="28"/>
          <w:szCs w:val="24"/>
        </w:rPr>
      </w:pPr>
      <w:r w:rsidRPr="00DF4C8E">
        <w:rPr>
          <w:rFonts w:eastAsia="Times New Roman" w:cs="Arial"/>
          <w:b/>
          <w:bCs/>
          <w:color w:val="000000"/>
          <w:szCs w:val="20"/>
          <w:lang w:eastAsia="bg-BG"/>
        </w:rPr>
        <w:t>Бъбречна недостатъчност</w:t>
      </w:r>
      <w:bookmarkEnd w:id="5"/>
    </w:p>
    <w:p w14:paraId="1986274D" w14:textId="77777777"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lang w:eastAsia="bg-BG"/>
        </w:rPr>
        <w:t xml:space="preserve">Цефиксим може да се прилага при увредена бъбречна функция. Нормалната доза и схема може да се дава при пациенти с креатининов клирънс 20 </w:t>
      </w:r>
      <w:r w:rsidRPr="00DF4C8E">
        <w:rPr>
          <w:rFonts w:eastAsia="Times New Roman" w:cs="Arial"/>
          <w:color w:val="000000"/>
          <w:szCs w:val="20"/>
          <w:lang w:val="en-US"/>
        </w:rPr>
        <w:t>ml</w:t>
      </w:r>
      <w:r w:rsidRPr="00DF4C8E">
        <w:rPr>
          <w:rFonts w:eastAsia="Times New Roman" w:cs="Arial"/>
          <w:color w:val="000000"/>
          <w:szCs w:val="20"/>
          <w:lang w:val="ru-RU"/>
        </w:rPr>
        <w:t>/</w:t>
      </w:r>
      <w:r w:rsidRPr="00DF4C8E">
        <w:rPr>
          <w:rFonts w:eastAsia="Times New Roman" w:cs="Arial"/>
          <w:color w:val="000000"/>
          <w:szCs w:val="20"/>
          <w:lang w:val="en-US"/>
        </w:rPr>
        <w:t>min</w:t>
      </w:r>
      <w:r w:rsidRPr="00DF4C8E">
        <w:rPr>
          <w:rFonts w:eastAsia="Times New Roman" w:cs="Arial"/>
          <w:color w:val="000000"/>
          <w:szCs w:val="20"/>
          <w:lang w:val="ru-RU"/>
        </w:rPr>
        <w:t xml:space="preserve"> </w:t>
      </w:r>
      <w:r w:rsidRPr="00DF4C8E">
        <w:rPr>
          <w:rFonts w:eastAsia="Times New Roman" w:cs="Arial"/>
          <w:color w:val="000000"/>
          <w:szCs w:val="20"/>
          <w:lang w:eastAsia="bg-BG"/>
        </w:rPr>
        <w:t xml:space="preserve">или по-висок. При пациенти, чийто креатининов клирънс е по-нисък от 20 </w:t>
      </w:r>
      <w:r w:rsidRPr="00DF4C8E">
        <w:rPr>
          <w:rFonts w:eastAsia="Times New Roman" w:cs="Arial"/>
          <w:color w:val="000000"/>
          <w:szCs w:val="20"/>
          <w:lang w:val="en-US"/>
        </w:rPr>
        <w:t>ml</w:t>
      </w:r>
      <w:r w:rsidRPr="00DF4C8E">
        <w:rPr>
          <w:rFonts w:eastAsia="Times New Roman" w:cs="Arial"/>
          <w:color w:val="000000"/>
          <w:szCs w:val="20"/>
          <w:lang w:val="ru-RU"/>
        </w:rPr>
        <w:t>/</w:t>
      </w:r>
      <w:r w:rsidRPr="00DF4C8E">
        <w:rPr>
          <w:rFonts w:eastAsia="Times New Roman" w:cs="Arial"/>
          <w:color w:val="000000"/>
          <w:szCs w:val="20"/>
          <w:lang w:val="en-US"/>
        </w:rPr>
        <w:t>min</w:t>
      </w:r>
      <w:r w:rsidRPr="00DF4C8E">
        <w:rPr>
          <w:rFonts w:eastAsia="Times New Roman" w:cs="Arial"/>
          <w:color w:val="000000"/>
          <w:szCs w:val="20"/>
          <w:lang w:val="ru-RU"/>
        </w:rPr>
        <w:t xml:space="preserve">, </w:t>
      </w:r>
      <w:r w:rsidRPr="00DF4C8E">
        <w:rPr>
          <w:rFonts w:eastAsia="Times New Roman" w:cs="Arial"/>
          <w:color w:val="000000"/>
          <w:szCs w:val="20"/>
          <w:lang w:eastAsia="bg-BG"/>
        </w:rPr>
        <w:t xml:space="preserve">се препоръчва доза от 200 </w:t>
      </w:r>
      <w:r w:rsidRPr="00DF4C8E">
        <w:rPr>
          <w:rFonts w:eastAsia="Times New Roman" w:cs="Arial"/>
          <w:color w:val="000000"/>
          <w:szCs w:val="20"/>
          <w:lang w:val="en-US"/>
        </w:rPr>
        <w:t>mg</w:t>
      </w:r>
      <w:r w:rsidRPr="00DF4C8E">
        <w:rPr>
          <w:rFonts w:eastAsia="Times New Roman" w:cs="Arial"/>
          <w:color w:val="000000"/>
          <w:szCs w:val="20"/>
          <w:lang w:val="ru-RU"/>
        </w:rPr>
        <w:t xml:space="preserve"> </w:t>
      </w:r>
      <w:r w:rsidRPr="00DF4C8E">
        <w:rPr>
          <w:rFonts w:eastAsia="Times New Roman" w:cs="Arial"/>
          <w:color w:val="000000"/>
          <w:szCs w:val="20"/>
          <w:lang w:eastAsia="bg-BG"/>
        </w:rPr>
        <w:t xml:space="preserve">веднъж дневно да не се превишава. Дозата и режима за пациенти, които се поддържат с хронична амбулаторна перитонеална диализа или хемодиализа трябва да следват същите препоръки, както при пациенти с креатининов клирънс под 20 </w:t>
      </w:r>
      <w:r w:rsidRPr="00DF4C8E">
        <w:rPr>
          <w:rFonts w:eastAsia="Times New Roman" w:cs="Arial"/>
          <w:color w:val="000000"/>
          <w:szCs w:val="20"/>
          <w:lang w:val="en-US"/>
        </w:rPr>
        <w:t>ml</w:t>
      </w:r>
      <w:r w:rsidRPr="00DF4C8E">
        <w:rPr>
          <w:rFonts w:eastAsia="Times New Roman" w:cs="Arial"/>
          <w:color w:val="000000"/>
          <w:szCs w:val="20"/>
          <w:lang w:val="ru-RU"/>
        </w:rPr>
        <w:t>/</w:t>
      </w:r>
      <w:r w:rsidRPr="00DF4C8E">
        <w:rPr>
          <w:rFonts w:eastAsia="Times New Roman" w:cs="Arial"/>
          <w:color w:val="000000"/>
          <w:szCs w:val="20"/>
          <w:lang w:val="en-US"/>
        </w:rPr>
        <w:t>min</w:t>
      </w:r>
      <w:r w:rsidRPr="00DF4C8E">
        <w:rPr>
          <w:rFonts w:eastAsia="Times New Roman" w:cs="Arial"/>
          <w:color w:val="000000"/>
          <w:szCs w:val="20"/>
          <w:lang w:val="ru-RU"/>
        </w:rPr>
        <w:t>.</w:t>
      </w:r>
    </w:p>
    <w:p w14:paraId="6291343B" w14:textId="77777777" w:rsidR="00DF4C8E" w:rsidRPr="00DF4C8E" w:rsidRDefault="00DF4C8E" w:rsidP="00DF4C8E">
      <w:pPr>
        <w:spacing w:line="240" w:lineRule="auto"/>
        <w:rPr>
          <w:rFonts w:eastAsia="Times New Roman" w:cs="Arial"/>
          <w:color w:val="000000"/>
          <w:szCs w:val="20"/>
          <w:lang w:eastAsia="bg-BG"/>
        </w:rPr>
      </w:pPr>
    </w:p>
    <w:p w14:paraId="4A9E7689" w14:textId="5E82FF83"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lang w:eastAsia="bg-BG"/>
        </w:rPr>
        <w:t>Няма достатъчно данни за употреба на цефиксим при деца под 12 години с бъбречна недостатъчност: употребата на цефиксим при тези пациенти не се препоръчва.</w:t>
      </w:r>
    </w:p>
    <w:p w14:paraId="604BFF03" w14:textId="77777777" w:rsidR="00DF4C8E" w:rsidRPr="00DF4C8E" w:rsidRDefault="00DF4C8E" w:rsidP="00DF4C8E">
      <w:pPr>
        <w:spacing w:line="240" w:lineRule="auto"/>
        <w:rPr>
          <w:rFonts w:eastAsia="Times New Roman" w:cs="Arial"/>
          <w:b/>
          <w:bCs/>
          <w:color w:val="000000"/>
          <w:szCs w:val="20"/>
          <w:u w:val="single"/>
          <w:lang w:eastAsia="bg-BG"/>
        </w:rPr>
      </w:pPr>
      <w:bookmarkStart w:id="6" w:name="bookmark9"/>
    </w:p>
    <w:p w14:paraId="3C363D23" w14:textId="7CCD0529" w:rsidR="00DF4C8E" w:rsidRPr="00DF4C8E" w:rsidRDefault="00DF4C8E" w:rsidP="00DF4C8E">
      <w:pPr>
        <w:pStyle w:val="Heading3"/>
        <w:rPr>
          <w:rFonts w:eastAsia="Times New Roman"/>
          <w:b/>
          <w:sz w:val="28"/>
          <w:u w:val="single"/>
        </w:rPr>
      </w:pPr>
      <w:r w:rsidRPr="00DF4C8E">
        <w:rPr>
          <w:rFonts w:eastAsia="Times New Roman"/>
          <w:b/>
          <w:u w:val="single"/>
          <w:lang w:eastAsia="bg-BG"/>
        </w:rPr>
        <w:t>Начин на приложение</w:t>
      </w:r>
      <w:bookmarkEnd w:id="6"/>
    </w:p>
    <w:p w14:paraId="07D4399D" w14:textId="77777777"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lang w:eastAsia="bg-BG"/>
        </w:rPr>
        <w:t>Таблетките цефиксим са за перорално приложение само. Таблетките цефиксим трябва да се приемат с достатъчно количетсво вода.</w:t>
      </w:r>
    </w:p>
    <w:p w14:paraId="73B303F7" w14:textId="77777777"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lang w:eastAsia="bg-BG"/>
        </w:rPr>
        <w:t>Цефиксим може да се приема с или без храна (вижте точка 5.2).</w:t>
      </w:r>
    </w:p>
    <w:p w14:paraId="409DB246" w14:textId="77777777" w:rsidR="00DF4C8E" w:rsidRPr="00DF4C8E" w:rsidRDefault="00DF4C8E" w:rsidP="00DF4C8E">
      <w:pPr>
        <w:spacing w:line="240" w:lineRule="auto"/>
        <w:rPr>
          <w:rFonts w:eastAsia="Times New Roman" w:cs="Arial"/>
          <w:b/>
          <w:bCs/>
          <w:color w:val="000000"/>
          <w:szCs w:val="20"/>
          <w:u w:val="single"/>
          <w:lang w:eastAsia="bg-BG"/>
        </w:rPr>
      </w:pPr>
      <w:bookmarkStart w:id="7" w:name="bookmark11"/>
    </w:p>
    <w:p w14:paraId="35AC02F5" w14:textId="52667B86" w:rsidR="00DF4C8E" w:rsidRPr="00DF4C8E" w:rsidRDefault="00DF4C8E" w:rsidP="00DF4C8E">
      <w:pPr>
        <w:spacing w:line="240" w:lineRule="auto"/>
        <w:rPr>
          <w:rFonts w:eastAsia="Times New Roman" w:cs="Arial"/>
          <w:sz w:val="28"/>
          <w:szCs w:val="24"/>
        </w:rPr>
      </w:pPr>
      <w:r w:rsidRPr="00DF4C8E">
        <w:rPr>
          <w:rFonts w:eastAsia="Times New Roman" w:cs="Arial"/>
          <w:b/>
          <w:bCs/>
          <w:color w:val="000000"/>
          <w:szCs w:val="20"/>
          <w:u w:val="single"/>
          <w:lang w:eastAsia="bg-BG"/>
        </w:rPr>
        <w:t>Продължителност на лечението</w:t>
      </w:r>
      <w:bookmarkEnd w:id="7"/>
    </w:p>
    <w:p w14:paraId="22FA3DF5" w14:textId="77777777"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lang w:eastAsia="bg-BG"/>
        </w:rPr>
        <w:lastRenderedPageBreak/>
        <w:t>Обичайният курс на лечение е 7 дни. Той може да бъде удължен до 14 дни ако е необходимо.</w:t>
      </w:r>
    </w:p>
    <w:p w14:paraId="778B4979" w14:textId="77777777" w:rsidR="00DF4C8E" w:rsidRPr="00DF4C8E" w:rsidRDefault="00DF4C8E" w:rsidP="00DF4C8E"/>
    <w:p w14:paraId="62B13D0B" w14:textId="048B25F3" w:rsidR="00395555" w:rsidRDefault="002C50EE" w:rsidP="008A6AF2">
      <w:pPr>
        <w:pStyle w:val="Heading2"/>
      </w:pPr>
      <w:r>
        <w:t>4.3. Противопоказания</w:t>
      </w:r>
    </w:p>
    <w:p w14:paraId="693B7FEA" w14:textId="2AA72D65" w:rsidR="00DF4C8E" w:rsidRDefault="00DF4C8E" w:rsidP="00DF4C8E"/>
    <w:p w14:paraId="16169EDD" w14:textId="77777777" w:rsidR="00DF4C8E" w:rsidRPr="00DF4C8E" w:rsidRDefault="00DF4C8E" w:rsidP="00DF4C8E">
      <w:pPr>
        <w:rPr>
          <w:sz w:val="24"/>
          <w:szCs w:val="24"/>
        </w:rPr>
      </w:pPr>
      <w:r w:rsidRPr="00DF4C8E">
        <w:rPr>
          <w:lang w:eastAsia="bg-BG"/>
        </w:rPr>
        <w:t>Свръхчувствителност към активното вещество, други цефалоспоринови антибиотици или някое от помощните вещества, изброени в точка 6.1. Анамнеза за предишна, внезапна и/или реакция на свръхчувствителност към пеницилин или друг бета-лактамен антибиотик.</w:t>
      </w:r>
    </w:p>
    <w:p w14:paraId="6A85390E" w14:textId="77777777" w:rsidR="00DF4C8E" w:rsidRPr="00DF4C8E" w:rsidRDefault="00DF4C8E" w:rsidP="00DF4C8E"/>
    <w:p w14:paraId="5A4AC413" w14:textId="7CD93CB4" w:rsidR="00395555" w:rsidRDefault="002C50EE" w:rsidP="008A6AF2">
      <w:pPr>
        <w:pStyle w:val="Heading2"/>
      </w:pPr>
      <w:r>
        <w:t>4.4. Специални предупреждения и предпазни мерки при употреба</w:t>
      </w:r>
    </w:p>
    <w:p w14:paraId="34FAC87B" w14:textId="13E9D4F4" w:rsidR="00DF4C8E" w:rsidRDefault="00DF4C8E" w:rsidP="00DF4C8E"/>
    <w:p w14:paraId="5B9D9434" w14:textId="77777777" w:rsidR="00DF4C8E" w:rsidRPr="00DF4C8E" w:rsidRDefault="00DF4C8E" w:rsidP="00DF4C8E">
      <w:pPr>
        <w:spacing w:line="240" w:lineRule="auto"/>
        <w:rPr>
          <w:rFonts w:eastAsia="Times New Roman" w:cs="Arial"/>
        </w:rPr>
      </w:pPr>
      <w:r w:rsidRPr="00DF4C8E">
        <w:rPr>
          <w:rFonts w:eastAsia="Times New Roman" w:cs="Arial"/>
          <w:color w:val="000000"/>
          <w:lang w:eastAsia="bg-BG"/>
        </w:rPr>
        <w:t xml:space="preserve">Тежки кожни нежелани реакции: Тежки кожни нежелани реакции като токсична епидермална некролиза, синдром на </w:t>
      </w:r>
      <w:r w:rsidRPr="00DF4C8E">
        <w:rPr>
          <w:rFonts w:eastAsia="Times New Roman" w:cs="Arial"/>
          <w:color w:val="000000"/>
          <w:lang w:val="en-US"/>
        </w:rPr>
        <w:t>Stevens</w:t>
      </w:r>
      <w:r w:rsidRPr="00DF4C8E">
        <w:rPr>
          <w:rFonts w:eastAsia="Times New Roman" w:cs="Arial"/>
          <w:color w:val="000000"/>
          <w:lang w:val="ru-RU"/>
        </w:rPr>
        <w:t>-</w:t>
      </w:r>
      <w:r w:rsidRPr="00DF4C8E">
        <w:rPr>
          <w:rFonts w:eastAsia="Times New Roman" w:cs="Arial"/>
          <w:color w:val="000000"/>
          <w:lang w:val="en-US"/>
        </w:rPr>
        <w:t>Johnson</w:t>
      </w:r>
      <w:r w:rsidRPr="00DF4C8E">
        <w:rPr>
          <w:rFonts w:eastAsia="Times New Roman" w:cs="Arial"/>
          <w:color w:val="000000"/>
          <w:lang w:val="ru-RU"/>
        </w:rPr>
        <w:t xml:space="preserve"> </w:t>
      </w:r>
      <w:r w:rsidRPr="00DF4C8E">
        <w:rPr>
          <w:rFonts w:eastAsia="Times New Roman" w:cs="Arial"/>
          <w:color w:val="000000"/>
          <w:lang w:eastAsia="bg-BG"/>
        </w:rPr>
        <w:t xml:space="preserve">и лекарствен обрив с еозинофилия и системни симптоми </w:t>
      </w:r>
      <w:r w:rsidRPr="00DF4C8E">
        <w:rPr>
          <w:rFonts w:eastAsia="Times New Roman" w:cs="Arial"/>
          <w:color w:val="000000"/>
          <w:lang w:val="ru-RU"/>
        </w:rPr>
        <w:t>(</w:t>
      </w:r>
      <w:r w:rsidRPr="00DF4C8E">
        <w:rPr>
          <w:rFonts w:eastAsia="Times New Roman" w:cs="Arial"/>
          <w:color w:val="000000"/>
          <w:lang w:val="en-US"/>
        </w:rPr>
        <w:t>DRESS</w:t>
      </w:r>
      <w:r w:rsidRPr="00DF4C8E">
        <w:rPr>
          <w:rFonts w:eastAsia="Times New Roman" w:cs="Arial"/>
          <w:color w:val="000000"/>
          <w:lang w:val="ru-RU"/>
        </w:rPr>
        <w:t xml:space="preserve">) </w:t>
      </w:r>
      <w:r w:rsidRPr="00DF4C8E">
        <w:rPr>
          <w:rFonts w:eastAsia="Times New Roman" w:cs="Arial"/>
          <w:color w:val="000000"/>
          <w:lang w:eastAsia="bg-BG"/>
        </w:rPr>
        <w:t>са били докладвани при някои пациенти, приемали цефиксим. При поява на тежки кожни реакции, лечението с цефиксим трябва да бъде преустановено, да се започне подходяща терапия и/или да се предприемат необходимите мерки.</w:t>
      </w:r>
    </w:p>
    <w:p w14:paraId="2AF2D183" w14:textId="77777777" w:rsidR="00DF4C8E" w:rsidRPr="00DF4C8E" w:rsidRDefault="00DF4C8E" w:rsidP="00DF4C8E">
      <w:pPr>
        <w:spacing w:line="240" w:lineRule="auto"/>
        <w:rPr>
          <w:rFonts w:eastAsia="Times New Roman" w:cs="Arial"/>
          <w:color w:val="000000"/>
          <w:lang w:eastAsia="bg-BG"/>
        </w:rPr>
      </w:pPr>
    </w:p>
    <w:p w14:paraId="474B6535" w14:textId="5D44941C" w:rsidR="00DF4C8E" w:rsidRPr="00DF4C8E" w:rsidRDefault="00DF4C8E" w:rsidP="00DF4C8E">
      <w:pPr>
        <w:spacing w:line="240" w:lineRule="auto"/>
        <w:rPr>
          <w:rFonts w:eastAsia="Times New Roman" w:cs="Arial"/>
        </w:rPr>
      </w:pPr>
      <w:r w:rsidRPr="00DF4C8E">
        <w:rPr>
          <w:rFonts w:eastAsia="Times New Roman" w:cs="Arial"/>
          <w:color w:val="000000"/>
          <w:lang w:eastAsia="bg-BG"/>
        </w:rPr>
        <w:t>Необходимо специално внимание при приложението на цефиксим при пациенти със свръхчувствителност към други лекарства. Цефалоспорините трябва да се дават с повишено внимание на чувствителни към пеницилин пациенти, тъй като има доказателство за частична кръстосана алергична реакция между пеницилини и цефалоспорини.</w:t>
      </w:r>
    </w:p>
    <w:p w14:paraId="48EA3D75" w14:textId="77777777" w:rsidR="00DF4C8E" w:rsidRPr="00DF4C8E" w:rsidRDefault="00DF4C8E" w:rsidP="00DF4C8E">
      <w:pPr>
        <w:spacing w:line="240" w:lineRule="auto"/>
        <w:rPr>
          <w:rFonts w:eastAsia="Times New Roman" w:cs="Arial"/>
          <w:color w:val="000000"/>
          <w:lang w:eastAsia="bg-BG"/>
        </w:rPr>
      </w:pPr>
    </w:p>
    <w:p w14:paraId="327685AF" w14:textId="56C46F2F" w:rsidR="00DF4C8E" w:rsidRPr="00DF4C8E" w:rsidRDefault="00DF4C8E" w:rsidP="00DF4C8E">
      <w:pPr>
        <w:spacing w:line="240" w:lineRule="auto"/>
        <w:rPr>
          <w:rFonts w:eastAsia="Times New Roman" w:cs="Arial"/>
        </w:rPr>
      </w:pPr>
      <w:r w:rsidRPr="00DF4C8E">
        <w:rPr>
          <w:rFonts w:eastAsia="Times New Roman" w:cs="Arial"/>
          <w:color w:val="000000"/>
          <w:lang w:eastAsia="bg-BG"/>
        </w:rPr>
        <w:t>Внимание трябва да се обърне и при пациенти, които са имали тежки реакции (включително анафилаксия) към двата класа лекарства. Особено внимание трябва при пациенти, които са имали алергична реакция към пеницилин или други бета-лактамни антибиотици, тъй като може да настъпи кръстосана алергична реакция (за противопоказания поради известна свръхчувствителност вижте точка 4.3).</w:t>
      </w:r>
    </w:p>
    <w:p w14:paraId="6CC82F1D" w14:textId="77777777" w:rsidR="00DF4C8E" w:rsidRPr="00DF4C8E" w:rsidRDefault="00DF4C8E" w:rsidP="00DF4C8E">
      <w:pPr>
        <w:spacing w:line="240" w:lineRule="auto"/>
        <w:rPr>
          <w:rFonts w:eastAsia="Times New Roman" w:cs="Arial"/>
          <w:color w:val="000000"/>
          <w:lang w:eastAsia="bg-BG"/>
        </w:rPr>
      </w:pPr>
    </w:p>
    <w:p w14:paraId="07F365D7" w14:textId="33B2C8A5" w:rsidR="00DF4C8E" w:rsidRPr="00DF4C8E" w:rsidRDefault="00DF4C8E" w:rsidP="00DF4C8E">
      <w:pPr>
        <w:spacing w:line="240" w:lineRule="auto"/>
        <w:rPr>
          <w:rFonts w:eastAsia="Times New Roman" w:cs="Arial"/>
        </w:rPr>
      </w:pPr>
      <w:r w:rsidRPr="00DF4C8E">
        <w:rPr>
          <w:rFonts w:eastAsia="Times New Roman" w:cs="Arial"/>
          <w:color w:val="000000"/>
          <w:lang w:eastAsia="bg-BG"/>
        </w:rPr>
        <w:t>В случай на тежка реакция на свръхчувствителност или настъпила анафилактична реакция след приложение на цефиксим, употребата на цефиксим трябва да бъде прекратена незабавно и да се приложат подходящи спешни мерки.</w:t>
      </w:r>
    </w:p>
    <w:p w14:paraId="452EE923" w14:textId="77777777" w:rsidR="00DF4C8E" w:rsidRPr="00DF4C8E" w:rsidRDefault="00DF4C8E" w:rsidP="00DF4C8E">
      <w:pPr>
        <w:spacing w:line="240" w:lineRule="auto"/>
        <w:rPr>
          <w:rFonts w:eastAsia="Times New Roman" w:cs="Arial"/>
          <w:color w:val="000000"/>
          <w:lang w:eastAsia="bg-BG"/>
        </w:rPr>
      </w:pPr>
    </w:p>
    <w:p w14:paraId="1F96A5BA" w14:textId="1CB41FA6" w:rsidR="00DF4C8E" w:rsidRPr="00DF4C8E" w:rsidRDefault="00DF4C8E" w:rsidP="00DF4C8E">
      <w:pPr>
        <w:spacing w:line="240" w:lineRule="auto"/>
        <w:rPr>
          <w:rFonts w:eastAsia="Times New Roman" w:cs="Arial"/>
        </w:rPr>
      </w:pPr>
      <w:r w:rsidRPr="00DF4C8E">
        <w:rPr>
          <w:rFonts w:eastAsia="Times New Roman" w:cs="Arial"/>
          <w:color w:val="000000"/>
          <w:lang w:eastAsia="bg-BG"/>
        </w:rPr>
        <w:t xml:space="preserve">Нивата на резистентност на </w:t>
      </w:r>
      <w:r w:rsidRPr="00DF4C8E">
        <w:rPr>
          <w:rFonts w:eastAsia="Times New Roman" w:cs="Arial"/>
          <w:i/>
          <w:iCs/>
          <w:color w:val="000000"/>
          <w:lang w:val="en-US"/>
        </w:rPr>
        <w:t>Streptococcus</w:t>
      </w:r>
      <w:r w:rsidRPr="00DF4C8E">
        <w:rPr>
          <w:rFonts w:eastAsia="Times New Roman" w:cs="Arial"/>
          <w:i/>
          <w:iCs/>
          <w:color w:val="000000"/>
          <w:lang w:val="ru-RU"/>
        </w:rPr>
        <w:t xml:space="preserve"> </w:t>
      </w:r>
      <w:proofErr w:type="spellStart"/>
      <w:r w:rsidRPr="00DF4C8E">
        <w:rPr>
          <w:rFonts w:eastAsia="Times New Roman" w:cs="Arial"/>
          <w:i/>
          <w:iCs/>
          <w:color w:val="000000"/>
          <w:lang w:val="en-US"/>
        </w:rPr>
        <w:t>pneumoniae</w:t>
      </w:r>
      <w:proofErr w:type="spellEnd"/>
      <w:r w:rsidRPr="00DF4C8E">
        <w:rPr>
          <w:rFonts w:eastAsia="Times New Roman" w:cs="Arial"/>
          <w:color w:val="000000"/>
          <w:lang w:val="ru-RU"/>
        </w:rPr>
        <w:t xml:space="preserve"> </w:t>
      </w:r>
      <w:r w:rsidRPr="00DF4C8E">
        <w:rPr>
          <w:rFonts w:eastAsia="Times New Roman" w:cs="Arial"/>
          <w:color w:val="000000"/>
          <w:lang w:eastAsia="bg-BG"/>
        </w:rPr>
        <w:t xml:space="preserve">(&gt;20%) са докладвани за цефиксим в някои Европейски страни (вижте точка 5.1). Това трябва да се има предвид, когато се лекуват инфекции, причинени от </w:t>
      </w:r>
      <w:r w:rsidRPr="00DF4C8E">
        <w:rPr>
          <w:rFonts w:eastAsia="Times New Roman" w:cs="Arial"/>
          <w:color w:val="000000"/>
          <w:lang w:val="en-US"/>
        </w:rPr>
        <w:t>Streptococcus</w:t>
      </w:r>
      <w:r w:rsidRPr="00DF4C8E">
        <w:rPr>
          <w:rFonts w:eastAsia="Times New Roman" w:cs="Arial"/>
          <w:color w:val="000000"/>
          <w:lang w:val="ru-RU"/>
        </w:rPr>
        <w:t xml:space="preserve"> </w:t>
      </w:r>
      <w:proofErr w:type="spellStart"/>
      <w:r w:rsidRPr="00DF4C8E">
        <w:rPr>
          <w:rFonts w:eastAsia="Times New Roman" w:cs="Arial"/>
          <w:color w:val="000000"/>
          <w:lang w:val="en-US"/>
        </w:rPr>
        <w:t>pneumoniae</w:t>
      </w:r>
      <w:proofErr w:type="spellEnd"/>
      <w:r w:rsidRPr="00DF4C8E">
        <w:rPr>
          <w:rFonts w:eastAsia="Times New Roman" w:cs="Arial"/>
          <w:color w:val="000000"/>
          <w:lang w:val="ru-RU"/>
        </w:rPr>
        <w:t>.</w:t>
      </w:r>
    </w:p>
    <w:p w14:paraId="4065CE9C" w14:textId="77777777" w:rsidR="00DF4C8E" w:rsidRPr="00DF4C8E" w:rsidRDefault="00DF4C8E" w:rsidP="00DF4C8E">
      <w:pPr>
        <w:spacing w:line="240" w:lineRule="auto"/>
        <w:rPr>
          <w:rFonts w:eastAsia="Times New Roman" w:cs="Arial"/>
          <w:color w:val="000000"/>
          <w:lang w:eastAsia="bg-BG"/>
        </w:rPr>
      </w:pPr>
    </w:p>
    <w:p w14:paraId="71608205" w14:textId="418903DB" w:rsidR="00DF4C8E" w:rsidRPr="00DF4C8E" w:rsidRDefault="00DF4C8E" w:rsidP="00DF4C8E">
      <w:pPr>
        <w:spacing w:line="240" w:lineRule="auto"/>
        <w:rPr>
          <w:rFonts w:eastAsia="Times New Roman" w:cs="Arial"/>
        </w:rPr>
      </w:pPr>
      <w:r w:rsidRPr="00DF4C8E">
        <w:rPr>
          <w:rFonts w:eastAsia="Times New Roman" w:cs="Arial"/>
          <w:color w:val="000000"/>
          <w:lang w:eastAsia="bg-BG"/>
        </w:rPr>
        <w:t>Остра бъбречна неостатъчност</w:t>
      </w:r>
    </w:p>
    <w:p w14:paraId="1E68F587" w14:textId="1B2DA7BF" w:rsidR="00DF4C8E" w:rsidRPr="00DF4C8E" w:rsidRDefault="00DF4C8E" w:rsidP="00DF4C8E">
      <w:pPr>
        <w:spacing w:line="240" w:lineRule="auto"/>
        <w:rPr>
          <w:rFonts w:eastAsia="Times New Roman" w:cs="Arial"/>
        </w:rPr>
      </w:pPr>
      <w:r w:rsidRPr="00DF4C8E">
        <w:rPr>
          <w:rFonts w:eastAsia="Times New Roman" w:cs="Arial"/>
          <w:color w:val="000000"/>
          <w:lang w:eastAsia="bg-BG"/>
        </w:rPr>
        <w:t>Както и други цефалоспорини, цефиксим може да причини остра бъбречна недостатъчност, включително тубулоинтерстициален нефрит, като съпътстващо патологично състояние. При поява на остра бъбречна недостатъчност, лечението с цефиксим трябва да се преустанови и да се започне подходяща терапия и/или да се предприемат необходимите мерки.</w:t>
      </w:r>
    </w:p>
    <w:p w14:paraId="4E9095D7" w14:textId="77777777" w:rsidR="00DF4C8E" w:rsidRPr="00DF4C8E" w:rsidRDefault="00DF4C8E" w:rsidP="00DF4C8E">
      <w:pPr>
        <w:spacing w:line="240" w:lineRule="auto"/>
        <w:rPr>
          <w:rFonts w:eastAsia="Times New Roman" w:cs="Arial"/>
          <w:color w:val="000000"/>
          <w:u w:val="single"/>
          <w:lang w:eastAsia="bg-BG"/>
        </w:rPr>
      </w:pPr>
    </w:p>
    <w:p w14:paraId="3B9FEB53" w14:textId="2FEDBDA1" w:rsidR="00DF4C8E" w:rsidRPr="00DF4C8E" w:rsidRDefault="00DF4C8E" w:rsidP="00DF4C8E">
      <w:pPr>
        <w:spacing w:line="240" w:lineRule="auto"/>
        <w:rPr>
          <w:rFonts w:eastAsia="Times New Roman" w:cs="Arial"/>
        </w:rPr>
      </w:pPr>
      <w:r w:rsidRPr="00DF4C8E">
        <w:rPr>
          <w:rFonts w:eastAsia="Times New Roman" w:cs="Arial"/>
          <w:color w:val="000000"/>
          <w:u w:val="single"/>
          <w:lang w:eastAsia="bg-BG"/>
        </w:rPr>
        <w:t>Бъбречна недостатъчност</w:t>
      </w:r>
    </w:p>
    <w:p w14:paraId="01139A3C" w14:textId="77777777" w:rsidR="00DF4C8E" w:rsidRPr="00DF4C8E" w:rsidRDefault="00DF4C8E" w:rsidP="00DF4C8E">
      <w:pPr>
        <w:spacing w:line="240" w:lineRule="auto"/>
        <w:rPr>
          <w:rFonts w:eastAsia="Times New Roman" w:cs="Arial"/>
        </w:rPr>
      </w:pPr>
      <w:r w:rsidRPr="00DF4C8E">
        <w:rPr>
          <w:rFonts w:eastAsia="Times New Roman" w:cs="Arial"/>
          <w:color w:val="000000"/>
          <w:lang w:eastAsia="bg-BG"/>
        </w:rPr>
        <w:t xml:space="preserve">Цефиксим трябва да се прилага с особено внимание при възрастни пациенти с креатининов клирънс по-нисък от 20 </w:t>
      </w:r>
      <w:r w:rsidRPr="00DF4C8E">
        <w:rPr>
          <w:rFonts w:eastAsia="Times New Roman" w:cs="Arial"/>
          <w:color w:val="000000"/>
          <w:lang w:val="en-US"/>
        </w:rPr>
        <w:t>ml</w:t>
      </w:r>
      <w:r w:rsidRPr="00DF4C8E">
        <w:rPr>
          <w:rFonts w:eastAsia="Times New Roman" w:cs="Arial"/>
          <w:color w:val="000000"/>
          <w:lang w:val="ru-RU"/>
        </w:rPr>
        <w:t>/</w:t>
      </w:r>
      <w:r w:rsidRPr="00DF4C8E">
        <w:rPr>
          <w:rFonts w:eastAsia="Times New Roman" w:cs="Arial"/>
          <w:color w:val="000000"/>
          <w:lang w:val="en-US"/>
        </w:rPr>
        <w:t>min</w:t>
      </w:r>
      <w:r w:rsidRPr="00DF4C8E">
        <w:rPr>
          <w:rFonts w:eastAsia="Times New Roman" w:cs="Arial"/>
          <w:color w:val="000000"/>
          <w:lang w:val="ru-RU"/>
        </w:rPr>
        <w:t xml:space="preserve"> </w:t>
      </w:r>
      <w:r w:rsidRPr="00DF4C8E">
        <w:rPr>
          <w:rFonts w:eastAsia="Times New Roman" w:cs="Arial"/>
          <w:color w:val="000000"/>
          <w:lang w:eastAsia="bg-BG"/>
        </w:rPr>
        <w:t xml:space="preserve">(вижте точка 4.2 и 5.2). Няма данни за </w:t>
      </w:r>
      <w:r w:rsidRPr="00DF4C8E">
        <w:rPr>
          <w:rFonts w:eastAsia="Times New Roman" w:cs="Arial"/>
          <w:color w:val="000000"/>
          <w:lang w:eastAsia="bg-BG"/>
        </w:rPr>
        <w:lastRenderedPageBreak/>
        <w:t>употребата на цефиксим при деца под 12 години с бъбречна недостатъчност: при тези пациенти не се препоръчва употребата на цефиксим.</w:t>
      </w:r>
    </w:p>
    <w:p w14:paraId="6810A36C" w14:textId="11C7900B" w:rsidR="00DF4C8E" w:rsidRPr="00DF4C8E" w:rsidRDefault="00DF4C8E" w:rsidP="00DF4C8E">
      <w:pPr>
        <w:spacing w:line="240" w:lineRule="auto"/>
        <w:rPr>
          <w:rFonts w:eastAsia="Times New Roman" w:cs="Arial"/>
        </w:rPr>
      </w:pPr>
      <w:r w:rsidRPr="00DF4C8E">
        <w:rPr>
          <w:rFonts w:eastAsia="Times New Roman" w:cs="Arial"/>
          <w:color w:val="000000"/>
          <w:lang w:eastAsia="bg-BG"/>
        </w:rPr>
        <w:t>Продължителна употреба на цефиксим може да доведе до свръхрастеж на резистентни микроорганизми.</w:t>
      </w:r>
    </w:p>
    <w:p w14:paraId="61C411D8" w14:textId="77777777" w:rsidR="00DF4C8E" w:rsidRPr="00DF4C8E" w:rsidRDefault="00DF4C8E" w:rsidP="00DF4C8E">
      <w:pPr>
        <w:spacing w:line="240" w:lineRule="auto"/>
        <w:rPr>
          <w:rFonts w:eastAsia="Times New Roman" w:cs="Arial"/>
          <w:color w:val="000000"/>
          <w:lang w:eastAsia="bg-BG"/>
        </w:rPr>
      </w:pPr>
    </w:p>
    <w:p w14:paraId="615A45D8" w14:textId="39B9CBA1" w:rsidR="00DF4C8E" w:rsidRPr="00DF4C8E" w:rsidRDefault="00DF4C8E" w:rsidP="00DF4C8E">
      <w:pPr>
        <w:spacing w:line="240" w:lineRule="auto"/>
        <w:rPr>
          <w:rFonts w:eastAsia="Times New Roman" w:cs="Arial"/>
        </w:rPr>
      </w:pPr>
      <w:r w:rsidRPr="00DF4C8E">
        <w:rPr>
          <w:rFonts w:eastAsia="Times New Roman" w:cs="Arial"/>
          <w:color w:val="000000"/>
          <w:lang w:eastAsia="bg-BG"/>
        </w:rPr>
        <w:t xml:space="preserve">Лечението с широкоспектърни антибиотици променя нормалната флора на дебелото черво и може да доведе до свръхрастеж на Клостридии. Изследванията сочат, че токсина, отделен от </w:t>
      </w:r>
      <w:r w:rsidRPr="00DF4C8E">
        <w:rPr>
          <w:rFonts w:eastAsia="Times New Roman" w:cs="Arial"/>
          <w:i/>
          <w:iCs/>
          <w:color w:val="000000"/>
          <w:lang w:val="en-US"/>
        </w:rPr>
        <w:t>Clostridium</w:t>
      </w:r>
      <w:r w:rsidRPr="00DF4C8E">
        <w:rPr>
          <w:rFonts w:eastAsia="Times New Roman" w:cs="Arial"/>
          <w:i/>
          <w:iCs/>
          <w:color w:val="000000"/>
          <w:lang w:val="ru-RU"/>
        </w:rPr>
        <w:t xml:space="preserve"> </w:t>
      </w:r>
      <w:r w:rsidRPr="00DF4C8E">
        <w:rPr>
          <w:rFonts w:eastAsia="Times New Roman" w:cs="Arial"/>
          <w:i/>
          <w:iCs/>
          <w:color w:val="000000"/>
          <w:lang w:val="en-US"/>
        </w:rPr>
        <w:t>difficile</w:t>
      </w:r>
      <w:r w:rsidRPr="00DF4C8E">
        <w:rPr>
          <w:rFonts w:eastAsia="Times New Roman" w:cs="Arial"/>
          <w:color w:val="000000"/>
          <w:lang w:val="ru-RU"/>
        </w:rPr>
        <w:t xml:space="preserve"> </w:t>
      </w:r>
      <w:r w:rsidRPr="00DF4C8E">
        <w:rPr>
          <w:rFonts w:eastAsia="Times New Roman" w:cs="Arial"/>
          <w:color w:val="000000"/>
          <w:lang w:eastAsia="bg-BG"/>
        </w:rPr>
        <w:t>е първичната причина за развитие на диария, свързана с употреба на антибиотици.</w:t>
      </w:r>
    </w:p>
    <w:p w14:paraId="58B1BCDB" w14:textId="77777777" w:rsidR="00DF4C8E" w:rsidRPr="00DF4C8E" w:rsidRDefault="00DF4C8E" w:rsidP="00DF4C8E">
      <w:pPr>
        <w:rPr>
          <w:rFonts w:eastAsia="Times New Roman" w:cs="Arial"/>
          <w:color w:val="000000"/>
          <w:lang w:eastAsia="bg-BG"/>
        </w:rPr>
      </w:pPr>
    </w:p>
    <w:p w14:paraId="18040C9F" w14:textId="77777777" w:rsidR="00DF4C8E" w:rsidRPr="00DF4C8E" w:rsidRDefault="00DF4C8E" w:rsidP="00DF4C8E">
      <w:pPr>
        <w:rPr>
          <w:rFonts w:eastAsia="Times New Roman" w:cs="Arial"/>
          <w:color w:val="000000"/>
          <w:lang w:eastAsia="bg-BG"/>
        </w:rPr>
      </w:pPr>
      <w:r w:rsidRPr="00DF4C8E">
        <w:rPr>
          <w:rFonts w:eastAsia="Times New Roman" w:cs="Arial"/>
          <w:color w:val="000000"/>
          <w:lang w:eastAsia="bg-BG"/>
        </w:rPr>
        <w:t xml:space="preserve">Псевдомембранозният колит е свързан с употребата на широкоспектърни антибиотици (включително макролиди, полусинтетични пеницилини, линкозамиди и цефалоспорин, включително цефиксим); затова е важно да се има предвид диагнозата при пациенти, които развиват диария, свързана с употребата на </w:t>
      </w:r>
    </w:p>
    <w:p w14:paraId="7D3B1223" w14:textId="6D169FF9" w:rsidR="00DF4C8E" w:rsidRPr="00DF4C8E" w:rsidRDefault="00DF4C8E" w:rsidP="00DF4C8E">
      <w:pPr>
        <w:rPr>
          <w:rFonts w:eastAsia="Times New Roman" w:cs="Arial"/>
        </w:rPr>
      </w:pPr>
      <w:r w:rsidRPr="00DF4C8E">
        <w:rPr>
          <w:rFonts w:eastAsia="Times New Roman" w:cs="Arial"/>
          <w:color w:val="000000"/>
          <w:lang w:eastAsia="bg-BG"/>
        </w:rPr>
        <w:t>антибиотици.</w:t>
      </w:r>
    </w:p>
    <w:p w14:paraId="2F856BCC" w14:textId="77777777" w:rsidR="00DF4C8E" w:rsidRPr="00DF4C8E" w:rsidRDefault="00DF4C8E" w:rsidP="00DF4C8E">
      <w:pPr>
        <w:spacing w:line="240" w:lineRule="auto"/>
        <w:rPr>
          <w:rFonts w:eastAsia="Times New Roman" w:cs="Arial"/>
          <w:color w:val="000000"/>
          <w:lang w:eastAsia="bg-BG"/>
        </w:rPr>
      </w:pPr>
    </w:p>
    <w:p w14:paraId="5E33B476" w14:textId="6E64E3D6" w:rsidR="00DF4C8E" w:rsidRPr="00DF4C8E" w:rsidRDefault="00DF4C8E" w:rsidP="00DF4C8E">
      <w:pPr>
        <w:spacing w:line="240" w:lineRule="auto"/>
        <w:rPr>
          <w:rFonts w:eastAsia="Times New Roman" w:cs="Arial"/>
        </w:rPr>
      </w:pPr>
      <w:r w:rsidRPr="00DF4C8E">
        <w:rPr>
          <w:rFonts w:eastAsia="Times New Roman" w:cs="Arial"/>
          <w:color w:val="000000"/>
          <w:lang w:eastAsia="bg-BG"/>
        </w:rPr>
        <w:t>Пациенти, които развият тежка диария по време на или след употреба на цефиксим, трябва да се вземе предвид рискът от животозастрашаващ псевдомембранозен колит.</w:t>
      </w:r>
    </w:p>
    <w:p w14:paraId="0C9B45F2" w14:textId="2C85500C" w:rsidR="00DF4C8E" w:rsidRPr="00DF4C8E" w:rsidRDefault="00DF4C8E" w:rsidP="00DF4C8E">
      <w:pPr>
        <w:rPr>
          <w:rFonts w:eastAsia="Times New Roman" w:cs="Arial"/>
          <w:color w:val="000000"/>
          <w:lang w:eastAsia="bg-BG"/>
        </w:rPr>
      </w:pPr>
      <w:r w:rsidRPr="00DF4C8E">
        <w:rPr>
          <w:rFonts w:eastAsia="Times New Roman" w:cs="Arial"/>
          <w:color w:val="000000"/>
          <w:lang w:eastAsia="bg-BG"/>
        </w:rPr>
        <w:t>Употребата на цефиксим трябва да бъде спряна и подходящи мерки и лечение да бъдат предприети. Трябва да се изключат други причини за възникване на колит. Противопоказана е употребата на други лекарства, които потискат чревната перисталтика.</w:t>
      </w:r>
    </w:p>
    <w:p w14:paraId="115C9528" w14:textId="77777777" w:rsidR="00DF4C8E" w:rsidRPr="00DF4C8E" w:rsidRDefault="00DF4C8E" w:rsidP="00DF4C8E"/>
    <w:p w14:paraId="1244F76A" w14:textId="7CE7792C" w:rsidR="00395555" w:rsidRDefault="002C50EE" w:rsidP="008A6AF2">
      <w:pPr>
        <w:pStyle w:val="Heading2"/>
      </w:pPr>
      <w:r>
        <w:t>4.5. Взаимодействие с други лекарствени продукти и други форми на взаимодействие</w:t>
      </w:r>
    </w:p>
    <w:p w14:paraId="5720919B" w14:textId="177ED4A2" w:rsidR="00DF4C8E" w:rsidRDefault="00DF4C8E" w:rsidP="00DF4C8E"/>
    <w:p w14:paraId="7EF94BA7" w14:textId="77777777" w:rsidR="00DF4C8E" w:rsidRPr="00DF4C8E" w:rsidRDefault="00DF4C8E" w:rsidP="00DF4C8E">
      <w:pPr>
        <w:rPr>
          <w:sz w:val="24"/>
          <w:szCs w:val="24"/>
        </w:rPr>
      </w:pPr>
      <w:r w:rsidRPr="00DF4C8E">
        <w:rPr>
          <w:lang w:eastAsia="bg-BG"/>
        </w:rPr>
        <w:t>Цефиксим може фалшиво да позитивизира реакцията за глюкоза в урината, направена с разтвор на Бенедикт или Фелингов разтвор или с медно-сулфатен тест, но не и тест, базиран на ензимни глюкозо-оксидазни методи.</w:t>
      </w:r>
    </w:p>
    <w:p w14:paraId="2E9A31E1" w14:textId="77777777" w:rsidR="00DF4C8E" w:rsidRDefault="00DF4C8E" w:rsidP="00DF4C8E">
      <w:pPr>
        <w:rPr>
          <w:lang w:eastAsia="bg-BG"/>
        </w:rPr>
      </w:pPr>
    </w:p>
    <w:p w14:paraId="3CD8420D" w14:textId="0A27A965" w:rsidR="00DF4C8E" w:rsidRPr="00DF4C8E" w:rsidRDefault="00DF4C8E" w:rsidP="00DF4C8E">
      <w:pPr>
        <w:rPr>
          <w:sz w:val="24"/>
          <w:szCs w:val="24"/>
        </w:rPr>
      </w:pPr>
      <w:r w:rsidRPr="00DF4C8E">
        <w:rPr>
          <w:lang w:eastAsia="bg-BG"/>
        </w:rPr>
        <w:t xml:space="preserve">Цефиксим може фалшиво да позитивира директиния тест на </w:t>
      </w:r>
      <w:r w:rsidRPr="00DF4C8E">
        <w:rPr>
          <w:lang w:val="en-US"/>
        </w:rPr>
        <w:t>Coombs</w:t>
      </w:r>
      <w:r w:rsidRPr="00DF4C8E">
        <w:rPr>
          <w:lang w:val="ru-RU"/>
        </w:rPr>
        <w:t xml:space="preserve">, </w:t>
      </w:r>
      <w:r w:rsidRPr="00DF4C8E">
        <w:rPr>
          <w:lang w:eastAsia="bg-BG"/>
        </w:rPr>
        <w:t>тъй като е съобщавано за фалшиво положителна реакция при пациенти, лекувани с други цефалоспорини.</w:t>
      </w:r>
    </w:p>
    <w:p w14:paraId="0C4D3CF1" w14:textId="77777777" w:rsidR="00DF4C8E" w:rsidRDefault="00DF4C8E" w:rsidP="00DF4C8E">
      <w:pPr>
        <w:rPr>
          <w:lang w:eastAsia="bg-BG"/>
        </w:rPr>
      </w:pPr>
    </w:p>
    <w:p w14:paraId="77AFFED9" w14:textId="6CE4225F" w:rsidR="00DF4C8E" w:rsidRDefault="00DF4C8E" w:rsidP="00DF4C8E">
      <w:pPr>
        <w:rPr>
          <w:lang w:eastAsia="bg-BG"/>
        </w:rPr>
      </w:pPr>
      <w:r w:rsidRPr="00DF4C8E">
        <w:rPr>
          <w:lang w:eastAsia="bg-BG"/>
        </w:rPr>
        <w:t>Както и други цефалоспорини, повишение на протромбиновото време се наблюдава при някои пациенти. Трябва особено внимание при пациенти, подложени на антикоагулантна терапия.</w:t>
      </w:r>
    </w:p>
    <w:p w14:paraId="070777EC" w14:textId="77777777" w:rsidR="00DF4C8E" w:rsidRPr="00DF4C8E" w:rsidRDefault="00DF4C8E" w:rsidP="00DF4C8E"/>
    <w:p w14:paraId="6EADE4D6" w14:textId="6C784254" w:rsidR="00395555" w:rsidRDefault="002C50EE" w:rsidP="008A6AF2">
      <w:pPr>
        <w:pStyle w:val="Heading2"/>
      </w:pPr>
      <w:r>
        <w:t>4.6. Фертилитет, бременност и кърмене</w:t>
      </w:r>
    </w:p>
    <w:p w14:paraId="5C957631" w14:textId="4490514E" w:rsidR="00DF4C8E" w:rsidRDefault="00DF4C8E" w:rsidP="00DF4C8E"/>
    <w:p w14:paraId="64E7965E" w14:textId="77777777" w:rsidR="00DF4C8E" w:rsidRPr="00DF4C8E" w:rsidRDefault="00DF4C8E" w:rsidP="00DF4C8E">
      <w:pPr>
        <w:pStyle w:val="Heading3"/>
        <w:rPr>
          <w:rFonts w:eastAsia="Times New Roman"/>
          <w:sz w:val="28"/>
          <w:u w:val="single"/>
        </w:rPr>
      </w:pPr>
      <w:r w:rsidRPr="00DF4C8E">
        <w:rPr>
          <w:rFonts w:eastAsia="Times New Roman"/>
          <w:u w:val="single"/>
          <w:lang w:eastAsia="bg-BG"/>
        </w:rPr>
        <w:t>Бременност</w:t>
      </w:r>
    </w:p>
    <w:p w14:paraId="23807449" w14:textId="77777777"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lang w:eastAsia="bg-BG"/>
        </w:rPr>
        <w:t>Няма клинични данни за експозиция с цефиксим по време на бременност. Голям брой данни за употребата на цефалоспорини по време на бременност като цяло не показват нито малформации, нито фетонатална токсичност. Проучвания при животни не показват директен или индиректен увреждащ ефект върху бременността, ембрионалното/феталното развитие, раждането и постнаталното развитие (вижте точка 5.3).</w:t>
      </w:r>
    </w:p>
    <w:p w14:paraId="6EA089A5" w14:textId="77777777" w:rsidR="00DF4C8E" w:rsidRPr="00DF4C8E" w:rsidRDefault="00DF4C8E" w:rsidP="00DF4C8E">
      <w:pPr>
        <w:spacing w:line="240" w:lineRule="auto"/>
        <w:rPr>
          <w:rFonts w:eastAsia="Times New Roman" w:cs="Arial"/>
          <w:color w:val="000000"/>
          <w:szCs w:val="20"/>
          <w:lang w:eastAsia="bg-BG"/>
        </w:rPr>
      </w:pPr>
    </w:p>
    <w:p w14:paraId="11F9C9B9" w14:textId="78584D75"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lang w:eastAsia="bg-BG"/>
        </w:rPr>
        <w:lastRenderedPageBreak/>
        <w:t>Лекарственият продукт не се препоръчва на бременни жени, освен ако приложението му не се счита от лекуващия лекар за крайно необходимо.</w:t>
      </w:r>
    </w:p>
    <w:p w14:paraId="1FFE42E0" w14:textId="77777777" w:rsidR="00DF4C8E" w:rsidRPr="00DF4C8E" w:rsidRDefault="00DF4C8E" w:rsidP="00DF4C8E">
      <w:pPr>
        <w:spacing w:line="240" w:lineRule="auto"/>
        <w:rPr>
          <w:rFonts w:eastAsia="Times New Roman" w:cs="Arial"/>
          <w:b/>
          <w:bCs/>
          <w:color w:val="000000"/>
          <w:szCs w:val="20"/>
          <w:lang w:eastAsia="bg-BG"/>
        </w:rPr>
      </w:pPr>
    </w:p>
    <w:p w14:paraId="36BC7056" w14:textId="4C8B8871" w:rsidR="00DF4C8E" w:rsidRPr="00DF4C8E" w:rsidRDefault="00DF4C8E" w:rsidP="00DF4C8E">
      <w:pPr>
        <w:pStyle w:val="Heading3"/>
        <w:rPr>
          <w:rFonts w:eastAsia="Times New Roman"/>
          <w:sz w:val="28"/>
          <w:u w:val="single"/>
        </w:rPr>
      </w:pPr>
      <w:r w:rsidRPr="00DF4C8E">
        <w:rPr>
          <w:rFonts w:eastAsia="Times New Roman"/>
          <w:u w:val="single"/>
          <w:lang w:eastAsia="bg-BG"/>
        </w:rPr>
        <w:t>Кърмене</w:t>
      </w:r>
    </w:p>
    <w:p w14:paraId="762E5A92" w14:textId="77777777"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lang w:eastAsia="bg-BG"/>
        </w:rPr>
        <w:t>Цефиксим се екскретира в малки количества в кърмата.</w:t>
      </w:r>
    </w:p>
    <w:p w14:paraId="6F8BFC7E" w14:textId="1FCD80CB" w:rsidR="00DF4C8E" w:rsidRPr="00DF4C8E" w:rsidRDefault="00DF4C8E" w:rsidP="00DF4C8E">
      <w:pPr>
        <w:rPr>
          <w:rFonts w:eastAsia="Times New Roman" w:cs="Arial"/>
          <w:color w:val="000000"/>
          <w:szCs w:val="20"/>
          <w:lang w:eastAsia="bg-BG"/>
        </w:rPr>
      </w:pPr>
      <w:r w:rsidRPr="00DF4C8E">
        <w:rPr>
          <w:rFonts w:eastAsia="Times New Roman" w:cs="Arial"/>
          <w:color w:val="000000"/>
          <w:szCs w:val="20"/>
          <w:lang w:eastAsia="bg-BG"/>
        </w:rPr>
        <w:t>Трябва да се оцени ползата от лечението на майката спрямо възможният риск за кърмачето.</w:t>
      </w:r>
    </w:p>
    <w:p w14:paraId="29D2BD58" w14:textId="77777777" w:rsidR="00DF4C8E" w:rsidRPr="00DF4C8E" w:rsidRDefault="00DF4C8E" w:rsidP="00DF4C8E"/>
    <w:p w14:paraId="5766770B" w14:textId="497FD13A" w:rsidR="00395555" w:rsidRDefault="002C50EE" w:rsidP="008A6AF2">
      <w:pPr>
        <w:pStyle w:val="Heading2"/>
      </w:pPr>
      <w:r>
        <w:t>4.7. Ефекти върху способността за шофиране и работа с машини</w:t>
      </w:r>
    </w:p>
    <w:p w14:paraId="478A6D92" w14:textId="249A492A" w:rsidR="00DF4C8E" w:rsidRDefault="00DF4C8E" w:rsidP="00DF4C8E"/>
    <w:p w14:paraId="208E403F" w14:textId="77777777" w:rsidR="00DF4C8E" w:rsidRPr="00DF4C8E" w:rsidRDefault="00DF4C8E" w:rsidP="00DF4C8E">
      <w:pPr>
        <w:rPr>
          <w:sz w:val="24"/>
          <w:szCs w:val="24"/>
        </w:rPr>
      </w:pPr>
      <w:r w:rsidRPr="00DF4C8E">
        <w:rPr>
          <w:lang w:eastAsia="bg-BG"/>
        </w:rPr>
        <w:t>Цефиксим не повлиява способността за шофиране или работата с машини. Някои нежелани реакции обаче (например вертиго) може да настъпят (вижте точка 4.8), което може да повлияе върху способността за шофиране и работа с машини.</w:t>
      </w:r>
    </w:p>
    <w:p w14:paraId="4DF5A2E7" w14:textId="77777777" w:rsidR="00DF4C8E" w:rsidRPr="00DF4C8E" w:rsidRDefault="00DF4C8E" w:rsidP="00DF4C8E"/>
    <w:p w14:paraId="4FE16E21" w14:textId="0C437380" w:rsidR="00395555" w:rsidRDefault="002C50EE" w:rsidP="008A6AF2">
      <w:pPr>
        <w:pStyle w:val="Heading2"/>
      </w:pPr>
      <w:r>
        <w:t>4.8. Нежелани лекарствени реакции</w:t>
      </w:r>
    </w:p>
    <w:p w14:paraId="12B2BB56" w14:textId="6DC990CE" w:rsidR="00DF4C8E" w:rsidRDefault="00DF4C8E" w:rsidP="00DF4C8E"/>
    <w:p w14:paraId="11B97CF4" w14:textId="77777777" w:rsidR="00DF4C8E" w:rsidRPr="00DF4C8E" w:rsidRDefault="00DF4C8E" w:rsidP="00DF4C8E">
      <w:pPr>
        <w:rPr>
          <w:sz w:val="24"/>
          <w:szCs w:val="24"/>
        </w:rPr>
      </w:pPr>
      <w:r w:rsidRPr="00DF4C8E">
        <w:rPr>
          <w:lang w:eastAsia="bg-BG"/>
        </w:rPr>
        <w:t>В този раздел е възприета следната честота на нежеланите лекарствени реакции:</w:t>
      </w:r>
    </w:p>
    <w:p w14:paraId="6FE1DF02" w14:textId="77777777" w:rsidR="00DF4C8E" w:rsidRPr="00DF4C8E" w:rsidRDefault="00DF4C8E" w:rsidP="00DF4C8E">
      <w:pPr>
        <w:pStyle w:val="ListParagraph"/>
        <w:numPr>
          <w:ilvl w:val="0"/>
          <w:numId w:val="32"/>
        </w:numPr>
        <w:rPr>
          <w:sz w:val="24"/>
          <w:szCs w:val="24"/>
        </w:rPr>
      </w:pPr>
      <w:r w:rsidRPr="00DF4C8E">
        <w:rPr>
          <w:lang w:eastAsia="bg-BG"/>
        </w:rPr>
        <w:t>чести (&gt; 1/100, до &lt;1/10);</w:t>
      </w:r>
    </w:p>
    <w:p w14:paraId="424EC826" w14:textId="77777777" w:rsidR="00DF4C8E" w:rsidRPr="00DF4C8E" w:rsidRDefault="00DF4C8E" w:rsidP="00DF4C8E">
      <w:pPr>
        <w:pStyle w:val="ListParagraph"/>
        <w:numPr>
          <w:ilvl w:val="0"/>
          <w:numId w:val="32"/>
        </w:numPr>
        <w:rPr>
          <w:sz w:val="24"/>
          <w:szCs w:val="24"/>
        </w:rPr>
      </w:pPr>
      <w:r w:rsidRPr="00DF4C8E">
        <w:rPr>
          <w:lang w:eastAsia="bg-BG"/>
        </w:rPr>
        <w:t>не чести (&gt;1/1,000 до &lt;1/100);</w:t>
      </w:r>
    </w:p>
    <w:p w14:paraId="0117407F" w14:textId="77777777" w:rsidR="00DF4C8E" w:rsidRPr="00DF4C8E" w:rsidRDefault="00DF4C8E" w:rsidP="00DF4C8E">
      <w:pPr>
        <w:pStyle w:val="ListParagraph"/>
        <w:numPr>
          <w:ilvl w:val="0"/>
          <w:numId w:val="32"/>
        </w:numPr>
        <w:rPr>
          <w:sz w:val="24"/>
          <w:szCs w:val="24"/>
        </w:rPr>
      </w:pPr>
      <w:r w:rsidRPr="00DF4C8E">
        <w:rPr>
          <w:lang w:eastAsia="bg-BG"/>
        </w:rPr>
        <w:t>редки (&gt;1/10,000 до &lt;1/1,000);</w:t>
      </w:r>
    </w:p>
    <w:p w14:paraId="26AE1045" w14:textId="77777777" w:rsidR="00DF4C8E" w:rsidRPr="00DF4C8E" w:rsidRDefault="00DF4C8E" w:rsidP="00DF4C8E">
      <w:pPr>
        <w:pStyle w:val="ListParagraph"/>
        <w:numPr>
          <w:ilvl w:val="0"/>
          <w:numId w:val="32"/>
        </w:numPr>
        <w:rPr>
          <w:sz w:val="24"/>
          <w:szCs w:val="24"/>
        </w:rPr>
      </w:pPr>
      <w:r w:rsidRPr="00DF4C8E">
        <w:rPr>
          <w:lang w:eastAsia="bg-BG"/>
        </w:rPr>
        <w:t>много редки(&lt;1/10,000);</w:t>
      </w:r>
    </w:p>
    <w:p w14:paraId="68C52260" w14:textId="257578F5" w:rsidR="00DF4C8E" w:rsidRPr="00DF4C8E" w:rsidRDefault="00DF4C8E" w:rsidP="00DF4C8E">
      <w:pPr>
        <w:pStyle w:val="ListParagraph"/>
        <w:numPr>
          <w:ilvl w:val="0"/>
          <w:numId w:val="32"/>
        </w:numPr>
        <w:rPr>
          <w:sz w:val="24"/>
          <w:szCs w:val="24"/>
        </w:rPr>
      </w:pPr>
      <w:r w:rsidRPr="00DF4C8E">
        <w:rPr>
          <w:lang w:eastAsia="bg-BG"/>
        </w:rPr>
        <w:t>с неизвестна честота (от наличните данни не може да бъде направена оценка).</w:t>
      </w:r>
    </w:p>
    <w:p w14:paraId="40DF6FE5" w14:textId="7EB2E28E" w:rsidR="00DF4C8E" w:rsidRDefault="00DF4C8E" w:rsidP="00DF4C8E"/>
    <w:tbl>
      <w:tblPr>
        <w:tblStyle w:val="TableGrid"/>
        <w:tblW w:w="0" w:type="auto"/>
        <w:tblLook w:val="04A0" w:firstRow="1" w:lastRow="0" w:firstColumn="1" w:lastColumn="0" w:noHBand="0" w:noVBand="1"/>
      </w:tblPr>
      <w:tblGrid>
        <w:gridCol w:w="3192"/>
        <w:gridCol w:w="3192"/>
        <w:gridCol w:w="3192"/>
      </w:tblGrid>
      <w:tr w:rsidR="00DF4C8E" w14:paraId="7E274A5C" w14:textId="77777777" w:rsidTr="00DF4C8E">
        <w:tc>
          <w:tcPr>
            <w:tcW w:w="3192" w:type="dxa"/>
          </w:tcPr>
          <w:p w14:paraId="00B1A4B3" w14:textId="77777777" w:rsidR="00DF4C8E" w:rsidRPr="00DF4C8E" w:rsidRDefault="00DF4C8E" w:rsidP="00DF4C8E">
            <w:proofErr w:type="spellStart"/>
            <w:r w:rsidRPr="00DF4C8E">
              <w:rPr>
                <w:b/>
                <w:bCs/>
                <w:szCs w:val="20"/>
                <w:lang w:val="en-US"/>
              </w:rPr>
              <w:t>MedDRA</w:t>
            </w:r>
            <w:proofErr w:type="spellEnd"/>
            <w:r w:rsidRPr="00DF4C8E">
              <w:rPr>
                <w:b/>
                <w:bCs/>
                <w:szCs w:val="20"/>
                <w:lang w:val="en-US"/>
              </w:rPr>
              <w:t xml:space="preserve"> </w:t>
            </w:r>
            <w:r w:rsidRPr="00DF4C8E">
              <w:rPr>
                <w:b/>
                <w:bCs/>
                <w:szCs w:val="20"/>
              </w:rPr>
              <w:t>Системно*</w:t>
            </w:r>
          </w:p>
          <w:p w14:paraId="1CF2A2E2" w14:textId="3A0819E8" w:rsidR="00DF4C8E" w:rsidRPr="00DF4C8E" w:rsidRDefault="00DF4C8E" w:rsidP="00DF4C8E">
            <w:r w:rsidRPr="00DF4C8E">
              <w:rPr>
                <w:b/>
                <w:bCs/>
                <w:szCs w:val="20"/>
              </w:rPr>
              <w:t>органен клас</w:t>
            </w:r>
          </w:p>
        </w:tc>
        <w:tc>
          <w:tcPr>
            <w:tcW w:w="3192" w:type="dxa"/>
          </w:tcPr>
          <w:p w14:paraId="235F77B8" w14:textId="63D69992" w:rsidR="00DF4C8E" w:rsidRPr="00DF4C8E" w:rsidRDefault="00DF4C8E" w:rsidP="00DF4C8E">
            <w:r w:rsidRPr="00DF4C8E">
              <w:rPr>
                <w:b/>
                <w:bCs/>
                <w:szCs w:val="20"/>
              </w:rPr>
              <w:t>Нежелана лекарствена реакция</w:t>
            </w:r>
          </w:p>
        </w:tc>
        <w:tc>
          <w:tcPr>
            <w:tcW w:w="3192" w:type="dxa"/>
          </w:tcPr>
          <w:p w14:paraId="2080897D" w14:textId="3ACE5580" w:rsidR="00DF4C8E" w:rsidRPr="00DF4C8E" w:rsidRDefault="00DF4C8E" w:rsidP="00DF4C8E">
            <w:r w:rsidRPr="00DF4C8E">
              <w:rPr>
                <w:b/>
                <w:bCs/>
                <w:szCs w:val="20"/>
              </w:rPr>
              <w:t>Честота</w:t>
            </w:r>
          </w:p>
        </w:tc>
      </w:tr>
      <w:tr w:rsidR="00DF4C8E" w14:paraId="3B1F3681" w14:textId="77777777" w:rsidTr="00DF4C8E">
        <w:tc>
          <w:tcPr>
            <w:tcW w:w="3192" w:type="dxa"/>
            <w:vMerge w:val="restart"/>
          </w:tcPr>
          <w:p w14:paraId="445CB657" w14:textId="18AB921D" w:rsidR="00DF4C8E" w:rsidRPr="00DF4C8E" w:rsidRDefault="00DF4C8E" w:rsidP="00DF4C8E">
            <w:r w:rsidRPr="00DF4C8E">
              <w:rPr>
                <w:szCs w:val="20"/>
              </w:rPr>
              <w:t>Инфекции и инфестации</w:t>
            </w:r>
          </w:p>
        </w:tc>
        <w:tc>
          <w:tcPr>
            <w:tcW w:w="3192" w:type="dxa"/>
          </w:tcPr>
          <w:p w14:paraId="33CBF874" w14:textId="09111ABA" w:rsidR="00DF4C8E" w:rsidRPr="00DF4C8E" w:rsidRDefault="00DF4C8E" w:rsidP="00DF4C8E">
            <w:r w:rsidRPr="00DF4C8E">
              <w:rPr>
                <w:szCs w:val="20"/>
              </w:rPr>
              <w:t>Бактериална суперинфекция, гъбична суперинфекция</w:t>
            </w:r>
          </w:p>
        </w:tc>
        <w:tc>
          <w:tcPr>
            <w:tcW w:w="3192" w:type="dxa"/>
          </w:tcPr>
          <w:p w14:paraId="3307539B" w14:textId="703AFEA3" w:rsidR="00DF4C8E" w:rsidRPr="00DF4C8E" w:rsidRDefault="00DF4C8E" w:rsidP="00DF4C8E">
            <w:r w:rsidRPr="00DF4C8E">
              <w:rPr>
                <w:szCs w:val="20"/>
              </w:rPr>
              <w:t>Редки</w:t>
            </w:r>
          </w:p>
        </w:tc>
      </w:tr>
      <w:tr w:rsidR="00DF4C8E" w14:paraId="626BB9FE" w14:textId="77777777" w:rsidTr="00DF4C8E">
        <w:tc>
          <w:tcPr>
            <w:tcW w:w="3192" w:type="dxa"/>
            <w:vMerge/>
          </w:tcPr>
          <w:p w14:paraId="377ABA7F" w14:textId="77777777" w:rsidR="00DF4C8E" w:rsidRPr="00DF4C8E" w:rsidRDefault="00DF4C8E" w:rsidP="00DF4C8E"/>
        </w:tc>
        <w:tc>
          <w:tcPr>
            <w:tcW w:w="3192" w:type="dxa"/>
          </w:tcPr>
          <w:p w14:paraId="7A51667C" w14:textId="2247AA17" w:rsidR="00DF4C8E" w:rsidRPr="00DF4C8E" w:rsidRDefault="00DF4C8E" w:rsidP="00DF4C8E">
            <w:r w:rsidRPr="00DF4C8E">
              <w:rPr>
                <w:szCs w:val="20"/>
              </w:rPr>
              <w:t>Колит, свързан с употреба на антибиотик</w:t>
            </w:r>
          </w:p>
        </w:tc>
        <w:tc>
          <w:tcPr>
            <w:tcW w:w="3192" w:type="dxa"/>
          </w:tcPr>
          <w:p w14:paraId="1FD5A6C6" w14:textId="325501C2" w:rsidR="00DF4C8E" w:rsidRPr="00DF4C8E" w:rsidRDefault="00DF4C8E" w:rsidP="00DF4C8E">
            <w:r w:rsidRPr="00DF4C8E">
              <w:rPr>
                <w:szCs w:val="20"/>
              </w:rPr>
              <w:t>Много редки</w:t>
            </w:r>
          </w:p>
        </w:tc>
      </w:tr>
      <w:tr w:rsidR="00DF4C8E" w14:paraId="478F0E98" w14:textId="77777777" w:rsidTr="00DF4C8E">
        <w:tc>
          <w:tcPr>
            <w:tcW w:w="3192" w:type="dxa"/>
            <w:vMerge w:val="restart"/>
          </w:tcPr>
          <w:p w14:paraId="59CB2ABA" w14:textId="02313B4F" w:rsidR="00DF4C8E" w:rsidRPr="00DF4C8E" w:rsidRDefault="00DF4C8E" w:rsidP="00DF4C8E">
            <w:r w:rsidRPr="00DF4C8E">
              <w:rPr>
                <w:szCs w:val="20"/>
              </w:rPr>
              <w:t>Нарушения на кръвта и лимфната система</w:t>
            </w:r>
          </w:p>
        </w:tc>
        <w:tc>
          <w:tcPr>
            <w:tcW w:w="3192" w:type="dxa"/>
          </w:tcPr>
          <w:p w14:paraId="6232F929" w14:textId="35BCF248" w:rsidR="00DF4C8E" w:rsidRPr="00DF4C8E" w:rsidRDefault="00DF4C8E" w:rsidP="00DF4C8E">
            <w:r w:rsidRPr="00DF4C8E">
              <w:rPr>
                <w:szCs w:val="20"/>
              </w:rPr>
              <w:t>Еозинофилия</w:t>
            </w:r>
          </w:p>
        </w:tc>
        <w:tc>
          <w:tcPr>
            <w:tcW w:w="3192" w:type="dxa"/>
          </w:tcPr>
          <w:p w14:paraId="588D80B2" w14:textId="2CA790EC" w:rsidR="00DF4C8E" w:rsidRPr="00DF4C8E" w:rsidRDefault="00DF4C8E" w:rsidP="00DF4C8E">
            <w:r w:rsidRPr="00DF4C8E">
              <w:rPr>
                <w:szCs w:val="20"/>
              </w:rPr>
              <w:t>Редки</w:t>
            </w:r>
          </w:p>
        </w:tc>
      </w:tr>
      <w:tr w:rsidR="00DF4C8E" w14:paraId="0C3160DF" w14:textId="77777777" w:rsidTr="00DF4C8E">
        <w:tc>
          <w:tcPr>
            <w:tcW w:w="3192" w:type="dxa"/>
            <w:vMerge/>
          </w:tcPr>
          <w:p w14:paraId="562FC691" w14:textId="77777777" w:rsidR="00DF4C8E" w:rsidRPr="00DF4C8E" w:rsidRDefault="00DF4C8E" w:rsidP="00DF4C8E"/>
        </w:tc>
        <w:tc>
          <w:tcPr>
            <w:tcW w:w="3192" w:type="dxa"/>
          </w:tcPr>
          <w:p w14:paraId="01E1915B" w14:textId="336F7345" w:rsidR="00DF4C8E" w:rsidRPr="00DF4C8E" w:rsidRDefault="00DF4C8E" w:rsidP="00DF4C8E">
            <w:r w:rsidRPr="00DF4C8E">
              <w:rPr>
                <w:szCs w:val="20"/>
              </w:rPr>
              <w:t>левкопения, агранулоцитоза, панцитопения, тромбоцитопения, хемолитична анемия</w:t>
            </w:r>
          </w:p>
        </w:tc>
        <w:tc>
          <w:tcPr>
            <w:tcW w:w="3192" w:type="dxa"/>
          </w:tcPr>
          <w:p w14:paraId="4591FA05" w14:textId="55A5E71F" w:rsidR="00DF4C8E" w:rsidRPr="00DF4C8E" w:rsidRDefault="00DF4C8E" w:rsidP="00DF4C8E">
            <w:r w:rsidRPr="00DF4C8E">
              <w:rPr>
                <w:szCs w:val="20"/>
              </w:rPr>
              <w:t>Много редки</w:t>
            </w:r>
          </w:p>
        </w:tc>
      </w:tr>
      <w:tr w:rsidR="00DF4C8E" w14:paraId="3A08D40B" w14:textId="77777777" w:rsidTr="00DF4C8E">
        <w:tc>
          <w:tcPr>
            <w:tcW w:w="3192" w:type="dxa"/>
            <w:vMerge w:val="restart"/>
          </w:tcPr>
          <w:p w14:paraId="5D5E0754" w14:textId="58A06DEC" w:rsidR="00DF4C8E" w:rsidRPr="00DF4C8E" w:rsidRDefault="00DF4C8E" w:rsidP="00DF4C8E">
            <w:r w:rsidRPr="00DF4C8E">
              <w:rPr>
                <w:szCs w:val="20"/>
              </w:rPr>
              <w:t>Нарушения на имунната система</w:t>
            </w:r>
          </w:p>
        </w:tc>
        <w:tc>
          <w:tcPr>
            <w:tcW w:w="3192" w:type="dxa"/>
          </w:tcPr>
          <w:p w14:paraId="7B4C03D1" w14:textId="1DA5D286" w:rsidR="00DF4C8E" w:rsidRPr="00DF4C8E" w:rsidRDefault="00DF4C8E" w:rsidP="00DF4C8E">
            <w:r w:rsidRPr="00DF4C8E">
              <w:rPr>
                <w:szCs w:val="20"/>
              </w:rPr>
              <w:t>Свръхчувствителност</w:t>
            </w:r>
          </w:p>
        </w:tc>
        <w:tc>
          <w:tcPr>
            <w:tcW w:w="3192" w:type="dxa"/>
          </w:tcPr>
          <w:p w14:paraId="2E3B751E" w14:textId="7D8A25B5" w:rsidR="00DF4C8E" w:rsidRPr="00DF4C8E" w:rsidRDefault="00DF4C8E" w:rsidP="00DF4C8E">
            <w:r w:rsidRPr="00DF4C8E">
              <w:rPr>
                <w:szCs w:val="20"/>
              </w:rPr>
              <w:t>Редки</w:t>
            </w:r>
          </w:p>
        </w:tc>
      </w:tr>
      <w:tr w:rsidR="00DF4C8E" w14:paraId="678C0CD3" w14:textId="77777777" w:rsidTr="00353583">
        <w:trPr>
          <w:trHeight w:val="820"/>
        </w:trPr>
        <w:tc>
          <w:tcPr>
            <w:tcW w:w="3192" w:type="dxa"/>
            <w:vMerge/>
          </w:tcPr>
          <w:p w14:paraId="7FBB8328" w14:textId="77777777" w:rsidR="00DF4C8E" w:rsidRPr="00DF4C8E" w:rsidRDefault="00DF4C8E" w:rsidP="00DF4C8E"/>
        </w:tc>
        <w:tc>
          <w:tcPr>
            <w:tcW w:w="3192" w:type="dxa"/>
          </w:tcPr>
          <w:p w14:paraId="57A39B94" w14:textId="37D59873" w:rsidR="00DF4C8E" w:rsidRPr="00DF4C8E" w:rsidRDefault="00DF4C8E" w:rsidP="00DF4C8E">
            <w:r w:rsidRPr="00DF4C8E">
              <w:rPr>
                <w:szCs w:val="20"/>
              </w:rPr>
              <w:t>Анафилакгиччен шок, серумна болест</w:t>
            </w:r>
          </w:p>
        </w:tc>
        <w:tc>
          <w:tcPr>
            <w:tcW w:w="3192" w:type="dxa"/>
          </w:tcPr>
          <w:p w14:paraId="3A9454F5" w14:textId="18464BD2" w:rsidR="00DF4C8E" w:rsidRPr="00DF4C8E" w:rsidRDefault="00DF4C8E" w:rsidP="00DF4C8E">
            <w:r w:rsidRPr="00DF4C8E">
              <w:rPr>
                <w:szCs w:val="20"/>
              </w:rPr>
              <w:t>Много редки</w:t>
            </w:r>
          </w:p>
        </w:tc>
      </w:tr>
      <w:tr w:rsidR="00DF4C8E" w14:paraId="69E05A2E" w14:textId="77777777" w:rsidTr="00DF4C8E">
        <w:tc>
          <w:tcPr>
            <w:tcW w:w="3192" w:type="dxa"/>
          </w:tcPr>
          <w:p w14:paraId="5CDE6248" w14:textId="614659B6" w:rsidR="00DF4C8E" w:rsidRPr="00DF4C8E" w:rsidRDefault="00DF4C8E" w:rsidP="00DF4C8E">
            <w:r w:rsidRPr="00DF4C8E">
              <w:rPr>
                <w:szCs w:val="20"/>
              </w:rPr>
              <w:t>Нарушения на метаболизма и храненето</w:t>
            </w:r>
          </w:p>
        </w:tc>
        <w:tc>
          <w:tcPr>
            <w:tcW w:w="3192" w:type="dxa"/>
          </w:tcPr>
          <w:p w14:paraId="5A6D3D3F" w14:textId="62EC82BE" w:rsidR="00DF4C8E" w:rsidRPr="00DF4C8E" w:rsidRDefault="00DF4C8E" w:rsidP="00DF4C8E">
            <w:r w:rsidRPr="00DF4C8E">
              <w:rPr>
                <w:szCs w:val="20"/>
              </w:rPr>
              <w:t>Анорексия</w:t>
            </w:r>
          </w:p>
        </w:tc>
        <w:tc>
          <w:tcPr>
            <w:tcW w:w="3192" w:type="dxa"/>
          </w:tcPr>
          <w:p w14:paraId="2BD3729A" w14:textId="266094E2" w:rsidR="00DF4C8E" w:rsidRPr="00DF4C8E" w:rsidRDefault="00DF4C8E" w:rsidP="00DF4C8E">
            <w:r w:rsidRPr="00DF4C8E">
              <w:rPr>
                <w:szCs w:val="20"/>
              </w:rPr>
              <w:t>Редки</w:t>
            </w:r>
          </w:p>
        </w:tc>
      </w:tr>
      <w:tr w:rsidR="00DF4C8E" w14:paraId="5D88C49A" w14:textId="77777777" w:rsidTr="00DF4C8E">
        <w:tc>
          <w:tcPr>
            <w:tcW w:w="3192" w:type="dxa"/>
            <w:vMerge w:val="restart"/>
          </w:tcPr>
          <w:p w14:paraId="5EF0878D" w14:textId="623C5E1E" w:rsidR="00DF4C8E" w:rsidRPr="00DF4C8E" w:rsidRDefault="00DF4C8E" w:rsidP="00DF4C8E">
            <w:r w:rsidRPr="00DF4C8E">
              <w:rPr>
                <w:szCs w:val="20"/>
              </w:rPr>
              <w:t>Нарушения на нервната система</w:t>
            </w:r>
          </w:p>
        </w:tc>
        <w:tc>
          <w:tcPr>
            <w:tcW w:w="3192" w:type="dxa"/>
          </w:tcPr>
          <w:p w14:paraId="4C8D1B31" w14:textId="40F391B2" w:rsidR="00DF4C8E" w:rsidRPr="00DF4C8E" w:rsidRDefault="00DF4C8E" w:rsidP="00DF4C8E">
            <w:r w:rsidRPr="00DF4C8E">
              <w:rPr>
                <w:szCs w:val="20"/>
              </w:rPr>
              <w:t>Главоболие</w:t>
            </w:r>
          </w:p>
        </w:tc>
        <w:tc>
          <w:tcPr>
            <w:tcW w:w="3192" w:type="dxa"/>
          </w:tcPr>
          <w:p w14:paraId="5C590103" w14:textId="5B29299C" w:rsidR="00DF4C8E" w:rsidRPr="00DF4C8E" w:rsidRDefault="00DF4C8E" w:rsidP="00DF4C8E">
            <w:r w:rsidRPr="00DF4C8E">
              <w:rPr>
                <w:szCs w:val="20"/>
              </w:rPr>
              <w:t>Нечести</w:t>
            </w:r>
          </w:p>
        </w:tc>
      </w:tr>
      <w:tr w:rsidR="00DF4C8E" w14:paraId="35B14B5E" w14:textId="77777777" w:rsidTr="00DF4C8E">
        <w:tc>
          <w:tcPr>
            <w:tcW w:w="3192" w:type="dxa"/>
            <w:vMerge/>
          </w:tcPr>
          <w:p w14:paraId="62EB3317" w14:textId="77777777" w:rsidR="00DF4C8E" w:rsidRPr="00DF4C8E" w:rsidRDefault="00DF4C8E" w:rsidP="00DF4C8E"/>
        </w:tc>
        <w:tc>
          <w:tcPr>
            <w:tcW w:w="3192" w:type="dxa"/>
          </w:tcPr>
          <w:p w14:paraId="7413EFD0" w14:textId="552E3E9B" w:rsidR="00DF4C8E" w:rsidRPr="00DF4C8E" w:rsidRDefault="00DF4C8E" w:rsidP="00DF4C8E">
            <w:r w:rsidRPr="00DF4C8E">
              <w:rPr>
                <w:szCs w:val="20"/>
              </w:rPr>
              <w:t>Вертиго</w:t>
            </w:r>
          </w:p>
        </w:tc>
        <w:tc>
          <w:tcPr>
            <w:tcW w:w="3192" w:type="dxa"/>
          </w:tcPr>
          <w:p w14:paraId="3BE4056F" w14:textId="6A24A097" w:rsidR="00DF4C8E" w:rsidRPr="00DF4C8E" w:rsidRDefault="00DF4C8E" w:rsidP="00DF4C8E">
            <w:r w:rsidRPr="00DF4C8E">
              <w:rPr>
                <w:szCs w:val="20"/>
              </w:rPr>
              <w:t>Редки</w:t>
            </w:r>
          </w:p>
        </w:tc>
      </w:tr>
      <w:tr w:rsidR="00DF4C8E" w14:paraId="574EE313" w14:textId="77777777" w:rsidTr="00DF4C8E">
        <w:tc>
          <w:tcPr>
            <w:tcW w:w="3192" w:type="dxa"/>
            <w:vMerge/>
          </w:tcPr>
          <w:p w14:paraId="6DA51908" w14:textId="77777777" w:rsidR="00DF4C8E" w:rsidRPr="00DF4C8E" w:rsidRDefault="00DF4C8E" w:rsidP="00DF4C8E"/>
        </w:tc>
        <w:tc>
          <w:tcPr>
            <w:tcW w:w="3192" w:type="dxa"/>
          </w:tcPr>
          <w:p w14:paraId="71BE3779" w14:textId="1A31AA5B" w:rsidR="00DF4C8E" w:rsidRPr="00DF4C8E" w:rsidRDefault="00DF4C8E" w:rsidP="00DF4C8E">
            <w:r w:rsidRPr="00DF4C8E">
              <w:rPr>
                <w:szCs w:val="20"/>
              </w:rPr>
              <w:t>Психомоторна свръхактивност</w:t>
            </w:r>
          </w:p>
        </w:tc>
        <w:tc>
          <w:tcPr>
            <w:tcW w:w="3192" w:type="dxa"/>
          </w:tcPr>
          <w:p w14:paraId="296308A1" w14:textId="7E61354E" w:rsidR="00DF4C8E" w:rsidRPr="00DF4C8E" w:rsidRDefault="00DF4C8E" w:rsidP="00DF4C8E">
            <w:r w:rsidRPr="00DF4C8E">
              <w:rPr>
                <w:szCs w:val="20"/>
              </w:rPr>
              <w:t>Много редки</w:t>
            </w:r>
          </w:p>
        </w:tc>
      </w:tr>
      <w:tr w:rsidR="00DF4C8E" w14:paraId="3B934B1E" w14:textId="77777777" w:rsidTr="00DF4C8E">
        <w:tc>
          <w:tcPr>
            <w:tcW w:w="3192" w:type="dxa"/>
            <w:vMerge w:val="restart"/>
          </w:tcPr>
          <w:p w14:paraId="086A40E6" w14:textId="7246DFC7" w:rsidR="00DF4C8E" w:rsidRPr="00DF4C8E" w:rsidRDefault="00DF4C8E" w:rsidP="00DF4C8E">
            <w:r w:rsidRPr="00DF4C8E">
              <w:rPr>
                <w:szCs w:val="20"/>
              </w:rPr>
              <w:lastRenderedPageBreak/>
              <w:t>Стомашно-чревни нарушения</w:t>
            </w:r>
          </w:p>
        </w:tc>
        <w:tc>
          <w:tcPr>
            <w:tcW w:w="3192" w:type="dxa"/>
          </w:tcPr>
          <w:p w14:paraId="6F4867BB" w14:textId="2403CB9B" w:rsidR="00DF4C8E" w:rsidRPr="00DF4C8E" w:rsidRDefault="00DF4C8E" w:rsidP="00DF4C8E">
            <w:r w:rsidRPr="00DF4C8E">
              <w:rPr>
                <w:szCs w:val="20"/>
              </w:rPr>
              <w:t>Диария</w:t>
            </w:r>
          </w:p>
        </w:tc>
        <w:tc>
          <w:tcPr>
            <w:tcW w:w="3192" w:type="dxa"/>
          </w:tcPr>
          <w:p w14:paraId="47C06945" w14:textId="40A6CBF4" w:rsidR="00DF4C8E" w:rsidRPr="00DF4C8E" w:rsidRDefault="00DF4C8E" w:rsidP="00DF4C8E">
            <w:r w:rsidRPr="00DF4C8E">
              <w:rPr>
                <w:szCs w:val="20"/>
              </w:rPr>
              <w:t>Чести</w:t>
            </w:r>
          </w:p>
        </w:tc>
      </w:tr>
      <w:tr w:rsidR="00DF4C8E" w14:paraId="41B4A3F8" w14:textId="77777777" w:rsidTr="00DF4C8E">
        <w:tc>
          <w:tcPr>
            <w:tcW w:w="3192" w:type="dxa"/>
            <w:vMerge/>
          </w:tcPr>
          <w:p w14:paraId="1CB58994" w14:textId="77777777" w:rsidR="00DF4C8E" w:rsidRPr="00DF4C8E" w:rsidRDefault="00DF4C8E" w:rsidP="00DF4C8E"/>
        </w:tc>
        <w:tc>
          <w:tcPr>
            <w:tcW w:w="3192" w:type="dxa"/>
          </w:tcPr>
          <w:p w14:paraId="7B6BB7C5" w14:textId="59EB36E4" w:rsidR="00DF4C8E" w:rsidRPr="00DF4C8E" w:rsidRDefault="00DF4C8E" w:rsidP="00DF4C8E">
            <w:r w:rsidRPr="00DF4C8E">
              <w:rPr>
                <w:szCs w:val="20"/>
              </w:rPr>
              <w:t>Коремна болка, гадене, повръщане</w:t>
            </w:r>
          </w:p>
        </w:tc>
        <w:tc>
          <w:tcPr>
            <w:tcW w:w="3192" w:type="dxa"/>
          </w:tcPr>
          <w:p w14:paraId="6E760BEE" w14:textId="2FA5AE35" w:rsidR="00DF4C8E" w:rsidRPr="00DF4C8E" w:rsidRDefault="00DF4C8E" w:rsidP="00DF4C8E">
            <w:r w:rsidRPr="00DF4C8E">
              <w:rPr>
                <w:szCs w:val="20"/>
              </w:rPr>
              <w:t>Нечести</w:t>
            </w:r>
          </w:p>
        </w:tc>
      </w:tr>
      <w:tr w:rsidR="00DF4C8E" w14:paraId="7AE298B8" w14:textId="77777777" w:rsidTr="00DF4C8E">
        <w:tc>
          <w:tcPr>
            <w:tcW w:w="3192" w:type="dxa"/>
            <w:vMerge/>
          </w:tcPr>
          <w:p w14:paraId="4A033A55" w14:textId="77777777" w:rsidR="00DF4C8E" w:rsidRPr="00DF4C8E" w:rsidRDefault="00DF4C8E" w:rsidP="00DF4C8E"/>
        </w:tc>
        <w:tc>
          <w:tcPr>
            <w:tcW w:w="3192" w:type="dxa"/>
          </w:tcPr>
          <w:p w14:paraId="78E1B587" w14:textId="0218F7E1" w:rsidR="00DF4C8E" w:rsidRPr="00DF4C8E" w:rsidRDefault="00DF4C8E" w:rsidP="00DF4C8E">
            <w:r w:rsidRPr="00DF4C8E">
              <w:rPr>
                <w:szCs w:val="20"/>
              </w:rPr>
              <w:t>Метеоризъм</w:t>
            </w:r>
          </w:p>
        </w:tc>
        <w:tc>
          <w:tcPr>
            <w:tcW w:w="3192" w:type="dxa"/>
          </w:tcPr>
          <w:p w14:paraId="05FDF668" w14:textId="12EA374D" w:rsidR="00DF4C8E" w:rsidRPr="00DF4C8E" w:rsidRDefault="00DF4C8E" w:rsidP="00DF4C8E">
            <w:r w:rsidRPr="00DF4C8E">
              <w:rPr>
                <w:szCs w:val="20"/>
              </w:rPr>
              <w:t>Редки</w:t>
            </w:r>
          </w:p>
        </w:tc>
      </w:tr>
      <w:tr w:rsidR="00DF4C8E" w14:paraId="580733FF" w14:textId="77777777" w:rsidTr="00DF4C8E">
        <w:tc>
          <w:tcPr>
            <w:tcW w:w="3192" w:type="dxa"/>
          </w:tcPr>
          <w:p w14:paraId="6209B9BC" w14:textId="3E58402B" w:rsidR="00DF4C8E" w:rsidRPr="00DF4C8E" w:rsidRDefault="00DF4C8E" w:rsidP="00DF4C8E">
            <w:r w:rsidRPr="00DF4C8E">
              <w:rPr>
                <w:szCs w:val="20"/>
              </w:rPr>
              <w:t>Хепатобилиарни нарушения</w:t>
            </w:r>
          </w:p>
        </w:tc>
        <w:tc>
          <w:tcPr>
            <w:tcW w:w="3192" w:type="dxa"/>
          </w:tcPr>
          <w:p w14:paraId="2A275AE8" w14:textId="5AA28F21" w:rsidR="00DF4C8E" w:rsidRPr="00DF4C8E" w:rsidRDefault="00DF4C8E" w:rsidP="00DF4C8E">
            <w:r w:rsidRPr="00DF4C8E">
              <w:rPr>
                <w:szCs w:val="20"/>
              </w:rPr>
              <w:t>Хепатит, холестатична жълтеница</w:t>
            </w:r>
          </w:p>
        </w:tc>
        <w:tc>
          <w:tcPr>
            <w:tcW w:w="3192" w:type="dxa"/>
          </w:tcPr>
          <w:p w14:paraId="42D7488D" w14:textId="2959D934" w:rsidR="00DF4C8E" w:rsidRPr="00DF4C8E" w:rsidRDefault="00DF4C8E" w:rsidP="00DF4C8E">
            <w:r w:rsidRPr="00DF4C8E">
              <w:rPr>
                <w:szCs w:val="20"/>
              </w:rPr>
              <w:t>Много редки</w:t>
            </w:r>
          </w:p>
        </w:tc>
      </w:tr>
      <w:tr w:rsidR="00DF4C8E" w14:paraId="21418028" w14:textId="77777777" w:rsidTr="00DF4C8E">
        <w:tc>
          <w:tcPr>
            <w:tcW w:w="3192" w:type="dxa"/>
            <w:vMerge w:val="restart"/>
          </w:tcPr>
          <w:p w14:paraId="27629142" w14:textId="6DE236C6" w:rsidR="00DF4C8E" w:rsidRPr="00DF4C8E" w:rsidRDefault="00DF4C8E" w:rsidP="00DF4C8E">
            <w:r w:rsidRPr="00DF4C8E">
              <w:rPr>
                <w:szCs w:val="20"/>
              </w:rPr>
              <w:t>Нарушения на кожата и подкожната тъкан</w:t>
            </w:r>
          </w:p>
        </w:tc>
        <w:tc>
          <w:tcPr>
            <w:tcW w:w="3192" w:type="dxa"/>
          </w:tcPr>
          <w:p w14:paraId="0B6B5FBB" w14:textId="1A5C3BC0" w:rsidR="00DF4C8E" w:rsidRPr="00DF4C8E" w:rsidRDefault="00DF4C8E" w:rsidP="00DF4C8E">
            <w:r w:rsidRPr="00DF4C8E">
              <w:rPr>
                <w:szCs w:val="20"/>
              </w:rPr>
              <w:t>Обрив</w:t>
            </w:r>
          </w:p>
        </w:tc>
        <w:tc>
          <w:tcPr>
            <w:tcW w:w="3192" w:type="dxa"/>
          </w:tcPr>
          <w:p w14:paraId="314438BD" w14:textId="5F6CE4ED" w:rsidR="00DF4C8E" w:rsidRPr="00DF4C8E" w:rsidRDefault="00DF4C8E" w:rsidP="00DF4C8E">
            <w:r w:rsidRPr="00DF4C8E">
              <w:rPr>
                <w:szCs w:val="20"/>
              </w:rPr>
              <w:t>Нечести</w:t>
            </w:r>
          </w:p>
        </w:tc>
      </w:tr>
      <w:tr w:rsidR="00DF4C8E" w14:paraId="72B02FCB" w14:textId="77777777" w:rsidTr="00DF4C8E">
        <w:tc>
          <w:tcPr>
            <w:tcW w:w="3192" w:type="dxa"/>
            <w:vMerge/>
          </w:tcPr>
          <w:p w14:paraId="68DE3BAC" w14:textId="77777777" w:rsidR="00DF4C8E" w:rsidRPr="00DF4C8E" w:rsidRDefault="00DF4C8E" w:rsidP="00DF4C8E"/>
        </w:tc>
        <w:tc>
          <w:tcPr>
            <w:tcW w:w="3192" w:type="dxa"/>
          </w:tcPr>
          <w:p w14:paraId="30A417B7" w14:textId="6F97506E" w:rsidR="00DF4C8E" w:rsidRPr="00DF4C8E" w:rsidRDefault="00DF4C8E" w:rsidP="00DF4C8E">
            <w:r w:rsidRPr="00DF4C8E">
              <w:rPr>
                <w:szCs w:val="20"/>
              </w:rPr>
              <w:t>Ангионевротичен едем, сърбеж</w:t>
            </w:r>
          </w:p>
        </w:tc>
        <w:tc>
          <w:tcPr>
            <w:tcW w:w="3192" w:type="dxa"/>
          </w:tcPr>
          <w:p w14:paraId="222EA658" w14:textId="1AF5813A" w:rsidR="00DF4C8E" w:rsidRPr="00DF4C8E" w:rsidRDefault="00DF4C8E" w:rsidP="00DF4C8E">
            <w:r w:rsidRPr="00DF4C8E">
              <w:rPr>
                <w:szCs w:val="20"/>
              </w:rPr>
              <w:t>Редки</w:t>
            </w:r>
          </w:p>
        </w:tc>
      </w:tr>
      <w:tr w:rsidR="00DF4C8E" w14:paraId="2B81E886" w14:textId="77777777" w:rsidTr="00DF4C8E">
        <w:tc>
          <w:tcPr>
            <w:tcW w:w="3192" w:type="dxa"/>
            <w:vMerge/>
          </w:tcPr>
          <w:p w14:paraId="6C2676EE" w14:textId="77777777" w:rsidR="00DF4C8E" w:rsidRPr="00DF4C8E" w:rsidRDefault="00DF4C8E" w:rsidP="00DF4C8E"/>
        </w:tc>
        <w:tc>
          <w:tcPr>
            <w:tcW w:w="3192" w:type="dxa"/>
          </w:tcPr>
          <w:p w14:paraId="1AAD6FCA" w14:textId="576B4BE3" w:rsidR="00DF4C8E" w:rsidRPr="00DF4C8E" w:rsidRDefault="00DF4C8E" w:rsidP="00DF4C8E">
            <w:r w:rsidRPr="00DF4C8E">
              <w:rPr>
                <w:szCs w:val="20"/>
              </w:rPr>
              <w:t>Синдром на Стивънс Джонсън, токсична епидермална некролиза</w:t>
            </w:r>
          </w:p>
        </w:tc>
        <w:tc>
          <w:tcPr>
            <w:tcW w:w="3192" w:type="dxa"/>
          </w:tcPr>
          <w:p w14:paraId="0AA65E72" w14:textId="4A4B17AF" w:rsidR="00DF4C8E" w:rsidRPr="00DF4C8E" w:rsidRDefault="00DF4C8E" w:rsidP="00DF4C8E">
            <w:r w:rsidRPr="00DF4C8E">
              <w:rPr>
                <w:szCs w:val="20"/>
              </w:rPr>
              <w:t>Много редки</w:t>
            </w:r>
          </w:p>
        </w:tc>
      </w:tr>
      <w:tr w:rsidR="00DF4C8E" w14:paraId="679E908C" w14:textId="77777777" w:rsidTr="00DF4C8E">
        <w:tc>
          <w:tcPr>
            <w:tcW w:w="3192" w:type="dxa"/>
            <w:vMerge/>
          </w:tcPr>
          <w:p w14:paraId="31C21D7E" w14:textId="77777777" w:rsidR="00DF4C8E" w:rsidRPr="00DF4C8E" w:rsidRDefault="00DF4C8E" w:rsidP="00DF4C8E"/>
        </w:tc>
        <w:tc>
          <w:tcPr>
            <w:tcW w:w="3192" w:type="dxa"/>
          </w:tcPr>
          <w:p w14:paraId="7EF2492E" w14:textId="3DD874B5" w:rsidR="00DF4C8E" w:rsidRPr="00DF4C8E" w:rsidRDefault="00DF4C8E" w:rsidP="00DF4C8E">
            <w:r w:rsidRPr="00DF4C8E">
              <w:rPr>
                <w:szCs w:val="20"/>
              </w:rPr>
              <w:t xml:space="preserve">Лекарствен обрив с еозинофилия и системни симптоми </w:t>
            </w:r>
            <w:r w:rsidRPr="00DF4C8E">
              <w:rPr>
                <w:szCs w:val="20"/>
                <w:lang w:val="ru-RU"/>
              </w:rPr>
              <w:t>(</w:t>
            </w:r>
            <w:r w:rsidRPr="00DF4C8E">
              <w:rPr>
                <w:szCs w:val="20"/>
                <w:lang w:val="en-US"/>
              </w:rPr>
              <w:t>DRESS</w:t>
            </w:r>
            <w:r w:rsidRPr="00DF4C8E">
              <w:rPr>
                <w:szCs w:val="20"/>
                <w:lang w:val="ru-RU"/>
              </w:rPr>
              <w:t>)</w:t>
            </w:r>
          </w:p>
        </w:tc>
        <w:tc>
          <w:tcPr>
            <w:tcW w:w="3192" w:type="dxa"/>
          </w:tcPr>
          <w:p w14:paraId="34021F51" w14:textId="77777777" w:rsidR="00DF4C8E" w:rsidRPr="00DF4C8E" w:rsidRDefault="00DF4C8E" w:rsidP="00DF4C8E">
            <w:r w:rsidRPr="00DF4C8E">
              <w:rPr>
                <w:szCs w:val="20"/>
              </w:rPr>
              <w:t>С</w:t>
            </w:r>
            <w:r w:rsidRPr="00DF4C8E">
              <w:rPr>
                <w:szCs w:val="20"/>
              </w:rPr>
              <w:tab/>
              <w:t>неизвестна</w:t>
            </w:r>
          </w:p>
          <w:p w14:paraId="2FEE64D2" w14:textId="50783EEA" w:rsidR="00DF4C8E" w:rsidRPr="00DF4C8E" w:rsidRDefault="00DF4C8E" w:rsidP="00DF4C8E">
            <w:r w:rsidRPr="00DF4C8E">
              <w:rPr>
                <w:szCs w:val="20"/>
              </w:rPr>
              <w:t>честота</w:t>
            </w:r>
          </w:p>
        </w:tc>
      </w:tr>
      <w:tr w:rsidR="00DF4C8E" w14:paraId="055EEC5F" w14:textId="77777777" w:rsidTr="00DF4C8E">
        <w:tc>
          <w:tcPr>
            <w:tcW w:w="3192" w:type="dxa"/>
            <w:vMerge w:val="restart"/>
          </w:tcPr>
          <w:p w14:paraId="491C36E8" w14:textId="301284B4" w:rsidR="00DF4C8E" w:rsidRPr="00DF4C8E" w:rsidRDefault="00DF4C8E" w:rsidP="00DF4C8E">
            <w:r w:rsidRPr="00DF4C8E">
              <w:rPr>
                <w:szCs w:val="20"/>
              </w:rPr>
              <w:t>Нарушения на бъбреците и пикочните пътища</w:t>
            </w:r>
          </w:p>
        </w:tc>
        <w:tc>
          <w:tcPr>
            <w:tcW w:w="3192" w:type="dxa"/>
          </w:tcPr>
          <w:p w14:paraId="5A733946" w14:textId="5179C43B" w:rsidR="00DF4C8E" w:rsidRPr="00DF4C8E" w:rsidRDefault="00DF4C8E" w:rsidP="00DF4C8E">
            <w:r w:rsidRPr="00DF4C8E">
              <w:rPr>
                <w:szCs w:val="20"/>
              </w:rPr>
              <w:t>Интерстициален нефрит</w:t>
            </w:r>
          </w:p>
        </w:tc>
        <w:tc>
          <w:tcPr>
            <w:tcW w:w="3192" w:type="dxa"/>
          </w:tcPr>
          <w:p w14:paraId="116907DA" w14:textId="4769F947" w:rsidR="00DF4C8E" w:rsidRPr="00DF4C8E" w:rsidRDefault="00DF4C8E" w:rsidP="00DF4C8E">
            <w:r w:rsidRPr="00DF4C8E">
              <w:rPr>
                <w:szCs w:val="20"/>
              </w:rPr>
              <w:t>Много редки</w:t>
            </w:r>
          </w:p>
        </w:tc>
      </w:tr>
      <w:tr w:rsidR="00DF4C8E" w14:paraId="4CF39167" w14:textId="77777777" w:rsidTr="00280FC3">
        <w:tc>
          <w:tcPr>
            <w:tcW w:w="3192" w:type="dxa"/>
            <w:vMerge/>
          </w:tcPr>
          <w:p w14:paraId="259EB881" w14:textId="77777777" w:rsidR="00DF4C8E" w:rsidRPr="00DF4C8E" w:rsidRDefault="00DF4C8E" w:rsidP="00DF4C8E"/>
        </w:tc>
        <w:tc>
          <w:tcPr>
            <w:tcW w:w="3192" w:type="dxa"/>
          </w:tcPr>
          <w:p w14:paraId="5518E4FC" w14:textId="478CFD92" w:rsidR="00DF4C8E" w:rsidRPr="00DF4C8E" w:rsidRDefault="00DF4C8E" w:rsidP="00DF4C8E">
            <w:r w:rsidRPr="00DF4C8E">
              <w:rPr>
                <w:szCs w:val="20"/>
              </w:rPr>
              <w:t>Остра бъбречна недостатъчност, включително тубулоинтерстициален нефрит като съпътстващо патологично състояние</w:t>
            </w:r>
          </w:p>
        </w:tc>
        <w:tc>
          <w:tcPr>
            <w:tcW w:w="3192" w:type="dxa"/>
            <w:vAlign w:val="bottom"/>
          </w:tcPr>
          <w:p w14:paraId="06E8AFA5" w14:textId="77777777" w:rsidR="00DF4C8E" w:rsidRPr="00DF4C8E" w:rsidRDefault="00DF4C8E" w:rsidP="00DF4C8E">
            <w:r w:rsidRPr="00DF4C8E">
              <w:rPr>
                <w:szCs w:val="20"/>
              </w:rPr>
              <w:t>С</w:t>
            </w:r>
            <w:r w:rsidRPr="00DF4C8E">
              <w:rPr>
                <w:szCs w:val="20"/>
              </w:rPr>
              <w:tab/>
              <w:t>неизвестна</w:t>
            </w:r>
          </w:p>
          <w:p w14:paraId="37157343" w14:textId="27A70C1C" w:rsidR="00DF4C8E" w:rsidRPr="00DF4C8E" w:rsidRDefault="00DF4C8E" w:rsidP="00DF4C8E">
            <w:r w:rsidRPr="00DF4C8E">
              <w:rPr>
                <w:szCs w:val="20"/>
              </w:rPr>
              <w:t>честота</w:t>
            </w:r>
          </w:p>
        </w:tc>
      </w:tr>
      <w:tr w:rsidR="00DF4C8E" w14:paraId="61C12A51" w14:textId="77777777" w:rsidTr="00DF4C8E">
        <w:tc>
          <w:tcPr>
            <w:tcW w:w="3192" w:type="dxa"/>
          </w:tcPr>
          <w:p w14:paraId="371E01DF" w14:textId="6E558237" w:rsidR="00DF4C8E" w:rsidRPr="00DF4C8E" w:rsidRDefault="00DF4C8E" w:rsidP="00DF4C8E">
            <w:r w:rsidRPr="00DF4C8E">
              <w:rPr>
                <w:szCs w:val="20"/>
              </w:rPr>
              <w:t>Общи нарушения и ефекти на мястото на приложение</w:t>
            </w:r>
          </w:p>
        </w:tc>
        <w:tc>
          <w:tcPr>
            <w:tcW w:w="3192" w:type="dxa"/>
          </w:tcPr>
          <w:p w14:paraId="153A9F9B" w14:textId="61715A6F" w:rsidR="00DF4C8E" w:rsidRPr="00DF4C8E" w:rsidRDefault="00DF4C8E" w:rsidP="00DF4C8E">
            <w:r w:rsidRPr="00DF4C8E">
              <w:rPr>
                <w:szCs w:val="20"/>
              </w:rPr>
              <w:t>Възпаление на лигавиците, пирексия</w:t>
            </w:r>
          </w:p>
        </w:tc>
        <w:tc>
          <w:tcPr>
            <w:tcW w:w="3192" w:type="dxa"/>
          </w:tcPr>
          <w:p w14:paraId="0509BDC0" w14:textId="54A7483D" w:rsidR="00DF4C8E" w:rsidRPr="00DF4C8E" w:rsidRDefault="00DF4C8E" w:rsidP="00DF4C8E">
            <w:r w:rsidRPr="00DF4C8E">
              <w:rPr>
                <w:szCs w:val="20"/>
              </w:rPr>
              <w:t>Редки</w:t>
            </w:r>
          </w:p>
        </w:tc>
      </w:tr>
      <w:tr w:rsidR="00DF4C8E" w14:paraId="43E171E7" w14:textId="77777777" w:rsidTr="00DF4C8E">
        <w:tc>
          <w:tcPr>
            <w:tcW w:w="3192" w:type="dxa"/>
            <w:vMerge w:val="restart"/>
          </w:tcPr>
          <w:p w14:paraId="4A814EC6" w14:textId="308B25ED" w:rsidR="00DF4C8E" w:rsidRPr="00DF4C8E" w:rsidRDefault="00DF4C8E" w:rsidP="00DF4C8E">
            <w:r w:rsidRPr="00DF4C8E">
              <w:rPr>
                <w:szCs w:val="20"/>
              </w:rPr>
              <w:t>Изследвания</w:t>
            </w:r>
          </w:p>
        </w:tc>
        <w:tc>
          <w:tcPr>
            <w:tcW w:w="3192" w:type="dxa"/>
          </w:tcPr>
          <w:p w14:paraId="5DB7EA9A" w14:textId="653ABFCD" w:rsidR="00DF4C8E" w:rsidRPr="00DF4C8E" w:rsidRDefault="00DF4C8E" w:rsidP="00DF4C8E">
            <w:r w:rsidRPr="00DF4C8E">
              <w:rPr>
                <w:szCs w:val="20"/>
              </w:rPr>
              <w:t>Повишени чернодробни ензими (трансаминази, алкална фосфатаза)</w:t>
            </w:r>
          </w:p>
        </w:tc>
        <w:tc>
          <w:tcPr>
            <w:tcW w:w="3192" w:type="dxa"/>
          </w:tcPr>
          <w:p w14:paraId="73B00CA1" w14:textId="19DCF8FC" w:rsidR="00DF4C8E" w:rsidRPr="00DF4C8E" w:rsidRDefault="00DF4C8E" w:rsidP="00DF4C8E">
            <w:r w:rsidRPr="00DF4C8E">
              <w:rPr>
                <w:szCs w:val="20"/>
              </w:rPr>
              <w:t>Нечести</w:t>
            </w:r>
          </w:p>
        </w:tc>
      </w:tr>
      <w:tr w:rsidR="00DF4C8E" w14:paraId="14097D46" w14:textId="77777777" w:rsidTr="00DF4C8E">
        <w:tc>
          <w:tcPr>
            <w:tcW w:w="3192" w:type="dxa"/>
            <w:vMerge/>
          </w:tcPr>
          <w:p w14:paraId="3ADB76AC" w14:textId="77777777" w:rsidR="00DF4C8E" w:rsidRPr="00DF4C8E" w:rsidRDefault="00DF4C8E" w:rsidP="00DF4C8E"/>
        </w:tc>
        <w:tc>
          <w:tcPr>
            <w:tcW w:w="3192" w:type="dxa"/>
          </w:tcPr>
          <w:p w14:paraId="10647077" w14:textId="4D48A966" w:rsidR="00DF4C8E" w:rsidRPr="00DF4C8E" w:rsidRDefault="00DF4C8E" w:rsidP="00DF4C8E">
            <w:r w:rsidRPr="00DF4C8E">
              <w:rPr>
                <w:szCs w:val="20"/>
              </w:rPr>
              <w:t>Повишение на кръвната урея</w:t>
            </w:r>
          </w:p>
        </w:tc>
        <w:tc>
          <w:tcPr>
            <w:tcW w:w="3192" w:type="dxa"/>
          </w:tcPr>
          <w:p w14:paraId="783B3FBF" w14:textId="77977D53" w:rsidR="00DF4C8E" w:rsidRPr="00DF4C8E" w:rsidRDefault="00DF4C8E" w:rsidP="00DF4C8E">
            <w:r w:rsidRPr="00DF4C8E">
              <w:rPr>
                <w:szCs w:val="20"/>
              </w:rPr>
              <w:t>Редки</w:t>
            </w:r>
          </w:p>
        </w:tc>
      </w:tr>
      <w:tr w:rsidR="00DF4C8E" w14:paraId="3F66F1C7" w14:textId="77777777" w:rsidTr="00DF4C8E">
        <w:tc>
          <w:tcPr>
            <w:tcW w:w="3192" w:type="dxa"/>
            <w:vMerge/>
          </w:tcPr>
          <w:p w14:paraId="4B1795B6" w14:textId="77777777" w:rsidR="00DF4C8E" w:rsidRPr="00DF4C8E" w:rsidRDefault="00DF4C8E" w:rsidP="00DF4C8E"/>
        </w:tc>
        <w:tc>
          <w:tcPr>
            <w:tcW w:w="3192" w:type="dxa"/>
          </w:tcPr>
          <w:p w14:paraId="62D73232" w14:textId="09AFE01A" w:rsidR="00DF4C8E" w:rsidRPr="00DF4C8E" w:rsidRDefault="00DF4C8E" w:rsidP="00DF4C8E">
            <w:r w:rsidRPr="00DF4C8E">
              <w:rPr>
                <w:szCs w:val="20"/>
              </w:rPr>
              <w:t>Повишение на креатинин в кръвта</w:t>
            </w:r>
          </w:p>
        </w:tc>
        <w:tc>
          <w:tcPr>
            <w:tcW w:w="3192" w:type="dxa"/>
          </w:tcPr>
          <w:p w14:paraId="74AD8226" w14:textId="3B34FE2B" w:rsidR="00DF4C8E" w:rsidRPr="00DF4C8E" w:rsidRDefault="00DF4C8E" w:rsidP="00DF4C8E">
            <w:r w:rsidRPr="00DF4C8E">
              <w:rPr>
                <w:szCs w:val="20"/>
              </w:rPr>
              <w:t>Много редки</w:t>
            </w:r>
          </w:p>
        </w:tc>
      </w:tr>
    </w:tbl>
    <w:p w14:paraId="3DDA0278" w14:textId="77777777" w:rsidR="00DF4C8E" w:rsidRDefault="00DF4C8E" w:rsidP="00DF4C8E">
      <w:pPr>
        <w:spacing w:line="240" w:lineRule="auto"/>
        <w:rPr>
          <w:rFonts w:ascii="Times New Roman" w:eastAsia="Times New Roman" w:hAnsi="Times New Roman" w:cs="Times New Roman"/>
          <w:b/>
          <w:bCs/>
          <w:color w:val="000000"/>
          <w:sz w:val="20"/>
          <w:szCs w:val="20"/>
          <w:u w:val="single"/>
          <w:lang w:eastAsia="bg-BG"/>
        </w:rPr>
      </w:pPr>
    </w:p>
    <w:p w14:paraId="60A8054C" w14:textId="045EA484" w:rsidR="00DF4C8E" w:rsidRPr="00DF4C8E" w:rsidRDefault="00DF4C8E" w:rsidP="00DF4C8E">
      <w:pPr>
        <w:spacing w:line="240" w:lineRule="auto"/>
        <w:rPr>
          <w:rFonts w:eastAsia="Times New Roman" w:cs="Arial"/>
        </w:rPr>
      </w:pPr>
      <w:r w:rsidRPr="00DF4C8E">
        <w:rPr>
          <w:rFonts w:eastAsia="Times New Roman" w:cs="Arial"/>
          <w:b/>
          <w:bCs/>
          <w:color w:val="000000"/>
          <w:u w:val="single"/>
          <w:lang w:eastAsia="bg-BG"/>
        </w:rPr>
        <w:t>Съобщаване на подозирани нежелани реакции</w:t>
      </w:r>
    </w:p>
    <w:p w14:paraId="28E02EF8" w14:textId="77777777" w:rsidR="00DF4C8E" w:rsidRPr="00DF4C8E" w:rsidRDefault="00DF4C8E" w:rsidP="00DF4C8E">
      <w:pPr>
        <w:spacing w:line="240" w:lineRule="auto"/>
        <w:rPr>
          <w:rFonts w:eastAsia="Times New Roman" w:cs="Arial"/>
        </w:rPr>
      </w:pPr>
      <w:r w:rsidRPr="00DF4C8E">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3B76AB53" w14:textId="77777777" w:rsidR="00DF4C8E" w:rsidRPr="00DF4C8E" w:rsidRDefault="00DF4C8E" w:rsidP="00DF4C8E">
      <w:pPr>
        <w:spacing w:line="240" w:lineRule="auto"/>
        <w:rPr>
          <w:rFonts w:eastAsia="Times New Roman" w:cs="Arial"/>
        </w:rPr>
      </w:pPr>
      <w:r w:rsidRPr="00DF4C8E">
        <w:rPr>
          <w:rFonts w:eastAsia="Times New Roman" w:cs="Arial"/>
          <w:color w:val="000000"/>
          <w:lang w:eastAsia="bg-BG"/>
        </w:rPr>
        <w:t>Изпълнителна агенция по лекарствата</w:t>
      </w:r>
    </w:p>
    <w:p w14:paraId="529750B7" w14:textId="77777777" w:rsidR="00DF4C8E" w:rsidRPr="00DF4C8E" w:rsidRDefault="00DF4C8E" w:rsidP="00DF4C8E">
      <w:pPr>
        <w:spacing w:line="240" w:lineRule="auto"/>
        <w:rPr>
          <w:rFonts w:eastAsia="Times New Roman" w:cs="Arial"/>
        </w:rPr>
      </w:pPr>
      <w:r w:rsidRPr="00DF4C8E">
        <w:rPr>
          <w:rFonts w:eastAsia="Times New Roman" w:cs="Arial"/>
          <w:color w:val="000000"/>
          <w:lang w:eastAsia="bg-BG"/>
        </w:rPr>
        <w:t>ул., Дамян Груев” №8</w:t>
      </w:r>
    </w:p>
    <w:p w14:paraId="120053DA" w14:textId="77777777" w:rsidR="00DF4C8E" w:rsidRPr="00DF4C8E" w:rsidRDefault="00DF4C8E" w:rsidP="00DF4C8E">
      <w:pPr>
        <w:spacing w:line="240" w:lineRule="auto"/>
        <w:rPr>
          <w:rFonts w:eastAsia="Times New Roman" w:cs="Arial"/>
        </w:rPr>
      </w:pPr>
      <w:r w:rsidRPr="00DF4C8E">
        <w:rPr>
          <w:rFonts w:eastAsia="Times New Roman" w:cs="Arial"/>
          <w:color w:val="000000"/>
          <w:lang w:eastAsia="bg-BG"/>
        </w:rPr>
        <w:t>1303 София</w:t>
      </w:r>
    </w:p>
    <w:p w14:paraId="319D7DBB" w14:textId="77777777" w:rsidR="00DF4C8E" w:rsidRPr="00DF4C8E" w:rsidRDefault="00DF4C8E" w:rsidP="00DF4C8E">
      <w:pPr>
        <w:spacing w:line="240" w:lineRule="auto"/>
        <w:rPr>
          <w:rFonts w:eastAsia="Times New Roman" w:cs="Arial"/>
        </w:rPr>
      </w:pPr>
      <w:r w:rsidRPr="00DF4C8E">
        <w:rPr>
          <w:rFonts w:eastAsia="Times New Roman" w:cs="Arial"/>
          <w:color w:val="000000"/>
          <w:lang w:eastAsia="bg-BG"/>
        </w:rPr>
        <w:t>тел.:+3592 8903417</w:t>
      </w:r>
    </w:p>
    <w:p w14:paraId="2FAA6A55" w14:textId="4D8FFE7B" w:rsidR="00DF4C8E" w:rsidRDefault="00DF4C8E" w:rsidP="00DF4C8E">
      <w:pPr>
        <w:rPr>
          <w:rFonts w:eastAsia="Times New Roman" w:cs="Arial"/>
        </w:rPr>
      </w:pPr>
      <w:r w:rsidRPr="00DF4C8E">
        <w:rPr>
          <w:rFonts w:eastAsia="Times New Roman" w:cs="Arial"/>
          <w:color w:val="000000"/>
          <w:lang w:eastAsia="bg-BG"/>
        </w:rPr>
        <w:t xml:space="preserve">уебсайт: </w:t>
      </w:r>
      <w:hyperlink r:id="rId5" w:history="1">
        <w:r w:rsidRPr="00DF4C8E">
          <w:rPr>
            <w:rFonts w:eastAsia="Times New Roman" w:cs="Arial"/>
            <w:color w:val="000000"/>
            <w:u w:val="single"/>
            <w:lang w:val="en-US"/>
          </w:rPr>
          <w:t>www.bda.bg</w:t>
        </w:r>
      </w:hyperlink>
    </w:p>
    <w:p w14:paraId="28229498" w14:textId="77777777" w:rsidR="00DF4C8E" w:rsidRPr="00DF4C8E" w:rsidRDefault="00DF4C8E" w:rsidP="00DF4C8E">
      <w:pPr>
        <w:rPr>
          <w:rFonts w:cs="Arial"/>
        </w:rPr>
      </w:pPr>
    </w:p>
    <w:p w14:paraId="4ED30546" w14:textId="7CBFB586" w:rsidR="007C605B" w:rsidRDefault="002C50EE" w:rsidP="009F1313">
      <w:pPr>
        <w:pStyle w:val="Heading2"/>
      </w:pPr>
      <w:r>
        <w:t>4.9. Предозиране</w:t>
      </w:r>
    </w:p>
    <w:p w14:paraId="4C1BDE55" w14:textId="77777777" w:rsidR="00DF4C8E" w:rsidRDefault="00DF4C8E" w:rsidP="00DF4C8E"/>
    <w:p w14:paraId="3470E33B" w14:textId="66E7224D" w:rsidR="00DF4C8E" w:rsidRPr="00DF4C8E" w:rsidRDefault="00DF4C8E" w:rsidP="00DF4C8E">
      <w:pPr>
        <w:rPr>
          <w:sz w:val="24"/>
          <w:szCs w:val="24"/>
        </w:rPr>
      </w:pPr>
      <w:r w:rsidRPr="00DF4C8E">
        <w:rPr>
          <w:lang w:eastAsia="bg-BG"/>
        </w:rPr>
        <w:t>Няма опит при предозиране с цефиксим.</w:t>
      </w:r>
    </w:p>
    <w:p w14:paraId="07687653" w14:textId="77777777" w:rsidR="00DF4C8E" w:rsidRPr="00DF4C8E" w:rsidRDefault="00DF4C8E" w:rsidP="00DF4C8E"/>
    <w:p w14:paraId="02081B24" w14:textId="1F46E296" w:rsidR="00395555" w:rsidRPr="00395555" w:rsidRDefault="002C50EE" w:rsidP="008A6AF2">
      <w:pPr>
        <w:pStyle w:val="Heading1"/>
      </w:pPr>
      <w:r>
        <w:lastRenderedPageBreak/>
        <w:t>5. ФАРМАКОЛОГИЧНИ СВОЙСТВА</w:t>
      </w:r>
    </w:p>
    <w:p w14:paraId="5350637D" w14:textId="642D2E1B" w:rsidR="00395555" w:rsidRDefault="002C50EE" w:rsidP="008A6AF2">
      <w:pPr>
        <w:pStyle w:val="Heading2"/>
      </w:pPr>
      <w:r>
        <w:t>5.1. Фармакодинамични свойства</w:t>
      </w:r>
    </w:p>
    <w:p w14:paraId="344EA9BC" w14:textId="48D268AA" w:rsidR="00DF4C8E" w:rsidRDefault="00DF4C8E" w:rsidP="00DF4C8E"/>
    <w:p w14:paraId="7382F832" w14:textId="77777777"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lang w:eastAsia="bg-BG"/>
        </w:rPr>
        <w:t>Фармакотерапевтична група: цефалоспорин, III поколение</w:t>
      </w:r>
    </w:p>
    <w:p w14:paraId="027894DF" w14:textId="77777777"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lang w:eastAsia="bg-BG"/>
        </w:rPr>
        <w:t xml:space="preserve">АТС код: </w:t>
      </w:r>
      <w:r w:rsidRPr="00DF4C8E">
        <w:rPr>
          <w:rFonts w:eastAsia="Times New Roman" w:cs="Arial"/>
          <w:color w:val="000000"/>
          <w:szCs w:val="20"/>
          <w:lang w:val="en-US"/>
        </w:rPr>
        <w:t>J</w:t>
      </w:r>
      <w:r w:rsidRPr="00DF4C8E">
        <w:rPr>
          <w:rFonts w:eastAsia="Times New Roman" w:cs="Arial"/>
          <w:color w:val="000000"/>
          <w:szCs w:val="20"/>
          <w:lang w:val="ru-RU"/>
        </w:rPr>
        <w:t>01</w:t>
      </w:r>
      <w:r w:rsidRPr="00DF4C8E">
        <w:rPr>
          <w:rFonts w:eastAsia="Times New Roman" w:cs="Arial"/>
          <w:color w:val="000000"/>
          <w:szCs w:val="20"/>
          <w:lang w:val="en-US"/>
        </w:rPr>
        <w:t>DD</w:t>
      </w:r>
      <w:r w:rsidRPr="00DF4C8E">
        <w:rPr>
          <w:rFonts w:eastAsia="Times New Roman" w:cs="Arial"/>
          <w:color w:val="000000"/>
          <w:szCs w:val="20"/>
          <w:lang w:val="ru-RU"/>
        </w:rPr>
        <w:t>08</w:t>
      </w:r>
    </w:p>
    <w:p w14:paraId="4CF9DF9A" w14:textId="77777777" w:rsidR="00DF4C8E" w:rsidRPr="00DF4C8E" w:rsidRDefault="00DF4C8E" w:rsidP="00DF4C8E">
      <w:pPr>
        <w:spacing w:line="240" w:lineRule="auto"/>
        <w:rPr>
          <w:rFonts w:eastAsia="Times New Roman" w:cs="Arial"/>
          <w:b/>
          <w:bCs/>
          <w:color w:val="000000"/>
          <w:szCs w:val="20"/>
          <w:u w:val="single"/>
          <w:lang w:eastAsia="bg-BG"/>
        </w:rPr>
      </w:pPr>
    </w:p>
    <w:p w14:paraId="66F3E87B" w14:textId="6898E79A" w:rsidR="00DF4C8E" w:rsidRPr="00DF4C8E" w:rsidRDefault="00DF4C8E" w:rsidP="00DF4C8E">
      <w:pPr>
        <w:spacing w:line="240" w:lineRule="auto"/>
        <w:rPr>
          <w:rFonts w:eastAsia="Times New Roman" w:cs="Arial"/>
          <w:sz w:val="28"/>
          <w:szCs w:val="24"/>
        </w:rPr>
      </w:pPr>
      <w:r w:rsidRPr="00DF4C8E">
        <w:rPr>
          <w:rFonts w:eastAsia="Times New Roman" w:cs="Arial"/>
          <w:b/>
          <w:bCs/>
          <w:color w:val="000000"/>
          <w:szCs w:val="20"/>
          <w:u w:val="single"/>
          <w:lang w:eastAsia="bg-BG"/>
        </w:rPr>
        <w:t>Механизъм на действие</w:t>
      </w:r>
    </w:p>
    <w:p w14:paraId="362A9CBD" w14:textId="6911BD52"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lang w:eastAsia="bg-BG"/>
        </w:rPr>
        <w:t>Цефиксим е антибактериално средство от класа на цефалоспорините. Както и другите цефалоспорини, цефиксим проявява антибактериална активност чрез свързване и инхибиране на действието на пеницилин-свързващи протеини, включени в синтезата на бактериалните клетъчни стени. Това води до разрушаване на бактериалната клетъчна стена и загиване на клетката.</w:t>
      </w:r>
    </w:p>
    <w:p w14:paraId="35C324FB" w14:textId="77777777" w:rsidR="00DF4C8E" w:rsidRPr="00DF4C8E" w:rsidRDefault="00DF4C8E" w:rsidP="00DF4C8E">
      <w:pPr>
        <w:spacing w:line="240" w:lineRule="auto"/>
        <w:rPr>
          <w:rFonts w:eastAsia="Times New Roman" w:cs="Arial"/>
          <w:b/>
          <w:bCs/>
          <w:color w:val="000000"/>
          <w:szCs w:val="20"/>
          <w:u w:val="single"/>
          <w:lang w:eastAsia="bg-BG"/>
        </w:rPr>
      </w:pPr>
    </w:p>
    <w:p w14:paraId="1BCBD847" w14:textId="44B3835B" w:rsidR="00DF4C8E" w:rsidRPr="00DF4C8E" w:rsidRDefault="00DF4C8E" w:rsidP="00DF4C8E">
      <w:pPr>
        <w:spacing w:line="240" w:lineRule="auto"/>
        <w:rPr>
          <w:rFonts w:eastAsia="Times New Roman" w:cs="Arial"/>
          <w:sz w:val="28"/>
          <w:szCs w:val="24"/>
        </w:rPr>
      </w:pPr>
      <w:r w:rsidRPr="00DF4C8E">
        <w:rPr>
          <w:rFonts w:eastAsia="Times New Roman" w:cs="Arial"/>
          <w:b/>
          <w:bCs/>
          <w:color w:val="000000"/>
          <w:szCs w:val="20"/>
          <w:u w:val="single"/>
          <w:lang w:eastAsia="bg-BG"/>
        </w:rPr>
        <w:t>Връзка фармакокииетика / фармакодннамика</w:t>
      </w:r>
    </w:p>
    <w:p w14:paraId="7634D88F" w14:textId="77777777"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lang w:eastAsia="bg-BG"/>
        </w:rPr>
        <w:t xml:space="preserve">Времето, за което плазмената концентрация на цефиксим надвишава минималната инхибиторна концентрация </w:t>
      </w:r>
      <w:r w:rsidRPr="00DF4C8E">
        <w:rPr>
          <w:rFonts w:eastAsia="Times New Roman" w:cs="Arial"/>
          <w:color w:val="000000"/>
          <w:szCs w:val="20"/>
          <w:lang w:val="ru-RU"/>
        </w:rPr>
        <w:t>(</w:t>
      </w:r>
      <w:r w:rsidRPr="00DF4C8E">
        <w:rPr>
          <w:rFonts w:eastAsia="Times New Roman" w:cs="Arial"/>
          <w:color w:val="000000"/>
          <w:szCs w:val="20"/>
          <w:lang w:val="en-US"/>
        </w:rPr>
        <w:t>MIC</w:t>
      </w:r>
      <w:r w:rsidRPr="00DF4C8E">
        <w:rPr>
          <w:rFonts w:eastAsia="Times New Roman" w:cs="Arial"/>
          <w:color w:val="000000"/>
          <w:szCs w:val="20"/>
          <w:lang w:val="ru-RU"/>
        </w:rPr>
        <w:t xml:space="preserve">) </w:t>
      </w:r>
      <w:r w:rsidRPr="00DF4C8E">
        <w:rPr>
          <w:rFonts w:eastAsia="Times New Roman" w:cs="Arial"/>
          <w:color w:val="000000"/>
          <w:szCs w:val="20"/>
          <w:lang w:eastAsia="bg-BG"/>
        </w:rPr>
        <w:t>на инфектирания организъм показва добра корелация с ефикасността при фармакокинетични/фармакодинамични проучвания.</w:t>
      </w:r>
    </w:p>
    <w:p w14:paraId="501159EC" w14:textId="77777777" w:rsidR="00DF4C8E" w:rsidRPr="00DF4C8E" w:rsidRDefault="00DF4C8E" w:rsidP="00DF4C8E">
      <w:pPr>
        <w:spacing w:line="240" w:lineRule="auto"/>
        <w:rPr>
          <w:rFonts w:eastAsia="Times New Roman" w:cs="Arial"/>
          <w:b/>
          <w:bCs/>
          <w:color w:val="000000"/>
          <w:szCs w:val="20"/>
          <w:u w:val="single"/>
          <w:lang w:eastAsia="bg-BG"/>
        </w:rPr>
      </w:pPr>
      <w:bookmarkStart w:id="8" w:name="bookmark4"/>
    </w:p>
    <w:p w14:paraId="6464CBB3" w14:textId="150A8808" w:rsidR="00DF4C8E" w:rsidRPr="00DF4C8E" w:rsidRDefault="00DF4C8E" w:rsidP="00DF4C8E">
      <w:pPr>
        <w:spacing w:line="240" w:lineRule="auto"/>
        <w:rPr>
          <w:rFonts w:eastAsia="Times New Roman" w:cs="Arial"/>
          <w:sz w:val="28"/>
          <w:szCs w:val="24"/>
        </w:rPr>
      </w:pPr>
      <w:r w:rsidRPr="00DF4C8E">
        <w:rPr>
          <w:rFonts w:eastAsia="Times New Roman" w:cs="Arial"/>
          <w:b/>
          <w:bCs/>
          <w:color w:val="000000"/>
          <w:szCs w:val="20"/>
          <w:u w:val="single"/>
          <w:lang w:eastAsia="bg-BG"/>
        </w:rPr>
        <w:t>Механизъм на резистентност</w:t>
      </w:r>
      <w:bookmarkEnd w:id="8"/>
    </w:p>
    <w:p w14:paraId="09E785A5" w14:textId="77777777"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lang w:eastAsia="bg-BG"/>
        </w:rPr>
        <w:t>Бактериалната резистентност към цефиксим може да се дължи на един или няколко механизма:</w:t>
      </w:r>
    </w:p>
    <w:p w14:paraId="3EF0D312" w14:textId="77777777" w:rsidR="00DF4C8E" w:rsidRDefault="00DF4C8E" w:rsidP="00DF4C8E">
      <w:pPr>
        <w:pStyle w:val="ListParagraph"/>
        <w:numPr>
          <w:ilvl w:val="0"/>
          <w:numId w:val="2"/>
        </w:numPr>
        <w:spacing w:line="240" w:lineRule="auto"/>
        <w:rPr>
          <w:rFonts w:eastAsia="Times New Roman" w:cs="Arial"/>
          <w:color w:val="000000"/>
          <w:szCs w:val="20"/>
          <w:lang w:eastAsia="bg-BG"/>
        </w:rPr>
      </w:pPr>
      <w:r w:rsidRPr="00DF4C8E">
        <w:rPr>
          <w:rFonts w:eastAsia="Times New Roman" w:cs="Arial"/>
          <w:color w:val="000000"/>
          <w:szCs w:val="20"/>
          <w:lang w:eastAsia="bg-BG"/>
        </w:rPr>
        <w:t>Хидролиза от широкоспектърни бета-лактамази и/или хромозомно-кодирани ензими</w:t>
      </w:r>
      <w:r w:rsidRPr="00DF4C8E">
        <w:rPr>
          <w:rFonts w:eastAsia="Times New Roman" w:cs="Arial"/>
          <w:color w:val="000000"/>
          <w:szCs w:val="20"/>
          <w:u w:val="single"/>
          <w:lang w:eastAsia="bg-BG"/>
        </w:rPr>
        <w:t xml:space="preserve"> </w:t>
      </w:r>
      <w:r w:rsidRPr="00DF4C8E">
        <w:rPr>
          <w:rFonts w:eastAsia="Times New Roman" w:cs="Arial"/>
          <w:color w:val="000000"/>
          <w:szCs w:val="20"/>
          <w:lang w:eastAsia="bg-BG"/>
        </w:rPr>
        <w:t>(АтрС), които може да бъдат индуцирани или дерепресирани от определени аеробни грам- отрицателни бактериални видове</w:t>
      </w:r>
    </w:p>
    <w:p w14:paraId="2F370555" w14:textId="77777777" w:rsidR="00DF4C8E" w:rsidRDefault="00DF4C8E" w:rsidP="00DF4C8E">
      <w:pPr>
        <w:pStyle w:val="ListParagraph"/>
        <w:numPr>
          <w:ilvl w:val="0"/>
          <w:numId w:val="2"/>
        </w:numPr>
        <w:spacing w:line="240" w:lineRule="auto"/>
        <w:rPr>
          <w:rFonts w:eastAsia="Times New Roman" w:cs="Arial"/>
          <w:color w:val="000000"/>
          <w:szCs w:val="20"/>
          <w:lang w:eastAsia="bg-BG"/>
        </w:rPr>
      </w:pPr>
      <w:r w:rsidRPr="00DF4C8E">
        <w:rPr>
          <w:rFonts w:eastAsia="Times New Roman" w:cs="Arial"/>
          <w:color w:val="000000"/>
          <w:szCs w:val="20"/>
          <w:lang w:eastAsia="bg-BG"/>
        </w:rPr>
        <w:t>Намален афинитет на пеницилин свързващите протеини</w:t>
      </w:r>
    </w:p>
    <w:p w14:paraId="5CA0B7B3" w14:textId="77777777" w:rsidR="00DF4C8E" w:rsidRDefault="00DF4C8E" w:rsidP="00DF4C8E">
      <w:pPr>
        <w:pStyle w:val="ListParagraph"/>
        <w:numPr>
          <w:ilvl w:val="0"/>
          <w:numId w:val="2"/>
        </w:numPr>
        <w:spacing w:line="240" w:lineRule="auto"/>
        <w:rPr>
          <w:rFonts w:eastAsia="Times New Roman" w:cs="Arial"/>
          <w:color w:val="000000"/>
          <w:szCs w:val="20"/>
          <w:lang w:eastAsia="bg-BG"/>
        </w:rPr>
      </w:pPr>
      <w:r w:rsidRPr="00DF4C8E">
        <w:rPr>
          <w:rFonts w:eastAsia="Times New Roman" w:cs="Arial"/>
          <w:color w:val="000000"/>
          <w:szCs w:val="20"/>
          <w:lang w:eastAsia="bg-BG"/>
        </w:rPr>
        <w:t>Намалена пропускливост на външната мембрана на определени грам-отрицателни организми, което ограничава достъпа до пеницилин свързващите протеини</w:t>
      </w:r>
    </w:p>
    <w:p w14:paraId="67F10AAD" w14:textId="6C7B98C5" w:rsidR="00DF4C8E" w:rsidRPr="00DF4C8E" w:rsidRDefault="00DF4C8E" w:rsidP="00DF4C8E">
      <w:pPr>
        <w:pStyle w:val="ListParagraph"/>
        <w:numPr>
          <w:ilvl w:val="0"/>
          <w:numId w:val="2"/>
        </w:numPr>
        <w:spacing w:line="240" w:lineRule="auto"/>
        <w:rPr>
          <w:rFonts w:eastAsia="Times New Roman" w:cs="Arial"/>
          <w:color w:val="000000"/>
          <w:szCs w:val="20"/>
          <w:lang w:eastAsia="bg-BG"/>
        </w:rPr>
      </w:pPr>
      <w:r w:rsidRPr="00DF4C8E">
        <w:rPr>
          <w:rFonts w:eastAsia="Times New Roman" w:cs="Arial"/>
          <w:color w:val="000000"/>
          <w:szCs w:val="20"/>
          <w:lang w:eastAsia="bg-BG"/>
        </w:rPr>
        <w:t>Ефлукс помпи за лекарството</w:t>
      </w:r>
    </w:p>
    <w:p w14:paraId="416D5694" w14:textId="77777777" w:rsidR="00DF4C8E" w:rsidRPr="00DF4C8E" w:rsidRDefault="00DF4C8E" w:rsidP="00DF4C8E">
      <w:pPr>
        <w:spacing w:line="240" w:lineRule="auto"/>
        <w:rPr>
          <w:rFonts w:eastAsia="Times New Roman" w:cs="Arial"/>
          <w:color w:val="000000"/>
          <w:szCs w:val="20"/>
          <w:lang w:eastAsia="bg-BG"/>
        </w:rPr>
      </w:pPr>
    </w:p>
    <w:p w14:paraId="253385C3" w14:textId="5B8611FF"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lang w:eastAsia="bg-BG"/>
        </w:rPr>
        <w:t>В една бактериална клетка може да има повече от един механизъм за резистентност. В зависимост от наличните съществуващи механизми, бактериите могат да проявят кръстосана резистентност към няколко или всички останали бета-лактами и/или антибактериални лекарства от други класове.</w:t>
      </w:r>
    </w:p>
    <w:p w14:paraId="296324C3" w14:textId="77777777" w:rsidR="00DF4C8E" w:rsidRPr="00DF4C8E" w:rsidRDefault="00DF4C8E" w:rsidP="00DF4C8E">
      <w:pPr>
        <w:spacing w:line="240" w:lineRule="auto"/>
        <w:rPr>
          <w:rFonts w:eastAsia="Times New Roman" w:cs="Arial"/>
          <w:b/>
          <w:bCs/>
          <w:color w:val="000000"/>
          <w:szCs w:val="20"/>
          <w:u w:val="single"/>
          <w:lang w:eastAsia="bg-BG"/>
        </w:rPr>
      </w:pPr>
    </w:p>
    <w:p w14:paraId="449F476E" w14:textId="245343F7" w:rsidR="00DF4C8E" w:rsidRPr="00DF4C8E" w:rsidRDefault="00DF4C8E" w:rsidP="00DF4C8E">
      <w:pPr>
        <w:spacing w:line="240" w:lineRule="auto"/>
        <w:rPr>
          <w:rFonts w:eastAsia="Times New Roman" w:cs="Arial"/>
          <w:sz w:val="28"/>
          <w:szCs w:val="24"/>
        </w:rPr>
      </w:pPr>
      <w:r w:rsidRPr="00DF4C8E">
        <w:rPr>
          <w:rFonts w:eastAsia="Times New Roman" w:cs="Arial"/>
          <w:b/>
          <w:bCs/>
          <w:color w:val="000000"/>
          <w:szCs w:val="20"/>
          <w:u w:val="single"/>
          <w:lang w:eastAsia="bg-BG"/>
        </w:rPr>
        <w:t>Граници</w:t>
      </w:r>
    </w:p>
    <w:p w14:paraId="2D842CA4" w14:textId="77777777"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lang w:eastAsia="bg-BG"/>
        </w:rPr>
        <w:t xml:space="preserve">Границите на клиничната минимална инхибиторна концентрация </w:t>
      </w:r>
      <w:r w:rsidRPr="00DF4C8E">
        <w:rPr>
          <w:rFonts w:eastAsia="Times New Roman" w:cs="Arial"/>
          <w:color w:val="000000"/>
          <w:szCs w:val="20"/>
          <w:lang w:val="ru-RU"/>
        </w:rPr>
        <w:t>(</w:t>
      </w:r>
      <w:r w:rsidRPr="00DF4C8E">
        <w:rPr>
          <w:rFonts w:eastAsia="Times New Roman" w:cs="Arial"/>
          <w:color w:val="000000"/>
          <w:szCs w:val="20"/>
          <w:lang w:val="en-US"/>
        </w:rPr>
        <w:t>MIC</w:t>
      </w:r>
      <w:r w:rsidRPr="00DF4C8E">
        <w:rPr>
          <w:rFonts w:eastAsia="Times New Roman" w:cs="Arial"/>
          <w:color w:val="000000"/>
          <w:szCs w:val="20"/>
          <w:lang w:val="ru-RU"/>
        </w:rPr>
        <w:t xml:space="preserve">), </w:t>
      </w:r>
      <w:r w:rsidRPr="00DF4C8E">
        <w:rPr>
          <w:rFonts w:eastAsia="Times New Roman" w:cs="Arial"/>
          <w:color w:val="000000"/>
          <w:szCs w:val="20"/>
          <w:lang w:eastAsia="bg-BG"/>
        </w:rPr>
        <w:t xml:space="preserve">установени от </w:t>
      </w:r>
      <w:r w:rsidRPr="00DF4C8E">
        <w:rPr>
          <w:rFonts w:eastAsia="Times New Roman" w:cs="Arial"/>
          <w:color w:val="000000"/>
          <w:szCs w:val="20"/>
          <w:lang w:val="en-US"/>
        </w:rPr>
        <w:t>EUCAST</w:t>
      </w:r>
      <w:r w:rsidRPr="00DF4C8E">
        <w:rPr>
          <w:rFonts w:eastAsia="Times New Roman" w:cs="Arial"/>
          <w:color w:val="000000"/>
          <w:szCs w:val="20"/>
          <w:lang w:val="ru-RU"/>
        </w:rPr>
        <w:t xml:space="preserve"> </w:t>
      </w:r>
      <w:r w:rsidRPr="00DF4C8E">
        <w:rPr>
          <w:rFonts w:eastAsia="Times New Roman" w:cs="Arial"/>
          <w:color w:val="000000"/>
          <w:szCs w:val="20"/>
          <w:lang w:eastAsia="bg-BG"/>
        </w:rPr>
        <w:t>(Януари 2011) за цефиксим са:</w:t>
      </w:r>
    </w:p>
    <w:p w14:paraId="3504B7C5" w14:textId="77777777" w:rsidR="00DF4C8E" w:rsidRPr="00DF4C8E" w:rsidRDefault="00DF4C8E" w:rsidP="00DF4C8E">
      <w:pPr>
        <w:pStyle w:val="ListParagraph"/>
        <w:numPr>
          <w:ilvl w:val="0"/>
          <w:numId w:val="33"/>
        </w:numPr>
        <w:spacing w:line="240" w:lineRule="auto"/>
        <w:rPr>
          <w:rFonts w:eastAsia="Times New Roman" w:cs="Arial"/>
          <w:sz w:val="28"/>
          <w:szCs w:val="24"/>
        </w:rPr>
      </w:pPr>
      <w:r w:rsidRPr="00DF4C8E">
        <w:rPr>
          <w:rFonts w:eastAsia="Times New Roman" w:cs="Arial"/>
          <w:i/>
          <w:iCs/>
          <w:color w:val="000000"/>
          <w:szCs w:val="20"/>
          <w:lang w:eastAsia="bg-BG"/>
        </w:rPr>
        <w:t>Н.</w:t>
      </w:r>
      <w:proofErr w:type="spellStart"/>
      <w:r w:rsidRPr="00DF4C8E">
        <w:rPr>
          <w:rFonts w:eastAsia="Times New Roman" w:cs="Arial"/>
          <w:i/>
          <w:iCs/>
          <w:color w:val="000000"/>
          <w:szCs w:val="20"/>
          <w:lang w:val="en-US"/>
        </w:rPr>
        <w:t>influenzae</w:t>
      </w:r>
      <w:proofErr w:type="spellEnd"/>
      <w:r w:rsidRPr="00DF4C8E">
        <w:rPr>
          <w:rFonts w:eastAsia="Times New Roman" w:cs="Arial"/>
          <w:i/>
          <w:iCs/>
          <w:color w:val="000000"/>
          <w:szCs w:val="20"/>
          <w:lang w:val="ru-RU"/>
        </w:rPr>
        <w:t>:</w:t>
      </w:r>
      <w:r w:rsidRPr="00DF4C8E">
        <w:rPr>
          <w:rFonts w:eastAsia="Times New Roman" w:cs="Arial"/>
          <w:color w:val="000000"/>
          <w:szCs w:val="20"/>
          <w:lang w:val="ru-RU"/>
        </w:rPr>
        <w:t xml:space="preserve"> </w:t>
      </w:r>
      <w:r w:rsidRPr="00DF4C8E">
        <w:rPr>
          <w:rFonts w:eastAsia="Times New Roman" w:cs="Arial"/>
          <w:color w:val="000000"/>
          <w:szCs w:val="20"/>
          <w:lang w:eastAsia="bg-BG"/>
        </w:rPr>
        <w:t xml:space="preserve">чувствителен ≤0.125 </w:t>
      </w:r>
      <w:r w:rsidRPr="00DF4C8E">
        <w:rPr>
          <w:rFonts w:eastAsia="Times New Roman" w:cs="Arial"/>
          <w:color w:val="000000"/>
          <w:szCs w:val="20"/>
          <w:lang w:val="en-US"/>
        </w:rPr>
        <w:t>mg</w:t>
      </w:r>
      <w:r w:rsidRPr="00DF4C8E">
        <w:rPr>
          <w:rFonts w:eastAsia="Times New Roman" w:cs="Arial"/>
          <w:color w:val="000000"/>
          <w:szCs w:val="20"/>
          <w:lang w:val="ru-RU"/>
        </w:rPr>
        <w:t>/</w:t>
      </w:r>
      <w:r w:rsidRPr="00DF4C8E">
        <w:rPr>
          <w:rFonts w:eastAsia="Times New Roman" w:cs="Arial"/>
          <w:color w:val="000000"/>
          <w:szCs w:val="20"/>
          <w:lang w:val="en-US"/>
        </w:rPr>
        <w:t>L</w:t>
      </w:r>
      <w:r w:rsidRPr="00DF4C8E">
        <w:rPr>
          <w:rFonts w:eastAsia="Times New Roman" w:cs="Arial"/>
          <w:color w:val="000000"/>
          <w:szCs w:val="20"/>
          <w:lang w:val="ru-RU"/>
        </w:rPr>
        <w:t xml:space="preserve">, </w:t>
      </w:r>
      <w:r w:rsidRPr="00DF4C8E">
        <w:rPr>
          <w:rFonts w:eastAsia="Times New Roman" w:cs="Arial"/>
          <w:color w:val="000000"/>
          <w:szCs w:val="20"/>
          <w:lang w:eastAsia="bg-BG"/>
        </w:rPr>
        <w:t xml:space="preserve">резистентен &gt;0.125 </w:t>
      </w:r>
      <w:r w:rsidRPr="00DF4C8E">
        <w:rPr>
          <w:rFonts w:eastAsia="Times New Roman" w:cs="Arial"/>
          <w:color w:val="000000"/>
          <w:szCs w:val="20"/>
          <w:lang w:val="en-US"/>
        </w:rPr>
        <w:t>mg</w:t>
      </w:r>
      <w:r w:rsidRPr="00DF4C8E">
        <w:rPr>
          <w:rFonts w:eastAsia="Times New Roman" w:cs="Arial"/>
          <w:color w:val="000000"/>
          <w:szCs w:val="20"/>
          <w:lang w:val="ru-RU"/>
        </w:rPr>
        <w:t>/</w:t>
      </w:r>
      <w:r w:rsidRPr="00DF4C8E">
        <w:rPr>
          <w:rFonts w:eastAsia="Times New Roman" w:cs="Arial"/>
          <w:color w:val="000000"/>
          <w:szCs w:val="20"/>
          <w:lang w:val="en-US"/>
        </w:rPr>
        <w:t>L</w:t>
      </w:r>
    </w:p>
    <w:p w14:paraId="1E6E8A18" w14:textId="77777777" w:rsidR="00DF4C8E" w:rsidRPr="00DF4C8E" w:rsidRDefault="00DF4C8E" w:rsidP="00DF4C8E">
      <w:pPr>
        <w:pStyle w:val="ListParagraph"/>
        <w:numPr>
          <w:ilvl w:val="0"/>
          <w:numId w:val="33"/>
        </w:numPr>
        <w:spacing w:line="240" w:lineRule="auto"/>
        <w:rPr>
          <w:rFonts w:eastAsia="Times New Roman" w:cs="Arial"/>
          <w:sz w:val="28"/>
          <w:szCs w:val="24"/>
        </w:rPr>
      </w:pPr>
      <w:proofErr w:type="gramStart"/>
      <w:r w:rsidRPr="00DF4C8E">
        <w:rPr>
          <w:rFonts w:eastAsia="Times New Roman" w:cs="Arial"/>
          <w:i/>
          <w:iCs/>
          <w:color w:val="000000"/>
          <w:szCs w:val="20"/>
          <w:lang w:val="en-US"/>
        </w:rPr>
        <w:t>M</w:t>
      </w:r>
      <w:r w:rsidRPr="00DF4C8E">
        <w:rPr>
          <w:rFonts w:eastAsia="Times New Roman" w:cs="Arial"/>
          <w:i/>
          <w:iCs/>
          <w:color w:val="000000"/>
          <w:szCs w:val="20"/>
        </w:rPr>
        <w:t>.</w:t>
      </w:r>
      <w:proofErr w:type="spellStart"/>
      <w:r w:rsidRPr="00DF4C8E">
        <w:rPr>
          <w:rFonts w:eastAsia="Times New Roman" w:cs="Arial"/>
          <w:i/>
          <w:iCs/>
          <w:color w:val="000000"/>
          <w:szCs w:val="20"/>
          <w:lang w:val="en-US"/>
        </w:rPr>
        <w:t>catarrhalis</w:t>
      </w:r>
      <w:proofErr w:type="spellEnd"/>
      <w:r w:rsidRPr="00DF4C8E">
        <w:rPr>
          <w:rFonts w:eastAsia="Times New Roman" w:cs="Arial"/>
          <w:i/>
          <w:iCs/>
          <w:color w:val="000000"/>
          <w:szCs w:val="20"/>
        </w:rPr>
        <w:t>'</w:t>
      </w:r>
      <w:proofErr w:type="gramEnd"/>
      <w:r w:rsidRPr="00DF4C8E">
        <w:rPr>
          <w:rFonts w:eastAsia="Times New Roman" w:cs="Arial"/>
          <w:i/>
          <w:iCs/>
          <w:color w:val="000000"/>
          <w:szCs w:val="20"/>
        </w:rPr>
        <w:t>.</w:t>
      </w:r>
      <w:r w:rsidRPr="00DF4C8E">
        <w:rPr>
          <w:rFonts w:eastAsia="Times New Roman" w:cs="Arial"/>
          <w:color w:val="000000"/>
          <w:szCs w:val="20"/>
        </w:rPr>
        <w:t xml:space="preserve"> </w:t>
      </w:r>
      <w:r w:rsidRPr="00DF4C8E">
        <w:rPr>
          <w:rFonts w:eastAsia="Times New Roman" w:cs="Arial"/>
          <w:color w:val="000000"/>
          <w:szCs w:val="20"/>
          <w:lang w:eastAsia="bg-BG"/>
        </w:rPr>
        <w:t xml:space="preserve">чувствителен ≤ 0.5 </w:t>
      </w:r>
      <w:r w:rsidRPr="00DF4C8E">
        <w:rPr>
          <w:rFonts w:eastAsia="Times New Roman" w:cs="Arial"/>
          <w:color w:val="000000"/>
          <w:szCs w:val="20"/>
          <w:lang w:val="en-US"/>
        </w:rPr>
        <w:t>mg</w:t>
      </w:r>
      <w:r w:rsidRPr="00DF4C8E">
        <w:rPr>
          <w:rFonts w:eastAsia="Times New Roman" w:cs="Arial"/>
          <w:color w:val="000000"/>
          <w:szCs w:val="20"/>
        </w:rPr>
        <w:t>/</w:t>
      </w:r>
      <w:r w:rsidRPr="00DF4C8E">
        <w:rPr>
          <w:rFonts w:eastAsia="Times New Roman" w:cs="Arial"/>
          <w:color w:val="000000"/>
          <w:szCs w:val="20"/>
          <w:lang w:val="en-US"/>
        </w:rPr>
        <w:t>L</w:t>
      </w:r>
      <w:r w:rsidRPr="00DF4C8E">
        <w:rPr>
          <w:rFonts w:eastAsia="Times New Roman" w:cs="Arial"/>
          <w:color w:val="000000"/>
          <w:szCs w:val="20"/>
        </w:rPr>
        <w:t xml:space="preserve">, </w:t>
      </w:r>
      <w:r w:rsidRPr="00DF4C8E">
        <w:rPr>
          <w:rFonts w:eastAsia="Times New Roman" w:cs="Arial"/>
          <w:color w:val="000000"/>
          <w:szCs w:val="20"/>
          <w:lang w:eastAsia="bg-BG"/>
        </w:rPr>
        <w:t xml:space="preserve">резистентен &gt; 1.0 </w:t>
      </w:r>
      <w:r w:rsidRPr="00DF4C8E">
        <w:rPr>
          <w:rFonts w:eastAsia="Times New Roman" w:cs="Arial"/>
          <w:color w:val="000000"/>
          <w:szCs w:val="20"/>
          <w:lang w:val="en-US"/>
        </w:rPr>
        <w:t>mg</w:t>
      </w:r>
      <w:r w:rsidRPr="00DF4C8E">
        <w:rPr>
          <w:rFonts w:eastAsia="Times New Roman" w:cs="Arial"/>
          <w:color w:val="000000"/>
          <w:szCs w:val="20"/>
        </w:rPr>
        <w:t>/</w:t>
      </w:r>
      <w:r w:rsidRPr="00DF4C8E">
        <w:rPr>
          <w:rFonts w:eastAsia="Times New Roman" w:cs="Arial"/>
          <w:color w:val="000000"/>
          <w:szCs w:val="20"/>
          <w:lang w:val="en-US"/>
        </w:rPr>
        <w:t>L</w:t>
      </w:r>
    </w:p>
    <w:p w14:paraId="252BA6D5" w14:textId="77777777" w:rsidR="00DF4C8E" w:rsidRPr="00DF4C8E" w:rsidRDefault="00DF4C8E" w:rsidP="00DF4C8E">
      <w:pPr>
        <w:pStyle w:val="ListParagraph"/>
        <w:numPr>
          <w:ilvl w:val="0"/>
          <w:numId w:val="33"/>
        </w:numPr>
        <w:spacing w:line="240" w:lineRule="auto"/>
        <w:rPr>
          <w:rFonts w:eastAsia="Times New Roman" w:cs="Arial"/>
          <w:sz w:val="28"/>
          <w:szCs w:val="24"/>
        </w:rPr>
      </w:pPr>
      <w:r w:rsidRPr="00DF4C8E">
        <w:rPr>
          <w:rFonts w:eastAsia="Times New Roman" w:cs="Arial"/>
          <w:i/>
          <w:iCs/>
          <w:color w:val="000000"/>
          <w:szCs w:val="20"/>
          <w:lang w:val="en-US"/>
        </w:rPr>
        <w:t>Neisseria</w:t>
      </w:r>
      <w:r w:rsidRPr="00DF4C8E">
        <w:rPr>
          <w:rFonts w:eastAsia="Times New Roman" w:cs="Arial"/>
          <w:i/>
          <w:iCs/>
          <w:color w:val="000000"/>
          <w:szCs w:val="20"/>
        </w:rPr>
        <w:t xml:space="preserve"> </w:t>
      </w:r>
      <w:proofErr w:type="spellStart"/>
      <w:r w:rsidRPr="00DF4C8E">
        <w:rPr>
          <w:rFonts w:eastAsia="Times New Roman" w:cs="Arial"/>
          <w:i/>
          <w:iCs/>
          <w:color w:val="000000"/>
          <w:szCs w:val="20"/>
          <w:lang w:val="en-US"/>
        </w:rPr>
        <w:t>gonorrhoeae</w:t>
      </w:r>
      <w:proofErr w:type="spellEnd"/>
      <w:r w:rsidRPr="00DF4C8E">
        <w:rPr>
          <w:rFonts w:eastAsia="Times New Roman" w:cs="Arial"/>
          <w:i/>
          <w:iCs/>
          <w:color w:val="000000"/>
          <w:szCs w:val="20"/>
        </w:rPr>
        <w:t>:</w:t>
      </w:r>
      <w:r w:rsidRPr="00DF4C8E">
        <w:rPr>
          <w:rFonts w:eastAsia="Times New Roman" w:cs="Arial"/>
          <w:color w:val="000000"/>
          <w:szCs w:val="20"/>
        </w:rPr>
        <w:t xml:space="preserve"> </w:t>
      </w:r>
      <w:r w:rsidRPr="00DF4C8E">
        <w:rPr>
          <w:rFonts w:eastAsia="Times New Roman" w:cs="Arial"/>
          <w:color w:val="000000"/>
          <w:szCs w:val="20"/>
          <w:lang w:eastAsia="bg-BG"/>
        </w:rPr>
        <w:t>чувствителен ≤</w:t>
      </w:r>
      <w:r w:rsidRPr="00DF4C8E">
        <w:rPr>
          <w:rFonts w:eastAsia="Times New Roman" w:cs="Arial"/>
          <w:color w:val="000000"/>
          <w:szCs w:val="20"/>
        </w:rPr>
        <w:t xml:space="preserve">0.125 </w:t>
      </w:r>
      <w:r w:rsidRPr="00DF4C8E">
        <w:rPr>
          <w:rFonts w:eastAsia="Times New Roman" w:cs="Arial"/>
          <w:color w:val="000000"/>
          <w:szCs w:val="20"/>
          <w:lang w:val="en-US"/>
        </w:rPr>
        <w:t>mg</w:t>
      </w:r>
      <w:r w:rsidRPr="00DF4C8E">
        <w:rPr>
          <w:rFonts w:eastAsia="Times New Roman" w:cs="Arial"/>
          <w:color w:val="000000"/>
          <w:szCs w:val="20"/>
        </w:rPr>
        <w:t>/</w:t>
      </w:r>
      <w:r w:rsidRPr="00DF4C8E">
        <w:rPr>
          <w:rFonts w:eastAsia="Times New Roman" w:cs="Arial"/>
          <w:color w:val="000000"/>
          <w:szCs w:val="20"/>
          <w:lang w:val="en-US"/>
        </w:rPr>
        <w:t>L</w:t>
      </w:r>
      <w:r w:rsidRPr="00DF4C8E">
        <w:rPr>
          <w:rFonts w:eastAsia="Times New Roman" w:cs="Arial"/>
          <w:color w:val="000000"/>
          <w:szCs w:val="20"/>
        </w:rPr>
        <w:t xml:space="preserve">, </w:t>
      </w:r>
      <w:r w:rsidRPr="00DF4C8E">
        <w:rPr>
          <w:rFonts w:eastAsia="Times New Roman" w:cs="Arial"/>
          <w:color w:val="000000"/>
          <w:szCs w:val="20"/>
          <w:lang w:eastAsia="bg-BG"/>
        </w:rPr>
        <w:t xml:space="preserve">резистентен </w:t>
      </w:r>
      <w:r w:rsidRPr="00DF4C8E">
        <w:rPr>
          <w:rFonts w:eastAsia="Times New Roman" w:cs="Arial"/>
          <w:color w:val="000000"/>
          <w:szCs w:val="20"/>
        </w:rPr>
        <w:t xml:space="preserve">&gt;0.125 </w:t>
      </w:r>
      <w:r w:rsidRPr="00DF4C8E">
        <w:rPr>
          <w:rFonts w:eastAsia="Times New Roman" w:cs="Arial"/>
          <w:color w:val="000000"/>
          <w:szCs w:val="20"/>
          <w:lang w:val="en-US"/>
        </w:rPr>
        <w:t>mg</w:t>
      </w:r>
      <w:r w:rsidRPr="00DF4C8E">
        <w:rPr>
          <w:rFonts w:eastAsia="Times New Roman" w:cs="Arial"/>
          <w:color w:val="000000"/>
          <w:szCs w:val="20"/>
        </w:rPr>
        <w:t>/</w:t>
      </w:r>
      <w:proofErr w:type="spellStart"/>
      <w:r w:rsidRPr="00DF4C8E">
        <w:rPr>
          <w:rFonts w:eastAsia="Times New Roman" w:cs="Arial"/>
          <w:color w:val="000000"/>
          <w:szCs w:val="20"/>
          <w:lang w:val="en-US"/>
        </w:rPr>
        <w:t>L</w:t>
      </w:r>
      <w:proofErr w:type="spellEnd"/>
    </w:p>
    <w:p w14:paraId="41CA7D5D" w14:textId="2E6649D8" w:rsidR="00DF4C8E" w:rsidRPr="00DF4C8E" w:rsidRDefault="00DF4C8E" w:rsidP="00DF4C8E">
      <w:pPr>
        <w:pStyle w:val="ListParagraph"/>
        <w:numPr>
          <w:ilvl w:val="0"/>
          <w:numId w:val="33"/>
        </w:numPr>
        <w:spacing w:line="240" w:lineRule="auto"/>
        <w:rPr>
          <w:rFonts w:eastAsia="Times New Roman" w:cs="Arial"/>
          <w:sz w:val="28"/>
          <w:szCs w:val="24"/>
        </w:rPr>
      </w:pPr>
      <w:proofErr w:type="spellStart"/>
      <w:r w:rsidRPr="00DF4C8E">
        <w:rPr>
          <w:rFonts w:eastAsia="Times New Roman" w:cs="Arial"/>
          <w:i/>
          <w:iCs/>
          <w:color w:val="000000"/>
          <w:szCs w:val="20"/>
          <w:lang w:val="en-US"/>
        </w:rPr>
        <w:t>Enterobacteriaceaez</w:t>
      </w:r>
      <w:proofErr w:type="spellEnd"/>
      <w:r w:rsidRPr="00DF4C8E">
        <w:rPr>
          <w:rFonts w:eastAsia="Times New Roman" w:cs="Arial"/>
          <w:color w:val="000000"/>
          <w:szCs w:val="20"/>
          <w:lang w:val="ru-RU"/>
        </w:rPr>
        <w:t xml:space="preserve"> </w:t>
      </w:r>
      <w:r w:rsidRPr="00DF4C8E">
        <w:rPr>
          <w:rFonts w:eastAsia="Times New Roman" w:cs="Arial"/>
          <w:color w:val="000000"/>
          <w:szCs w:val="20"/>
          <w:lang w:eastAsia="bg-BG"/>
        </w:rPr>
        <w:t>чувствителен ≤</w:t>
      </w:r>
      <w:r w:rsidRPr="00DF4C8E">
        <w:rPr>
          <w:rFonts w:eastAsia="Times New Roman" w:cs="Arial"/>
          <w:color w:val="000000"/>
          <w:szCs w:val="20"/>
          <w:lang w:val="ru-RU"/>
        </w:rPr>
        <w:t xml:space="preserve">1.0 </w:t>
      </w:r>
      <w:r w:rsidRPr="00DF4C8E">
        <w:rPr>
          <w:rFonts w:eastAsia="Times New Roman" w:cs="Arial"/>
          <w:color w:val="000000"/>
          <w:szCs w:val="20"/>
          <w:lang w:val="en-US"/>
        </w:rPr>
        <w:t>mg</w:t>
      </w:r>
      <w:r w:rsidRPr="00DF4C8E">
        <w:rPr>
          <w:rFonts w:eastAsia="Times New Roman" w:cs="Arial"/>
          <w:color w:val="000000"/>
          <w:szCs w:val="20"/>
          <w:lang w:val="ru-RU"/>
        </w:rPr>
        <w:t>/</w:t>
      </w:r>
      <w:r w:rsidRPr="00DF4C8E">
        <w:rPr>
          <w:rFonts w:eastAsia="Times New Roman" w:cs="Arial"/>
          <w:color w:val="000000"/>
          <w:szCs w:val="20"/>
          <w:lang w:val="en-US"/>
        </w:rPr>
        <w:t>L</w:t>
      </w:r>
      <w:r w:rsidRPr="00DF4C8E">
        <w:rPr>
          <w:rFonts w:eastAsia="Times New Roman" w:cs="Arial"/>
          <w:color w:val="000000"/>
          <w:szCs w:val="20"/>
          <w:lang w:val="ru-RU"/>
        </w:rPr>
        <w:t xml:space="preserve">, </w:t>
      </w:r>
      <w:r w:rsidRPr="00DF4C8E">
        <w:rPr>
          <w:rFonts w:eastAsia="Times New Roman" w:cs="Arial"/>
          <w:color w:val="000000"/>
          <w:szCs w:val="20"/>
          <w:lang w:eastAsia="bg-BG"/>
        </w:rPr>
        <w:t xml:space="preserve">резистентен </w:t>
      </w:r>
      <w:r w:rsidRPr="00DF4C8E">
        <w:rPr>
          <w:rFonts w:eastAsia="Times New Roman" w:cs="Arial"/>
          <w:color w:val="000000"/>
          <w:szCs w:val="20"/>
          <w:lang w:val="ru-RU"/>
        </w:rPr>
        <w:t xml:space="preserve">&gt; 1.0 </w:t>
      </w:r>
      <w:r w:rsidRPr="00DF4C8E">
        <w:rPr>
          <w:rFonts w:eastAsia="Times New Roman" w:cs="Arial"/>
          <w:color w:val="000000"/>
          <w:szCs w:val="20"/>
          <w:lang w:val="en-US"/>
        </w:rPr>
        <w:t>mg</w:t>
      </w:r>
      <w:r w:rsidRPr="00DF4C8E">
        <w:rPr>
          <w:rFonts w:eastAsia="Times New Roman" w:cs="Arial"/>
          <w:color w:val="000000"/>
          <w:szCs w:val="20"/>
          <w:lang w:val="ru-RU"/>
        </w:rPr>
        <w:t>/</w:t>
      </w:r>
      <w:r w:rsidRPr="00DF4C8E">
        <w:rPr>
          <w:rFonts w:eastAsia="Times New Roman" w:cs="Arial"/>
          <w:color w:val="000000"/>
          <w:szCs w:val="20"/>
          <w:lang w:val="en-US"/>
        </w:rPr>
        <w:t>L</w:t>
      </w:r>
      <w:r w:rsidRPr="00DF4C8E">
        <w:rPr>
          <w:rFonts w:eastAsia="Times New Roman" w:cs="Arial"/>
          <w:color w:val="000000"/>
          <w:szCs w:val="20"/>
          <w:lang w:val="ru-RU"/>
        </w:rPr>
        <w:t xml:space="preserve"> </w:t>
      </w:r>
      <w:r w:rsidRPr="00DF4C8E">
        <w:rPr>
          <w:rFonts w:eastAsia="Times New Roman" w:cs="Arial"/>
          <w:color w:val="000000"/>
          <w:szCs w:val="20"/>
          <w:lang w:eastAsia="bg-BG"/>
        </w:rPr>
        <w:t>(само при неусложнени инфекции на уринарния тракт)</w:t>
      </w:r>
    </w:p>
    <w:p w14:paraId="4D6B3168" w14:textId="77777777" w:rsidR="00DF4C8E" w:rsidRPr="00DF4C8E" w:rsidRDefault="00DF4C8E" w:rsidP="00DF4C8E">
      <w:pPr>
        <w:spacing w:line="240" w:lineRule="auto"/>
        <w:rPr>
          <w:rFonts w:eastAsia="Times New Roman" w:cs="Arial"/>
          <w:b/>
          <w:bCs/>
          <w:color w:val="000000"/>
          <w:szCs w:val="20"/>
          <w:lang w:eastAsia="bg-BG"/>
        </w:rPr>
      </w:pPr>
    </w:p>
    <w:p w14:paraId="10382A03" w14:textId="6B12DB12" w:rsidR="00DF4C8E" w:rsidRPr="00DF4C8E" w:rsidRDefault="00DF4C8E" w:rsidP="00DF4C8E">
      <w:pPr>
        <w:spacing w:line="240" w:lineRule="auto"/>
        <w:rPr>
          <w:rFonts w:eastAsia="Times New Roman" w:cs="Arial"/>
          <w:sz w:val="28"/>
          <w:szCs w:val="24"/>
        </w:rPr>
      </w:pPr>
      <w:r w:rsidRPr="00DF4C8E">
        <w:rPr>
          <w:rFonts w:eastAsia="Times New Roman" w:cs="Arial"/>
          <w:b/>
          <w:bCs/>
          <w:color w:val="000000"/>
          <w:szCs w:val="20"/>
          <w:lang w:eastAsia="bg-BG"/>
        </w:rPr>
        <w:t>Чувствителност</w:t>
      </w:r>
    </w:p>
    <w:p w14:paraId="3D29D1EE" w14:textId="16ABF82C" w:rsidR="00DF4C8E" w:rsidRDefault="00DF4C8E" w:rsidP="00DF4C8E">
      <w:pPr>
        <w:rPr>
          <w:rFonts w:eastAsia="Times New Roman" w:cs="Arial"/>
          <w:color w:val="000000"/>
          <w:szCs w:val="20"/>
          <w:lang w:eastAsia="bg-BG"/>
        </w:rPr>
      </w:pPr>
      <w:r w:rsidRPr="00DF4C8E">
        <w:rPr>
          <w:rFonts w:eastAsia="Times New Roman" w:cs="Arial"/>
          <w:color w:val="000000"/>
          <w:szCs w:val="20"/>
          <w:lang w:eastAsia="bg-BG"/>
        </w:rPr>
        <w:t xml:space="preserve">Разпространението на резистентността може да варира географски и с времето за отделните видове, като особено за лечение на тежки инфекции е необходима местна </w:t>
      </w:r>
      <w:r w:rsidRPr="00DF4C8E">
        <w:rPr>
          <w:rFonts w:eastAsia="Times New Roman" w:cs="Arial"/>
          <w:color w:val="000000"/>
          <w:szCs w:val="20"/>
          <w:lang w:eastAsia="bg-BG"/>
        </w:rPr>
        <w:lastRenderedPageBreak/>
        <w:t>информация за резистентността. Ако местното разпространение на резистентността е такова, че използването на антибиотика при определени инфекции е под въпрос, трябва да се потърси експертен съвет.</w:t>
      </w:r>
    </w:p>
    <w:p w14:paraId="5E5C6BB3" w14:textId="1A9CA951" w:rsidR="00DF4C8E" w:rsidRDefault="00DF4C8E" w:rsidP="00DF4C8E">
      <w:pPr>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9576"/>
      </w:tblGrid>
      <w:tr w:rsidR="00DF4C8E" w14:paraId="39867032" w14:textId="77777777" w:rsidTr="004A5E43">
        <w:tc>
          <w:tcPr>
            <w:tcW w:w="9576" w:type="dxa"/>
            <w:vAlign w:val="bottom"/>
          </w:tcPr>
          <w:p w14:paraId="031436C9" w14:textId="0438CF05" w:rsidR="00DF4C8E" w:rsidRPr="00DF4C8E" w:rsidRDefault="00DF4C8E" w:rsidP="00DF4C8E">
            <w:pPr>
              <w:rPr>
                <w:rFonts w:eastAsia="Times New Roman" w:cs="Arial"/>
                <w:color w:val="000000"/>
                <w:szCs w:val="20"/>
                <w:lang w:eastAsia="bg-BG"/>
              </w:rPr>
            </w:pPr>
            <w:r w:rsidRPr="00DF4C8E">
              <w:rPr>
                <w:b/>
                <w:bCs/>
                <w:szCs w:val="20"/>
                <w:lang w:eastAsia="bg-BG"/>
              </w:rPr>
              <w:t>Най-често срещани чувствителни микроорганизми</w:t>
            </w:r>
          </w:p>
        </w:tc>
      </w:tr>
      <w:tr w:rsidR="00DF4C8E" w14:paraId="72181307" w14:textId="77777777" w:rsidTr="00DF4C8E">
        <w:tc>
          <w:tcPr>
            <w:tcW w:w="9576" w:type="dxa"/>
          </w:tcPr>
          <w:p w14:paraId="126AAFF6" w14:textId="77777777" w:rsidR="00DF4C8E" w:rsidRPr="00DF4C8E" w:rsidRDefault="00DF4C8E" w:rsidP="00DF4C8E">
            <w:r w:rsidRPr="00DF4C8E">
              <w:rPr>
                <w:b/>
                <w:bCs/>
                <w:szCs w:val="20"/>
                <w:u w:val="single"/>
                <w:lang w:eastAsia="bg-BG"/>
              </w:rPr>
              <w:t>аероби, грам-положителни</w:t>
            </w:r>
            <w:r w:rsidRPr="00DF4C8E">
              <w:rPr>
                <w:b/>
                <w:bCs/>
                <w:szCs w:val="20"/>
                <w:lang w:eastAsia="bg-BG"/>
              </w:rPr>
              <w:t>:</w:t>
            </w:r>
          </w:p>
          <w:p w14:paraId="758B0A53" w14:textId="21ED2C3D" w:rsidR="00DF4C8E" w:rsidRPr="00DF4C8E" w:rsidRDefault="00DF4C8E" w:rsidP="00DF4C8E">
            <w:pPr>
              <w:rPr>
                <w:rFonts w:eastAsia="Times New Roman" w:cs="Arial"/>
                <w:color w:val="000000"/>
                <w:szCs w:val="20"/>
                <w:lang w:eastAsia="bg-BG"/>
              </w:rPr>
            </w:pPr>
            <w:r w:rsidRPr="00DF4C8E">
              <w:rPr>
                <w:i/>
                <w:iCs/>
                <w:szCs w:val="20"/>
              </w:rPr>
              <w:t xml:space="preserve">Streptococcus pyogenes </w:t>
            </w:r>
            <w:r w:rsidRPr="00DF4C8E">
              <w:rPr>
                <w:i/>
                <w:iCs/>
                <w:szCs w:val="20"/>
                <w:vertAlign w:val="superscript"/>
                <w:lang w:eastAsia="bg-BG"/>
              </w:rPr>
              <w:t>1</w:t>
            </w:r>
          </w:p>
        </w:tc>
      </w:tr>
      <w:tr w:rsidR="00DF4C8E" w14:paraId="09A6DE6B" w14:textId="77777777" w:rsidTr="00DF4C8E">
        <w:tc>
          <w:tcPr>
            <w:tcW w:w="9576" w:type="dxa"/>
          </w:tcPr>
          <w:p w14:paraId="22C6D8A8" w14:textId="77777777" w:rsidR="00DF4C8E" w:rsidRPr="00DF4C8E" w:rsidRDefault="00DF4C8E" w:rsidP="00DF4C8E">
            <w:r w:rsidRPr="00DF4C8E">
              <w:rPr>
                <w:b/>
                <w:bCs/>
                <w:szCs w:val="20"/>
                <w:u w:val="single"/>
                <w:lang w:eastAsia="bg-BG"/>
              </w:rPr>
              <w:t>Аероби. Грам отрицателни</w:t>
            </w:r>
            <w:r w:rsidRPr="00DF4C8E">
              <w:rPr>
                <w:b/>
                <w:bCs/>
                <w:szCs w:val="20"/>
                <w:lang w:eastAsia="bg-BG"/>
              </w:rPr>
              <w:t>:</w:t>
            </w:r>
          </w:p>
          <w:p w14:paraId="4B6C9BEF" w14:textId="77777777" w:rsidR="00DF4C8E" w:rsidRDefault="00DF4C8E" w:rsidP="00DF4C8E">
            <w:pPr>
              <w:rPr>
                <w:i/>
                <w:iCs/>
                <w:szCs w:val="20"/>
              </w:rPr>
            </w:pPr>
            <w:r w:rsidRPr="00DF4C8E">
              <w:rPr>
                <w:i/>
                <w:iCs/>
                <w:szCs w:val="20"/>
              </w:rPr>
              <w:t xml:space="preserve">Haemophilus influenzae </w:t>
            </w:r>
          </w:p>
          <w:p w14:paraId="423D4F7D" w14:textId="77777777" w:rsidR="00DF4C8E" w:rsidRDefault="00DF4C8E" w:rsidP="00DF4C8E">
            <w:pPr>
              <w:rPr>
                <w:i/>
                <w:iCs/>
                <w:szCs w:val="20"/>
              </w:rPr>
            </w:pPr>
            <w:r w:rsidRPr="00DF4C8E">
              <w:rPr>
                <w:i/>
                <w:iCs/>
                <w:szCs w:val="20"/>
              </w:rPr>
              <w:t xml:space="preserve">Moraxella catarrhalis </w:t>
            </w:r>
          </w:p>
          <w:p w14:paraId="5BA7F67B" w14:textId="77777777" w:rsidR="00DF4C8E" w:rsidRDefault="00DF4C8E" w:rsidP="00DF4C8E">
            <w:pPr>
              <w:rPr>
                <w:i/>
                <w:iCs/>
                <w:szCs w:val="20"/>
              </w:rPr>
            </w:pPr>
            <w:r w:rsidRPr="00DF4C8E">
              <w:rPr>
                <w:i/>
                <w:iCs/>
                <w:szCs w:val="20"/>
              </w:rPr>
              <w:t xml:space="preserve">Neisseria gonorrhoeae </w:t>
            </w:r>
          </w:p>
          <w:p w14:paraId="209EDD92" w14:textId="451F4507" w:rsidR="00DF4C8E" w:rsidRPr="00DF4C8E" w:rsidRDefault="00DF4C8E" w:rsidP="00DF4C8E">
            <w:pPr>
              <w:rPr>
                <w:rFonts w:eastAsia="Times New Roman" w:cs="Arial"/>
                <w:color w:val="000000"/>
                <w:szCs w:val="20"/>
                <w:lang w:eastAsia="bg-BG"/>
              </w:rPr>
            </w:pPr>
            <w:r w:rsidRPr="00DF4C8E">
              <w:rPr>
                <w:i/>
                <w:iCs/>
                <w:szCs w:val="20"/>
              </w:rPr>
              <w:t xml:space="preserve">Proteus mirabilis </w:t>
            </w:r>
            <w:r w:rsidRPr="00DF4C8E">
              <w:rPr>
                <w:i/>
                <w:iCs/>
                <w:szCs w:val="20"/>
                <w:vertAlign w:val="superscript"/>
              </w:rPr>
              <w:t>3</w:t>
            </w:r>
          </w:p>
        </w:tc>
      </w:tr>
      <w:tr w:rsidR="00DF4C8E" w14:paraId="202BE434" w14:textId="77777777" w:rsidTr="004A5E43">
        <w:tc>
          <w:tcPr>
            <w:tcW w:w="9576" w:type="dxa"/>
            <w:vAlign w:val="bottom"/>
          </w:tcPr>
          <w:p w14:paraId="61AF6112" w14:textId="603AC587" w:rsidR="00DF4C8E" w:rsidRPr="00DF4C8E" w:rsidRDefault="00DF4C8E" w:rsidP="00DF4C8E">
            <w:pPr>
              <w:rPr>
                <w:rFonts w:eastAsia="Times New Roman" w:cs="Arial"/>
                <w:color w:val="000000"/>
                <w:szCs w:val="20"/>
                <w:lang w:eastAsia="bg-BG"/>
              </w:rPr>
            </w:pPr>
            <w:r w:rsidRPr="00DF4C8E">
              <w:rPr>
                <w:b/>
                <w:bCs/>
                <w:szCs w:val="20"/>
                <w:lang w:eastAsia="bg-BG"/>
              </w:rPr>
              <w:t>Видове, при конто резистентността е проблемна</w:t>
            </w:r>
          </w:p>
        </w:tc>
      </w:tr>
      <w:tr w:rsidR="00DF4C8E" w14:paraId="46B95BE4" w14:textId="77777777" w:rsidTr="004A5E43">
        <w:tc>
          <w:tcPr>
            <w:tcW w:w="9576" w:type="dxa"/>
            <w:vAlign w:val="bottom"/>
          </w:tcPr>
          <w:p w14:paraId="49B8B35E" w14:textId="77777777" w:rsidR="00DF4C8E" w:rsidRPr="00DF4C8E" w:rsidRDefault="00DF4C8E" w:rsidP="00DF4C8E">
            <w:r w:rsidRPr="00DF4C8E">
              <w:rPr>
                <w:b/>
                <w:bCs/>
                <w:szCs w:val="20"/>
                <w:u w:val="single"/>
                <w:lang w:eastAsia="bg-BG"/>
              </w:rPr>
              <w:t>Аероби. Грам-положителни:</w:t>
            </w:r>
          </w:p>
          <w:p w14:paraId="4EDE719C" w14:textId="4DC6097F" w:rsidR="00DF4C8E" w:rsidRPr="00DF4C8E" w:rsidRDefault="00DF4C8E" w:rsidP="00DF4C8E">
            <w:pPr>
              <w:rPr>
                <w:rFonts w:eastAsia="Times New Roman" w:cs="Arial"/>
                <w:color w:val="000000"/>
                <w:szCs w:val="20"/>
                <w:lang w:eastAsia="bg-BG"/>
              </w:rPr>
            </w:pPr>
            <w:r w:rsidRPr="00DF4C8E">
              <w:rPr>
                <w:i/>
                <w:iCs/>
                <w:szCs w:val="20"/>
              </w:rPr>
              <w:t>Streptococcus pneumoniae</w:t>
            </w:r>
          </w:p>
        </w:tc>
      </w:tr>
      <w:tr w:rsidR="00DF4C8E" w14:paraId="3BA6EBFE" w14:textId="77777777" w:rsidTr="00DF4C8E">
        <w:tc>
          <w:tcPr>
            <w:tcW w:w="9576" w:type="dxa"/>
          </w:tcPr>
          <w:p w14:paraId="416719A4" w14:textId="77777777" w:rsidR="00DF4C8E" w:rsidRPr="00DF4C8E" w:rsidRDefault="00DF4C8E" w:rsidP="00DF4C8E">
            <w:r w:rsidRPr="00DF4C8E">
              <w:rPr>
                <w:b/>
                <w:bCs/>
                <w:szCs w:val="20"/>
                <w:u w:val="single"/>
                <w:lang w:eastAsia="bg-BG"/>
              </w:rPr>
              <w:t>Аероби, грам отрицателни:</w:t>
            </w:r>
          </w:p>
          <w:p w14:paraId="2B4F6D84" w14:textId="77777777" w:rsidR="00DF4C8E" w:rsidRPr="00DF4C8E" w:rsidRDefault="00DF4C8E" w:rsidP="00DF4C8E">
            <w:r w:rsidRPr="00DF4C8E">
              <w:rPr>
                <w:i/>
                <w:iCs/>
                <w:szCs w:val="20"/>
              </w:rPr>
              <w:t>Citrobacter freundii</w:t>
            </w:r>
            <w:r w:rsidRPr="00DF4C8E">
              <w:rPr>
                <w:i/>
                <w:iCs/>
                <w:szCs w:val="20"/>
                <w:vertAlign w:val="superscript"/>
                <w:lang w:eastAsia="bg-BG"/>
              </w:rPr>
              <w:t>2</w:t>
            </w:r>
          </w:p>
          <w:p w14:paraId="212918A1" w14:textId="77777777" w:rsidR="00DF4C8E" w:rsidRPr="00DF4C8E" w:rsidRDefault="00DF4C8E" w:rsidP="00DF4C8E">
            <w:r w:rsidRPr="00DF4C8E">
              <w:rPr>
                <w:i/>
                <w:iCs/>
                <w:szCs w:val="20"/>
              </w:rPr>
              <w:t xml:space="preserve">Enterobacter cloacae </w:t>
            </w:r>
            <w:r w:rsidRPr="00DF4C8E">
              <w:rPr>
                <w:i/>
                <w:iCs/>
                <w:szCs w:val="20"/>
                <w:vertAlign w:val="superscript"/>
              </w:rPr>
              <w:t>3</w:t>
            </w:r>
          </w:p>
          <w:p w14:paraId="40A28A64" w14:textId="77777777" w:rsidR="00DF4C8E" w:rsidRPr="00DF4C8E" w:rsidRDefault="00DF4C8E" w:rsidP="00DF4C8E">
            <w:r w:rsidRPr="00DF4C8E">
              <w:rPr>
                <w:i/>
                <w:iCs/>
                <w:szCs w:val="20"/>
              </w:rPr>
              <w:t xml:space="preserve">Escherichia coli </w:t>
            </w:r>
            <w:r w:rsidRPr="00DF4C8E">
              <w:rPr>
                <w:i/>
                <w:iCs/>
                <w:szCs w:val="20"/>
                <w:vertAlign w:val="superscript"/>
              </w:rPr>
              <w:t>3,4</w:t>
            </w:r>
          </w:p>
          <w:p w14:paraId="36A3F71E" w14:textId="77777777" w:rsidR="00DF4C8E" w:rsidRPr="00DF4C8E" w:rsidRDefault="00DF4C8E" w:rsidP="00DF4C8E">
            <w:r w:rsidRPr="00DF4C8E">
              <w:rPr>
                <w:i/>
                <w:iCs/>
                <w:szCs w:val="20"/>
              </w:rPr>
              <w:t>Klebsiella oxytoca</w:t>
            </w:r>
            <w:r w:rsidRPr="00DF4C8E">
              <w:rPr>
                <w:i/>
                <w:iCs/>
                <w:szCs w:val="20"/>
                <w:vertAlign w:val="superscript"/>
              </w:rPr>
              <w:t>3</w:t>
            </w:r>
          </w:p>
          <w:p w14:paraId="4B4C1D1A" w14:textId="77777777" w:rsidR="00DF4C8E" w:rsidRPr="00DF4C8E" w:rsidRDefault="00DF4C8E" w:rsidP="00DF4C8E">
            <w:r w:rsidRPr="00DF4C8E">
              <w:rPr>
                <w:i/>
                <w:iCs/>
                <w:szCs w:val="20"/>
              </w:rPr>
              <w:t>Klebsiella pneumoniae</w:t>
            </w:r>
            <w:r w:rsidRPr="00DF4C8E">
              <w:rPr>
                <w:i/>
                <w:iCs/>
                <w:szCs w:val="20"/>
                <w:vertAlign w:val="superscript"/>
              </w:rPr>
              <w:t>3</w:t>
            </w:r>
          </w:p>
          <w:p w14:paraId="1F2A2C22" w14:textId="77777777" w:rsidR="00DF4C8E" w:rsidRDefault="00DF4C8E" w:rsidP="00DF4C8E">
            <w:pPr>
              <w:rPr>
                <w:i/>
                <w:iCs/>
                <w:szCs w:val="20"/>
                <w:vertAlign w:val="superscript"/>
              </w:rPr>
            </w:pPr>
            <w:r w:rsidRPr="00DF4C8E">
              <w:rPr>
                <w:i/>
                <w:iCs/>
                <w:szCs w:val="20"/>
              </w:rPr>
              <w:t>Morganella morganii</w:t>
            </w:r>
            <w:r w:rsidRPr="00DF4C8E">
              <w:rPr>
                <w:i/>
                <w:iCs/>
                <w:szCs w:val="20"/>
                <w:vertAlign w:val="superscript"/>
              </w:rPr>
              <w:t xml:space="preserve">2 </w:t>
            </w:r>
          </w:p>
          <w:p w14:paraId="50071B16" w14:textId="55A7BDD3" w:rsidR="00DF4C8E" w:rsidRPr="00DF4C8E" w:rsidRDefault="00DF4C8E" w:rsidP="00DF4C8E">
            <w:pPr>
              <w:rPr>
                <w:rFonts w:eastAsia="Times New Roman" w:cs="Arial"/>
                <w:color w:val="000000"/>
                <w:szCs w:val="20"/>
                <w:lang w:eastAsia="bg-BG"/>
              </w:rPr>
            </w:pPr>
            <w:r w:rsidRPr="00DF4C8E">
              <w:rPr>
                <w:i/>
                <w:iCs/>
                <w:szCs w:val="20"/>
              </w:rPr>
              <w:t xml:space="preserve">Serratia marcescens </w:t>
            </w:r>
            <w:r w:rsidRPr="00DF4C8E">
              <w:rPr>
                <w:i/>
                <w:iCs/>
                <w:szCs w:val="20"/>
                <w:vertAlign w:val="superscript"/>
              </w:rPr>
              <w:t>1,2</w:t>
            </w:r>
          </w:p>
        </w:tc>
      </w:tr>
      <w:tr w:rsidR="00DF4C8E" w14:paraId="6E223A03" w14:textId="77777777" w:rsidTr="004A5E43">
        <w:tc>
          <w:tcPr>
            <w:tcW w:w="9576" w:type="dxa"/>
            <w:vAlign w:val="bottom"/>
          </w:tcPr>
          <w:p w14:paraId="0DB83051" w14:textId="62874999" w:rsidR="00DF4C8E" w:rsidRPr="00DF4C8E" w:rsidRDefault="00DF4C8E" w:rsidP="00DF4C8E">
            <w:pPr>
              <w:rPr>
                <w:rFonts w:eastAsia="Times New Roman" w:cs="Arial"/>
                <w:color w:val="000000"/>
                <w:szCs w:val="20"/>
                <w:lang w:eastAsia="bg-BG"/>
              </w:rPr>
            </w:pPr>
            <w:r w:rsidRPr="00DF4C8E">
              <w:rPr>
                <w:b/>
                <w:bCs/>
                <w:szCs w:val="20"/>
                <w:lang w:eastAsia="bg-BG"/>
              </w:rPr>
              <w:t>Резистентни видове</w:t>
            </w:r>
          </w:p>
        </w:tc>
      </w:tr>
      <w:tr w:rsidR="00DF4C8E" w14:paraId="6F209E33" w14:textId="77777777" w:rsidTr="004A5E43">
        <w:tc>
          <w:tcPr>
            <w:tcW w:w="9576" w:type="dxa"/>
            <w:vAlign w:val="bottom"/>
          </w:tcPr>
          <w:p w14:paraId="7B1F6FA2" w14:textId="77777777" w:rsidR="00DF4C8E" w:rsidRPr="00DF4C8E" w:rsidRDefault="00DF4C8E" w:rsidP="00DF4C8E">
            <w:r w:rsidRPr="00DF4C8E">
              <w:rPr>
                <w:b/>
                <w:bCs/>
                <w:szCs w:val="20"/>
                <w:u w:val="single"/>
                <w:lang w:eastAsia="bg-BG"/>
              </w:rPr>
              <w:t>Аероби, грам положителни :</w:t>
            </w:r>
          </w:p>
          <w:p w14:paraId="000AA021" w14:textId="77777777" w:rsidR="00DF4C8E" w:rsidRPr="00DF4C8E" w:rsidRDefault="00DF4C8E" w:rsidP="00DF4C8E">
            <w:r w:rsidRPr="00DF4C8E">
              <w:rPr>
                <w:i/>
                <w:iCs/>
                <w:szCs w:val="20"/>
              </w:rPr>
              <w:t>Enterococcus</w:t>
            </w:r>
            <w:r w:rsidRPr="00DF4C8E">
              <w:rPr>
                <w:b/>
                <w:bCs/>
                <w:szCs w:val="20"/>
              </w:rPr>
              <w:t xml:space="preserve"> spp.</w:t>
            </w:r>
          </w:p>
          <w:p w14:paraId="06B39B48" w14:textId="77777777" w:rsidR="00DF4C8E" w:rsidRDefault="00DF4C8E" w:rsidP="00DF4C8E">
            <w:pPr>
              <w:rPr>
                <w:b/>
                <w:bCs/>
                <w:szCs w:val="20"/>
              </w:rPr>
            </w:pPr>
            <w:r w:rsidRPr="00DF4C8E">
              <w:rPr>
                <w:i/>
                <w:iCs/>
                <w:szCs w:val="20"/>
              </w:rPr>
              <w:t>Staphylococcus</w:t>
            </w:r>
            <w:r w:rsidRPr="00DF4C8E">
              <w:rPr>
                <w:b/>
                <w:bCs/>
                <w:szCs w:val="20"/>
              </w:rPr>
              <w:t xml:space="preserve"> spp.</w:t>
            </w:r>
          </w:p>
          <w:p w14:paraId="321873D6" w14:textId="19125D28" w:rsidR="00DF4C8E" w:rsidRPr="00DF4C8E" w:rsidRDefault="00DF4C8E" w:rsidP="00DF4C8E">
            <w:pPr>
              <w:rPr>
                <w:rFonts w:eastAsia="Times New Roman" w:cs="Arial"/>
                <w:color w:val="000000"/>
                <w:szCs w:val="20"/>
                <w:lang w:eastAsia="bg-BG"/>
              </w:rPr>
            </w:pPr>
            <w:r w:rsidRPr="00DF4C8E">
              <w:rPr>
                <w:i/>
                <w:iCs/>
                <w:szCs w:val="20"/>
              </w:rPr>
              <w:t>Streptococcus pneumoniae</w:t>
            </w:r>
            <w:r w:rsidRPr="00DF4C8E">
              <w:rPr>
                <w:szCs w:val="20"/>
              </w:rPr>
              <w:t xml:space="preserve"> (Penicillin-intermediate and resistent)</w:t>
            </w:r>
          </w:p>
        </w:tc>
      </w:tr>
      <w:tr w:rsidR="00DF4C8E" w14:paraId="35B342C1" w14:textId="77777777" w:rsidTr="00DF4C8E">
        <w:tc>
          <w:tcPr>
            <w:tcW w:w="9576" w:type="dxa"/>
          </w:tcPr>
          <w:p w14:paraId="045D2540" w14:textId="77777777" w:rsidR="00DF4C8E" w:rsidRPr="00DF4C8E" w:rsidRDefault="00DF4C8E" w:rsidP="00DF4C8E">
            <w:r w:rsidRPr="00DF4C8E">
              <w:rPr>
                <w:szCs w:val="20"/>
                <w:u w:val="single"/>
                <w:lang w:eastAsia="bg-BG"/>
              </w:rPr>
              <w:t>Аероби, Грам отрицателни</w:t>
            </w:r>
          </w:p>
          <w:p w14:paraId="5161F2FA" w14:textId="046AC3E6" w:rsidR="00DF4C8E" w:rsidRPr="00DF4C8E" w:rsidRDefault="00DF4C8E" w:rsidP="00DF4C8E">
            <w:pPr>
              <w:rPr>
                <w:rFonts w:eastAsia="Times New Roman" w:cs="Arial"/>
                <w:color w:val="000000"/>
                <w:szCs w:val="20"/>
                <w:lang w:eastAsia="bg-BG"/>
              </w:rPr>
            </w:pPr>
            <w:r w:rsidRPr="00DF4C8E">
              <w:rPr>
                <w:szCs w:val="20"/>
              </w:rPr>
              <w:t>Pseudomonas aeruginosa</w:t>
            </w:r>
          </w:p>
        </w:tc>
      </w:tr>
      <w:tr w:rsidR="00DF4C8E" w14:paraId="68A80CC1" w14:textId="77777777" w:rsidTr="00DF4C8E">
        <w:tc>
          <w:tcPr>
            <w:tcW w:w="9576" w:type="dxa"/>
          </w:tcPr>
          <w:p w14:paraId="0EE9F226" w14:textId="77777777" w:rsidR="00DF4C8E" w:rsidRPr="00DF4C8E" w:rsidRDefault="00DF4C8E" w:rsidP="00DF4C8E">
            <w:r w:rsidRPr="00DF4C8E">
              <w:rPr>
                <w:szCs w:val="20"/>
                <w:u w:val="single"/>
                <w:lang w:eastAsia="bg-BG"/>
              </w:rPr>
              <w:t>Други микроорганизми</w:t>
            </w:r>
          </w:p>
          <w:p w14:paraId="3FFB59FF" w14:textId="77777777" w:rsidR="00DF4C8E" w:rsidRPr="00DF4C8E" w:rsidRDefault="00DF4C8E" w:rsidP="00DF4C8E">
            <w:r w:rsidRPr="00DF4C8E">
              <w:rPr>
                <w:i/>
                <w:iCs/>
                <w:szCs w:val="20"/>
              </w:rPr>
              <w:t>Chlamydia</w:t>
            </w:r>
            <w:r w:rsidRPr="00DF4C8E">
              <w:rPr>
                <w:szCs w:val="20"/>
              </w:rPr>
              <w:t xml:space="preserve"> spp.</w:t>
            </w:r>
          </w:p>
          <w:p w14:paraId="28B85C56" w14:textId="77777777" w:rsidR="00DF4C8E" w:rsidRPr="00DF4C8E" w:rsidRDefault="00DF4C8E" w:rsidP="00DF4C8E">
            <w:r w:rsidRPr="00DF4C8E">
              <w:rPr>
                <w:i/>
                <w:iCs/>
                <w:szCs w:val="20"/>
              </w:rPr>
              <w:t>Chlamydophila</w:t>
            </w:r>
            <w:r w:rsidRPr="00DF4C8E">
              <w:rPr>
                <w:szCs w:val="20"/>
              </w:rPr>
              <w:t xml:space="preserve"> spp.</w:t>
            </w:r>
          </w:p>
          <w:p w14:paraId="3914A91A" w14:textId="43BB1AC5" w:rsidR="00DF4C8E" w:rsidRPr="00DF4C8E" w:rsidRDefault="00DF4C8E" w:rsidP="00DF4C8E">
            <w:pPr>
              <w:rPr>
                <w:rFonts w:eastAsia="Times New Roman" w:cs="Arial"/>
                <w:color w:val="000000"/>
                <w:szCs w:val="20"/>
                <w:lang w:eastAsia="bg-BG"/>
              </w:rPr>
            </w:pPr>
            <w:r w:rsidRPr="00DF4C8E">
              <w:rPr>
                <w:i/>
                <w:iCs/>
                <w:szCs w:val="20"/>
              </w:rPr>
              <w:t>Legionella pneumophila Mycoplasma</w:t>
            </w:r>
            <w:r w:rsidRPr="00DF4C8E">
              <w:rPr>
                <w:szCs w:val="20"/>
              </w:rPr>
              <w:t xml:space="preserve"> spp.</w:t>
            </w:r>
          </w:p>
        </w:tc>
      </w:tr>
    </w:tbl>
    <w:p w14:paraId="146C7CB9" w14:textId="77777777" w:rsidR="00DF4C8E" w:rsidRDefault="00DF4C8E" w:rsidP="00DF4C8E">
      <w:pPr>
        <w:spacing w:line="240" w:lineRule="auto"/>
        <w:rPr>
          <w:rFonts w:eastAsia="Times New Roman" w:cs="Arial"/>
          <w:color w:val="000000"/>
          <w:szCs w:val="20"/>
          <w:vertAlign w:val="superscript"/>
          <w:lang w:eastAsia="bg-BG"/>
        </w:rPr>
      </w:pPr>
    </w:p>
    <w:p w14:paraId="22AA22A8" w14:textId="026FC1DA"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vertAlign w:val="superscript"/>
          <w:lang w:eastAsia="bg-BG"/>
        </w:rPr>
        <w:t>1</w:t>
      </w:r>
      <w:r w:rsidRPr="00DF4C8E">
        <w:rPr>
          <w:rFonts w:eastAsia="Times New Roman" w:cs="Arial"/>
          <w:color w:val="000000"/>
          <w:szCs w:val="20"/>
          <w:lang w:eastAsia="bg-BG"/>
        </w:rPr>
        <w:t>Нямало е налични данни при публикуване на таблицата. Допуска се наличие на чувствителност от литературата и от действащите терапевтични препоръки</w:t>
      </w:r>
    </w:p>
    <w:p w14:paraId="7400418C" w14:textId="170F2E5A"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vertAlign w:val="superscript"/>
          <w:lang w:eastAsia="bg-BG"/>
        </w:rPr>
        <w:t>2</w:t>
      </w:r>
      <w:r w:rsidRPr="00DF4C8E">
        <w:rPr>
          <w:rFonts w:eastAsia="Times New Roman" w:cs="Arial"/>
          <w:color w:val="000000"/>
          <w:szCs w:val="20"/>
          <w:lang w:eastAsia="bg-BG"/>
        </w:rPr>
        <w:t>Естествената чувствителност за по-голяма част от щамовете е междинна.</w:t>
      </w:r>
    </w:p>
    <w:p w14:paraId="48DF92BE" w14:textId="77F2AF17"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vertAlign w:val="superscript"/>
          <w:lang w:eastAsia="bg-BG"/>
        </w:rPr>
        <w:t>3</w:t>
      </w:r>
      <w:r w:rsidRPr="00DF4C8E">
        <w:rPr>
          <w:rFonts w:eastAsia="Times New Roman" w:cs="Arial"/>
          <w:color w:val="000000"/>
          <w:szCs w:val="20"/>
          <w:lang w:eastAsia="bg-BG"/>
        </w:rPr>
        <w:t>Щамове, продуциращи бета лактамаза са винаги резистентни</w:t>
      </w:r>
    </w:p>
    <w:p w14:paraId="07184280" w14:textId="15A09A2E" w:rsidR="00DF4C8E" w:rsidRDefault="00DF4C8E" w:rsidP="00DF4C8E">
      <w:pPr>
        <w:rPr>
          <w:rFonts w:eastAsia="Times New Roman" w:cs="Arial"/>
          <w:color w:val="000000"/>
          <w:szCs w:val="20"/>
          <w:lang w:eastAsia="bg-BG"/>
        </w:rPr>
      </w:pPr>
      <w:r w:rsidRPr="00DF4C8E">
        <w:rPr>
          <w:rFonts w:eastAsia="Times New Roman" w:cs="Arial"/>
          <w:color w:val="000000"/>
          <w:szCs w:val="20"/>
          <w:vertAlign w:val="superscript"/>
          <w:lang w:eastAsia="bg-BG"/>
        </w:rPr>
        <w:t>4</w:t>
      </w:r>
      <w:r w:rsidRPr="00DF4C8E">
        <w:rPr>
          <w:rFonts w:eastAsia="Times New Roman" w:cs="Arial"/>
          <w:color w:val="000000"/>
          <w:szCs w:val="20"/>
          <w:lang w:eastAsia="bg-BG"/>
        </w:rPr>
        <w:t>При изолати на пациенти с неусложнен цистит нивото на резистентност е &lt;10 %, в други изолати е ≥10 %.</w:t>
      </w:r>
    </w:p>
    <w:p w14:paraId="4D47A490" w14:textId="77777777" w:rsidR="00DF4C8E" w:rsidRPr="00DF4C8E" w:rsidRDefault="00DF4C8E" w:rsidP="00DF4C8E">
      <w:pPr>
        <w:rPr>
          <w:rFonts w:eastAsia="Times New Roman" w:cs="Arial"/>
          <w:color w:val="000000"/>
          <w:sz w:val="24"/>
          <w:szCs w:val="20"/>
          <w:lang w:eastAsia="bg-BG"/>
        </w:rPr>
      </w:pPr>
    </w:p>
    <w:p w14:paraId="26535098" w14:textId="20F9855A" w:rsidR="00395555" w:rsidRDefault="002C50EE" w:rsidP="008A6AF2">
      <w:pPr>
        <w:pStyle w:val="Heading2"/>
      </w:pPr>
      <w:r>
        <w:t>5.2. Фармакокинетични свойства</w:t>
      </w:r>
    </w:p>
    <w:p w14:paraId="1F7D8465" w14:textId="2D4CE119" w:rsidR="00DF4C8E" w:rsidRDefault="00DF4C8E" w:rsidP="00DF4C8E"/>
    <w:p w14:paraId="7A41415D" w14:textId="77777777" w:rsidR="00DF4C8E" w:rsidRPr="002B0A88" w:rsidRDefault="00DF4C8E" w:rsidP="002B0A88">
      <w:pPr>
        <w:pStyle w:val="Heading3"/>
        <w:rPr>
          <w:rFonts w:eastAsia="Times New Roman"/>
          <w:sz w:val="28"/>
          <w:u w:val="single"/>
        </w:rPr>
      </w:pPr>
      <w:r w:rsidRPr="002B0A88">
        <w:rPr>
          <w:rFonts w:eastAsia="Times New Roman"/>
          <w:u w:val="single"/>
          <w:lang w:eastAsia="bg-BG"/>
        </w:rPr>
        <w:lastRenderedPageBreak/>
        <w:t>Абсорбция</w:t>
      </w:r>
    </w:p>
    <w:p w14:paraId="34757DB4" w14:textId="77777777"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lang w:eastAsia="bg-BG"/>
        </w:rPr>
        <w:t>Абсолютната перорална бионаличност на цефиксим е 22 - 54 %. Абсорбцията не се повлиява значително от храна. Поради това цефиксим може да се приема независимо от храненията.</w:t>
      </w:r>
    </w:p>
    <w:p w14:paraId="67114FE2" w14:textId="77777777" w:rsidR="002B0A88" w:rsidRPr="002B0A88" w:rsidRDefault="002B0A88" w:rsidP="00DF4C8E">
      <w:pPr>
        <w:spacing w:line="240" w:lineRule="auto"/>
        <w:rPr>
          <w:rFonts w:eastAsia="Times New Roman" w:cs="Arial"/>
          <w:i/>
          <w:iCs/>
          <w:color w:val="000000"/>
          <w:szCs w:val="20"/>
          <w:lang w:eastAsia="bg-BG"/>
        </w:rPr>
      </w:pPr>
    </w:p>
    <w:p w14:paraId="1A64320B" w14:textId="4721644A" w:rsidR="00DF4C8E" w:rsidRPr="002B0A88" w:rsidRDefault="00DF4C8E" w:rsidP="002B0A88">
      <w:pPr>
        <w:pStyle w:val="Heading3"/>
        <w:rPr>
          <w:rFonts w:eastAsia="Times New Roman"/>
          <w:sz w:val="28"/>
          <w:u w:val="single"/>
        </w:rPr>
      </w:pPr>
      <w:r w:rsidRPr="002B0A88">
        <w:rPr>
          <w:rFonts w:eastAsia="Times New Roman"/>
          <w:u w:val="single"/>
          <w:lang w:eastAsia="bg-BG"/>
        </w:rPr>
        <w:t>Разпределение</w:t>
      </w:r>
    </w:p>
    <w:p w14:paraId="10E086B2" w14:textId="77777777"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lang w:eastAsia="bg-BG"/>
        </w:rPr>
        <w:t>Свързването със серумни протеини е добре определено в човешки и животински серум. Цефиксим е почти изцяло свързан с албум и новата фракция, средната свободна фракция е приблизително 30%. Свързването на цефиксим с протеини е зависимо от концентрацията в човешкия серум при много високи концентрации, които не се виждат след клинично дозиране.</w:t>
      </w:r>
    </w:p>
    <w:p w14:paraId="538597E7" w14:textId="77777777" w:rsidR="002B0A88" w:rsidRPr="002B0A88" w:rsidRDefault="002B0A88" w:rsidP="00DF4C8E">
      <w:pPr>
        <w:spacing w:line="240" w:lineRule="auto"/>
        <w:rPr>
          <w:rFonts w:eastAsia="Times New Roman" w:cs="Arial"/>
          <w:color w:val="000000"/>
          <w:szCs w:val="20"/>
          <w:lang w:eastAsia="bg-BG"/>
        </w:rPr>
      </w:pPr>
    </w:p>
    <w:p w14:paraId="109C2512" w14:textId="20E38582"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lang w:eastAsia="bg-BG"/>
        </w:rPr>
        <w:t xml:space="preserve">От проучвания ин витро, серумни концентрации цефиксим или концентрации в урината 1 </w:t>
      </w:r>
      <w:r w:rsidRPr="00DF4C8E">
        <w:rPr>
          <w:rFonts w:eastAsia="Times New Roman" w:cs="Arial"/>
          <w:color w:val="000000"/>
          <w:szCs w:val="20"/>
          <w:lang w:val="en-US"/>
        </w:rPr>
        <w:t>mg</w:t>
      </w:r>
      <w:r w:rsidRPr="00DF4C8E">
        <w:rPr>
          <w:rFonts w:eastAsia="Times New Roman" w:cs="Arial"/>
          <w:color w:val="000000"/>
          <w:szCs w:val="20"/>
          <w:lang w:val="ru-RU"/>
        </w:rPr>
        <w:t>/</w:t>
      </w:r>
      <w:r w:rsidRPr="00DF4C8E">
        <w:rPr>
          <w:rFonts w:eastAsia="Times New Roman" w:cs="Arial"/>
          <w:color w:val="000000"/>
          <w:szCs w:val="20"/>
          <w:lang w:val="en-US"/>
        </w:rPr>
        <w:t>L</w:t>
      </w:r>
      <w:r w:rsidRPr="00DF4C8E">
        <w:rPr>
          <w:rFonts w:eastAsia="Times New Roman" w:cs="Arial"/>
          <w:color w:val="000000"/>
          <w:szCs w:val="20"/>
          <w:lang w:val="ru-RU"/>
        </w:rPr>
        <w:t xml:space="preserve"> </w:t>
      </w:r>
      <w:r w:rsidRPr="00DF4C8E">
        <w:rPr>
          <w:rFonts w:eastAsia="Times New Roman" w:cs="Arial"/>
          <w:color w:val="000000"/>
          <w:szCs w:val="20"/>
          <w:lang w:eastAsia="bg-BG"/>
        </w:rPr>
        <w:t xml:space="preserve">или по-високи са смятани за подходящи за повечето патогени, при които цефиксим е активен. Обикновено пиковите серумни нива след препоръчаната доза при възрастни или деца, са между 1,5 и 3 </w:t>
      </w:r>
      <w:r w:rsidRPr="00DF4C8E">
        <w:rPr>
          <w:rFonts w:eastAsia="Times New Roman" w:cs="Arial"/>
          <w:color w:val="000000"/>
          <w:szCs w:val="20"/>
          <w:lang w:val="en-US"/>
        </w:rPr>
        <w:t>mg</w:t>
      </w:r>
      <w:r w:rsidRPr="00DF4C8E">
        <w:rPr>
          <w:rFonts w:eastAsia="Times New Roman" w:cs="Arial"/>
          <w:color w:val="000000"/>
          <w:szCs w:val="20"/>
          <w:lang w:val="ru-RU"/>
        </w:rPr>
        <w:t>/</w:t>
      </w:r>
      <w:r w:rsidRPr="00DF4C8E">
        <w:rPr>
          <w:rFonts w:eastAsia="Times New Roman" w:cs="Arial"/>
          <w:color w:val="000000"/>
          <w:szCs w:val="20"/>
          <w:lang w:val="en-US"/>
        </w:rPr>
        <w:t>L</w:t>
      </w:r>
      <w:r w:rsidRPr="00DF4C8E">
        <w:rPr>
          <w:rFonts w:eastAsia="Times New Roman" w:cs="Arial"/>
          <w:color w:val="000000"/>
          <w:szCs w:val="20"/>
          <w:lang w:val="ru-RU"/>
        </w:rPr>
        <w:t xml:space="preserve">. </w:t>
      </w:r>
      <w:r w:rsidRPr="00DF4C8E">
        <w:rPr>
          <w:rFonts w:eastAsia="Times New Roman" w:cs="Arial"/>
          <w:color w:val="000000"/>
          <w:szCs w:val="20"/>
          <w:lang w:eastAsia="bg-BG"/>
        </w:rPr>
        <w:t>След многократно дозиране с цефиксим има малко кумулиране или липсва такова.</w:t>
      </w:r>
    </w:p>
    <w:p w14:paraId="09FD05CF" w14:textId="77777777" w:rsidR="00DF4C8E" w:rsidRPr="002B0A88" w:rsidRDefault="00DF4C8E" w:rsidP="00DF4C8E">
      <w:pPr>
        <w:spacing w:line="240" w:lineRule="auto"/>
        <w:rPr>
          <w:rFonts w:eastAsia="Times New Roman" w:cs="Arial"/>
          <w:i/>
          <w:iCs/>
          <w:color w:val="000000"/>
          <w:szCs w:val="20"/>
          <w:lang w:eastAsia="bg-BG"/>
        </w:rPr>
      </w:pPr>
    </w:p>
    <w:p w14:paraId="5146E52D" w14:textId="71ACB733" w:rsidR="00DF4C8E" w:rsidRPr="002B0A88" w:rsidRDefault="00DF4C8E" w:rsidP="002B0A88">
      <w:pPr>
        <w:pStyle w:val="Heading3"/>
        <w:rPr>
          <w:rFonts w:eastAsia="Times New Roman"/>
          <w:sz w:val="28"/>
          <w:u w:val="single"/>
        </w:rPr>
      </w:pPr>
      <w:r w:rsidRPr="002B0A88">
        <w:rPr>
          <w:rFonts w:eastAsia="Times New Roman"/>
          <w:u w:val="single"/>
          <w:lang w:eastAsia="bg-BG"/>
        </w:rPr>
        <w:t>Метаболизъм и елиминиране</w:t>
      </w:r>
    </w:p>
    <w:p w14:paraId="27D2CDAF" w14:textId="77777777"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lang w:eastAsia="bg-BG"/>
        </w:rPr>
        <w:t>Цефиксим обикновено се екскретира непроменен в урината. Основен механизъм е глумерулна филтрация. Метаболити на цефиксим не са изолирани от човешки серум или урина.</w:t>
      </w:r>
    </w:p>
    <w:p w14:paraId="3DD49EF9" w14:textId="77777777" w:rsidR="002B0A88" w:rsidRPr="002B0A88" w:rsidRDefault="002B0A88" w:rsidP="00DF4C8E">
      <w:pPr>
        <w:spacing w:line="240" w:lineRule="auto"/>
        <w:rPr>
          <w:rFonts w:eastAsia="Times New Roman" w:cs="Arial"/>
          <w:color w:val="000000"/>
          <w:szCs w:val="20"/>
          <w:lang w:eastAsia="bg-BG"/>
        </w:rPr>
      </w:pPr>
    </w:p>
    <w:p w14:paraId="5D298059" w14:textId="388412DE"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lang w:eastAsia="bg-BG"/>
        </w:rPr>
        <w:t xml:space="preserve">Преминаването на белязан с </w:t>
      </w:r>
      <w:r w:rsidRPr="00DF4C8E">
        <w:rPr>
          <w:rFonts w:eastAsia="Times New Roman" w:cs="Arial"/>
          <w:color w:val="000000"/>
          <w:szCs w:val="20"/>
          <w:vertAlign w:val="superscript"/>
          <w:lang w:eastAsia="bg-BG"/>
        </w:rPr>
        <w:t>14</w:t>
      </w:r>
      <w:r w:rsidRPr="00DF4C8E">
        <w:rPr>
          <w:rFonts w:eastAsia="Times New Roman" w:cs="Arial"/>
          <w:color w:val="000000"/>
          <w:szCs w:val="20"/>
          <w:lang w:eastAsia="bg-BG"/>
        </w:rPr>
        <w:t>С цефиксим от кърмещи плъхове в тяхното поколение чрез кърмата е относително слабо (около 1,5% от концентрацията в майчиния организъм на поколението). Няма данни за секреция на цефиксим в кърмата. Преминаването на белязан цефиксим през плацентата при бременни плъхове е слабо.</w:t>
      </w:r>
    </w:p>
    <w:p w14:paraId="6DD724D3" w14:textId="77777777" w:rsidR="00DF4C8E" w:rsidRPr="002B0A88" w:rsidRDefault="00DF4C8E" w:rsidP="00DF4C8E">
      <w:pPr>
        <w:spacing w:line="240" w:lineRule="auto"/>
        <w:rPr>
          <w:rFonts w:eastAsia="Times New Roman" w:cs="Arial"/>
          <w:i/>
          <w:iCs/>
          <w:color w:val="000000"/>
          <w:szCs w:val="20"/>
          <w:lang w:eastAsia="bg-BG"/>
        </w:rPr>
      </w:pPr>
    </w:p>
    <w:p w14:paraId="1C2DC501" w14:textId="3E0F5907" w:rsidR="00DF4C8E" w:rsidRPr="00DF4C8E" w:rsidRDefault="00DF4C8E" w:rsidP="00DF4C8E">
      <w:pPr>
        <w:spacing w:line="240" w:lineRule="auto"/>
        <w:rPr>
          <w:rFonts w:eastAsia="Times New Roman" w:cs="Arial"/>
          <w:sz w:val="28"/>
          <w:szCs w:val="24"/>
        </w:rPr>
      </w:pPr>
      <w:r w:rsidRPr="00DF4C8E">
        <w:rPr>
          <w:rFonts w:eastAsia="Times New Roman" w:cs="Arial"/>
          <w:i/>
          <w:iCs/>
          <w:color w:val="000000"/>
          <w:szCs w:val="20"/>
          <w:lang w:eastAsia="bg-BG"/>
        </w:rPr>
        <w:t>Специални възрастови групи</w:t>
      </w:r>
    </w:p>
    <w:p w14:paraId="22EB75B5" w14:textId="77777777" w:rsidR="00DF4C8E" w:rsidRPr="00DF4C8E" w:rsidRDefault="00DF4C8E" w:rsidP="00DF4C8E">
      <w:pPr>
        <w:spacing w:line="240" w:lineRule="auto"/>
        <w:rPr>
          <w:rFonts w:eastAsia="Times New Roman" w:cs="Arial"/>
          <w:sz w:val="28"/>
          <w:szCs w:val="24"/>
        </w:rPr>
      </w:pPr>
      <w:r w:rsidRPr="00DF4C8E">
        <w:rPr>
          <w:rFonts w:eastAsia="Times New Roman" w:cs="Arial"/>
          <w:color w:val="000000"/>
          <w:szCs w:val="20"/>
          <w:lang w:eastAsia="bg-BG"/>
        </w:rPr>
        <w:t xml:space="preserve">Сравнена е фармакокинетиката на цефиксим при здрави пациенти в старческа възраст (над 64 години) и млади доброволци (11-35 години), при дози от 400 </w:t>
      </w:r>
      <w:r w:rsidRPr="00DF4C8E">
        <w:rPr>
          <w:rFonts w:eastAsia="Times New Roman" w:cs="Arial"/>
          <w:color w:val="000000"/>
          <w:szCs w:val="20"/>
          <w:lang w:val="en-US"/>
        </w:rPr>
        <w:t>mg</w:t>
      </w:r>
      <w:r w:rsidRPr="00DF4C8E">
        <w:rPr>
          <w:rFonts w:eastAsia="Times New Roman" w:cs="Arial"/>
          <w:color w:val="000000"/>
          <w:szCs w:val="20"/>
          <w:lang w:val="ru-RU"/>
        </w:rPr>
        <w:t xml:space="preserve"> </w:t>
      </w:r>
      <w:r w:rsidRPr="00DF4C8E">
        <w:rPr>
          <w:rFonts w:eastAsia="Times New Roman" w:cs="Arial"/>
          <w:color w:val="000000"/>
          <w:szCs w:val="20"/>
          <w:lang w:eastAsia="bg-BG"/>
        </w:rPr>
        <w:t>веднъж дневно за 5 дни. Стойностите на средната максимална концентрация С</w:t>
      </w:r>
      <w:r w:rsidRPr="00DF4C8E">
        <w:rPr>
          <w:rFonts w:eastAsia="Times New Roman" w:cs="Arial"/>
          <w:color w:val="000000"/>
          <w:szCs w:val="20"/>
          <w:vertAlign w:val="subscript"/>
          <w:lang w:val="en-US"/>
        </w:rPr>
        <w:t>max</w:t>
      </w:r>
      <w:r w:rsidRPr="00DF4C8E">
        <w:rPr>
          <w:rFonts w:eastAsia="Times New Roman" w:cs="Arial"/>
          <w:color w:val="000000"/>
          <w:szCs w:val="20"/>
          <w:lang w:eastAsia="bg-BG"/>
        </w:rPr>
        <w:t xml:space="preserve"> и площта под кривата </w:t>
      </w:r>
      <w:r w:rsidRPr="00DF4C8E">
        <w:rPr>
          <w:rFonts w:eastAsia="Times New Roman" w:cs="Arial"/>
          <w:color w:val="000000"/>
          <w:szCs w:val="20"/>
          <w:lang w:val="en-US"/>
        </w:rPr>
        <w:t>AUC</w:t>
      </w:r>
      <w:r w:rsidRPr="00DF4C8E">
        <w:rPr>
          <w:rFonts w:eastAsia="Times New Roman" w:cs="Arial"/>
          <w:color w:val="000000"/>
          <w:szCs w:val="20"/>
          <w:lang w:val="ru-RU"/>
        </w:rPr>
        <w:t xml:space="preserve"> </w:t>
      </w:r>
      <w:r w:rsidRPr="00DF4C8E">
        <w:rPr>
          <w:rFonts w:eastAsia="Times New Roman" w:cs="Arial"/>
          <w:color w:val="000000"/>
          <w:szCs w:val="20"/>
          <w:lang w:eastAsia="bg-BG"/>
        </w:rPr>
        <w:t>са слабо повишени при пациенти в старческа възраст. На тези пациенти трябва да бъдат</w:t>
      </w:r>
      <w:r w:rsidRPr="00DF4C8E">
        <w:rPr>
          <w:rFonts w:eastAsia="Times New Roman" w:cs="Arial"/>
          <w:color w:val="000000"/>
          <w:szCs w:val="20"/>
          <w:lang w:val="ru-RU"/>
        </w:rPr>
        <w:t xml:space="preserve"> </w:t>
      </w:r>
      <w:r w:rsidRPr="00DF4C8E">
        <w:rPr>
          <w:rFonts w:eastAsia="Times New Roman" w:cs="Arial"/>
          <w:color w:val="000000"/>
          <w:szCs w:val="20"/>
          <w:lang w:eastAsia="bg-BG"/>
        </w:rPr>
        <w:t>прилагани обичайните дози, както при основната популация (вижте раздел 4.2).</w:t>
      </w:r>
    </w:p>
    <w:p w14:paraId="79643DB7" w14:textId="77777777" w:rsidR="00DF4C8E" w:rsidRPr="00DF4C8E" w:rsidRDefault="00DF4C8E" w:rsidP="00DF4C8E"/>
    <w:p w14:paraId="028E658A" w14:textId="49136155" w:rsidR="00395555" w:rsidRDefault="002C50EE" w:rsidP="008A6AF2">
      <w:pPr>
        <w:pStyle w:val="Heading2"/>
      </w:pPr>
      <w:r>
        <w:t>5.3. Предклинични данни за безопасност</w:t>
      </w:r>
    </w:p>
    <w:p w14:paraId="0E31B280" w14:textId="77777777" w:rsidR="002B0A88" w:rsidRDefault="002B0A88" w:rsidP="002B0A88"/>
    <w:p w14:paraId="2A8BBC00" w14:textId="4E14C761" w:rsidR="002B0A88" w:rsidRPr="002B0A88" w:rsidRDefault="002B0A88" w:rsidP="002B0A88">
      <w:pPr>
        <w:rPr>
          <w:sz w:val="24"/>
          <w:szCs w:val="24"/>
        </w:rPr>
      </w:pPr>
      <w:r w:rsidRPr="002B0A88">
        <w:rPr>
          <w:lang w:eastAsia="bg-BG"/>
        </w:rPr>
        <w:t>Няма открития от изследвания за хронична токсичност, от които да се предположи възникване на неизвестна досега нежелана реакция при хора. Освен това, проучвания ин виво и ин витро не показват потенциал за мутагенност. Продължителни проучвания за канцерогенност не са провеждани.</w:t>
      </w:r>
    </w:p>
    <w:p w14:paraId="4DB804CC" w14:textId="77777777" w:rsidR="002B0A88" w:rsidRPr="002B0A88" w:rsidRDefault="002B0A88" w:rsidP="002B0A88">
      <w:pPr>
        <w:rPr>
          <w:sz w:val="24"/>
          <w:szCs w:val="24"/>
        </w:rPr>
      </w:pPr>
      <w:r w:rsidRPr="002B0A88">
        <w:rPr>
          <w:lang w:eastAsia="bg-BG"/>
        </w:rPr>
        <w:t>При проучванията за репродуктивност, провеждани при мишки и плъхове с дози 400 пъти по- високи от тези, прилагани при хора и няма доказателство за увреждане на фертилитета или фетуса, дължащо се на цефиксим.</w:t>
      </w:r>
    </w:p>
    <w:p w14:paraId="4B45D4A6" w14:textId="279CD3D0" w:rsidR="002B0A88" w:rsidRPr="002B0A88" w:rsidRDefault="002B0A88" w:rsidP="002B0A88">
      <w:r w:rsidRPr="002B0A88">
        <w:rPr>
          <w:lang w:eastAsia="bg-BG"/>
        </w:rPr>
        <w:t>При зайци, при дози 4 пъти по-високи от тези, прилагани при хора, е нямало доказателство за тератогенен ефект; имало е висока честота на аборти и смърт на майката, което е очаквано последствие от известната чувствителност на зайците към антибиотик-индуцираните промени в микрофлората на червата в популацията.</w:t>
      </w:r>
    </w:p>
    <w:p w14:paraId="6A7820AB" w14:textId="23999F4F" w:rsidR="008A6AF2" w:rsidRDefault="002C50EE" w:rsidP="00395555">
      <w:pPr>
        <w:pStyle w:val="Heading1"/>
      </w:pPr>
      <w:r>
        <w:lastRenderedPageBreak/>
        <w:t>7. ПРИТЕЖАТЕЛ НА РАЗРЕШЕНИЕТО ЗА УПОТРЕБА</w:t>
      </w:r>
    </w:p>
    <w:p w14:paraId="57816620" w14:textId="1A37BDF5" w:rsidR="002B0A88" w:rsidRDefault="002B0A88" w:rsidP="002B0A88"/>
    <w:p w14:paraId="76DDDBB2" w14:textId="77777777" w:rsidR="002B0A88" w:rsidRPr="002B0A88" w:rsidRDefault="002B0A88" w:rsidP="002B0A88">
      <w:pPr>
        <w:rPr>
          <w:sz w:val="24"/>
          <w:szCs w:val="24"/>
          <w:lang w:val="en-US"/>
        </w:rPr>
      </w:pPr>
      <w:proofErr w:type="spellStart"/>
      <w:r w:rsidRPr="002B0A88">
        <w:rPr>
          <w:lang w:val="en-US"/>
        </w:rPr>
        <w:t>Stada</w:t>
      </w:r>
      <w:proofErr w:type="spellEnd"/>
      <w:r w:rsidRPr="002B0A88">
        <w:rPr>
          <w:lang w:val="en-US"/>
        </w:rPr>
        <w:t xml:space="preserve"> </w:t>
      </w:r>
      <w:proofErr w:type="spellStart"/>
      <w:r w:rsidRPr="002B0A88">
        <w:rPr>
          <w:lang w:val="en-US"/>
        </w:rPr>
        <w:t>Arzneimittel</w:t>
      </w:r>
      <w:proofErr w:type="spellEnd"/>
      <w:r w:rsidRPr="002B0A88">
        <w:rPr>
          <w:lang w:val="en-US"/>
        </w:rPr>
        <w:t xml:space="preserve"> AG</w:t>
      </w:r>
    </w:p>
    <w:p w14:paraId="38423E6A" w14:textId="77777777" w:rsidR="002B0A88" w:rsidRPr="002B0A88" w:rsidRDefault="002B0A88" w:rsidP="002B0A88">
      <w:pPr>
        <w:rPr>
          <w:sz w:val="24"/>
          <w:szCs w:val="24"/>
          <w:lang w:val="en-US"/>
        </w:rPr>
      </w:pPr>
      <w:proofErr w:type="spellStart"/>
      <w:r w:rsidRPr="002B0A88">
        <w:rPr>
          <w:lang w:val="en-US"/>
        </w:rPr>
        <w:t>Stadastrasse</w:t>
      </w:r>
      <w:proofErr w:type="spellEnd"/>
      <w:r w:rsidRPr="002B0A88">
        <w:rPr>
          <w:lang w:val="en-US"/>
        </w:rPr>
        <w:t xml:space="preserve"> 2-18</w:t>
      </w:r>
      <w:proofErr w:type="gramStart"/>
      <w:r w:rsidRPr="002B0A88">
        <w:rPr>
          <w:lang w:val="en-US"/>
        </w:rPr>
        <w:t>,61118</w:t>
      </w:r>
      <w:proofErr w:type="gramEnd"/>
      <w:r w:rsidRPr="002B0A88">
        <w:rPr>
          <w:lang w:val="en-US"/>
        </w:rPr>
        <w:t xml:space="preserve"> Bad </w:t>
      </w:r>
      <w:proofErr w:type="spellStart"/>
      <w:r w:rsidRPr="002B0A88">
        <w:rPr>
          <w:lang w:val="en-US"/>
        </w:rPr>
        <w:t>Vilbel</w:t>
      </w:r>
      <w:proofErr w:type="spellEnd"/>
    </w:p>
    <w:p w14:paraId="677F1BCB" w14:textId="606140FF" w:rsidR="002B0A88" w:rsidRPr="002B0A88" w:rsidRDefault="002B0A88" w:rsidP="002B0A88">
      <w:r w:rsidRPr="002B0A88">
        <w:rPr>
          <w:lang w:eastAsia="bg-BG"/>
        </w:rPr>
        <w:t>Германия</w:t>
      </w:r>
    </w:p>
    <w:p w14:paraId="04840D59" w14:textId="0E076456" w:rsidR="002C50EE" w:rsidRDefault="002C50EE" w:rsidP="00395555">
      <w:pPr>
        <w:pStyle w:val="Heading1"/>
      </w:pPr>
      <w:r>
        <w:t>8. НОМЕР НА РАЗРЕШЕНИЕТО ЗА УПОТРЕБА</w:t>
      </w:r>
    </w:p>
    <w:p w14:paraId="4CA0E7B8" w14:textId="53E66BB0" w:rsidR="002B0A88" w:rsidRDefault="002B0A88" w:rsidP="002B0A88"/>
    <w:p w14:paraId="31FD3AAC" w14:textId="77777777" w:rsidR="002B0A88" w:rsidRPr="002B0A88" w:rsidRDefault="002B0A88" w:rsidP="002B0A88">
      <w:pPr>
        <w:rPr>
          <w:sz w:val="24"/>
          <w:szCs w:val="24"/>
        </w:rPr>
      </w:pPr>
      <w:r w:rsidRPr="002B0A88">
        <w:rPr>
          <w:lang w:eastAsia="bg-BG"/>
        </w:rPr>
        <w:t xml:space="preserve">Зефацет 200 </w:t>
      </w:r>
      <w:r w:rsidRPr="002B0A88">
        <w:rPr>
          <w:lang w:val="en-US"/>
        </w:rPr>
        <w:t>mg</w:t>
      </w:r>
      <w:r w:rsidRPr="002B0A88">
        <w:rPr>
          <w:lang w:val="ru-RU"/>
        </w:rPr>
        <w:t xml:space="preserve">: </w:t>
      </w:r>
      <w:r w:rsidRPr="002B0A88">
        <w:rPr>
          <w:lang w:eastAsia="bg-BG"/>
        </w:rPr>
        <w:t>Регистрационен №: 20110556</w:t>
      </w:r>
    </w:p>
    <w:p w14:paraId="49BE23B7" w14:textId="5AC0AECD" w:rsidR="002B0A88" w:rsidRPr="002B0A88" w:rsidRDefault="002B0A88" w:rsidP="002B0A88">
      <w:r w:rsidRPr="002B0A88">
        <w:rPr>
          <w:lang w:eastAsia="bg-BG"/>
        </w:rPr>
        <w:t xml:space="preserve">Зефацет 400 </w:t>
      </w:r>
      <w:r w:rsidRPr="002B0A88">
        <w:rPr>
          <w:lang w:val="en-US"/>
        </w:rPr>
        <w:t>mg</w:t>
      </w:r>
      <w:r w:rsidRPr="002B0A88">
        <w:rPr>
          <w:lang w:val="ru-RU"/>
        </w:rPr>
        <w:t xml:space="preserve">: </w:t>
      </w:r>
      <w:r w:rsidRPr="002B0A88">
        <w:rPr>
          <w:lang w:eastAsia="bg-BG"/>
        </w:rPr>
        <w:t>Регистрационен №: 20110557</w:t>
      </w:r>
    </w:p>
    <w:p w14:paraId="2CCB5832" w14:textId="2CFED1E7" w:rsidR="007C605B" w:rsidRDefault="002C50EE" w:rsidP="007C605B">
      <w:pPr>
        <w:pStyle w:val="Heading1"/>
      </w:pPr>
      <w:r>
        <w:t>9. ДАТА НА ПЪРВО РАЗРЕШАВАНЕ/ПОДНОВЯВАНЕ НА РАЗРЕШЕНИЕТО ЗА УПОТРЕБА</w:t>
      </w:r>
    </w:p>
    <w:p w14:paraId="46C7662E" w14:textId="6AA7D5B0" w:rsidR="002B0A88" w:rsidRDefault="002B0A88" w:rsidP="002B0A88"/>
    <w:p w14:paraId="22029371" w14:textId="77777777" w:rsidR="002B0A88" w:rsidRPr="002B0A88" w:rsidRDefault="002B0A88" w:rsidP="002B0A88">
      <w:pPr>
        <w:rPr>
          <w:sz w:val="24"/>
          <w:szCs w:val="24"/>
        </w:rPr>
      </w:pPr>
      <w:r w:rsidRPr="002B0A88">
        <w:rPr>
          <w:lang w:eastAsia="bg-BG"/>
        </w:rPr>
        <w:t>Дата на първо разрешаване : 26.09.2011</w:t>
      </w:r>
    </w:p>
    <w:p w14:paraId="43BDBF1E" w14:textId="57DF161D" w:rsidR="002B0A88" w:rsidRPr="002B0A88" w:rsidRDefault="002B0A88" w:rsidP="002B0A88">
      <w:r w:rsidRPr="002B0A88">
        <w:rPr>
          <w:lang w:eastAsia="bg-BG"/>
        </w:rPr>
        <w:t>Дата на последно подновяване: 05.12.2016</w:t>
      </w:r>
    </w:p>
    <w:p w14:paraId="0E9D0119" w14:textId="0245C6D7" w:rsidR="002C50EE" w:rsidRDefault="002C50EE" w:rsidP="002C50EE">
      <w:pPr>
        <w:pStyle w:val="Heading1"/>
      </w:pPr>
      <w:r>
        <w:t>10. ДАТА НА АКТУАЛИЗИРАНЕ НА ТЕКСТА</w:t>
      </w:r>
    </w:p>
    <w:bookmarkEnd w:id="0"/>
    <w:p w14:paraId="43FB38A2" w14:textId="4392D051" w:rsidR="007C605B" w:rsidRPr="002B0A88" w:rsidRDefault="002B0A88" w:rsidP="002B0A88">
      <w:pPr>
        <w:rPr>
          <w:sz w:val="24"/>
          <w:szCs w:val="24"/>
        </w:rPr>
      </w:pPr>
      <w:r w:rsidRPr="002B0A88">
        <w:rPr>
          <w:lang w:eastAsia="bg-BG"/>
        </w:rPr>
        <w:t>Декември 2020</w:t>
      </w:r>
    </w:p>
    <w:sectPr w:rsidR="007C605B" w:rsidRPr="002B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46DE1"/>
    <w:multiLevelType w:val="hybridMultilevel"/>
    <w:tmpl w:val="55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D4F54"/>
    <w:multiLevelType w:val="hybridMultilevel"/>
    <w:tmpl w:val="089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29"/>
  </w:num>
  <w:num w:numId="12">
    <w:abstractNumId w:val="13"/>
  </w:num>
  <w:num w:numId="13">
    <w:abstractNumId w:val="19"/>
  </w:num>
  <w:num w:numId="14">
    <w:abstractNumId w:val="11"/>
  </w:num>
  <w:num w:numId="15">
    <w:abstractNumId w:val="28"/>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2"/>
  </w:num>
  <w:num w:numId="31">
    <w:abstractNumId w:val="5"/>
  </w:num>
  <w:num w:numId="32">
    <w:abstractNumId w:val="1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0A88"/>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DF4C8E"/>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2672</Words>
  <Characters>15237</Characters>
  <Application>Microsoft Office Word</Application>
  <DocSecurity>0</DocSecurity>
  <Lines>126</Lines>
  <Paragraphs>35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2022-02-07T12:53:00Z</dcterms:created>
  <dcterms:modified xsi:type="dcterms:W3CDTF">2022-02-07T12:53:00Z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