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0308FB46" w:rsidR="009F77A4" w:rsidRDefault="00DD466D" w:rsidP="00387A66">
      <w:pPr>
        <w:pStyle w:val="Heading1"/>
      </w:pPr>
      <w:r>
        <w:t>1.ИМЕ НА ЛЕКАРСТВЕНИЯ ПРОДУКТ</w:t>
      </w:r>
    </w:p>
    <w:p w14:paraId="63EAA7CA" w14:textId="77777777" w:rsidR="0073020D" w:rsidRDefault="0073020D" w:rsidP="0073020D"/>
    <w:p w14:paraId="3B9BD83C" w14:textId="77777777" w:rsidR="0073020D" w:rsidRDefault="0073020D" w:rsidP="0073020D">
      <w:pPr>
        <w:rPr>
          <w:lang w:eastAsia="bg-BG"/>
        </w:rPr>
      </w:pPr>
      <w:r>
        <w:rPr>
          <w:lang w:eastAsia="bg-BG"/>
        </w:rPr>
        <w:t xml:space="preserve">Зенаро 0,5 </w:t>
      </w:r>
      <w:r>
        <w:t xml:space="preserve">mg/ml </w:t>
      </w:r>
      <w:r>
        <w:rPr>
          <w:lang w:eastAsia="bg-BG"/>
        </w:rPr>
        <w:t xml:space="preserve">сироп </w:t>
      </w:r>
    </w:p>
    <w:p w14:paraId="2A7177EA" w14:textId="4FF66C0C" w:rsidR="0073020D" w:rsidRPr="0073020D" w:rsidRDefault="0073020D" w:rsidP="0073020D">
      <w:r>
        <w:t xml:space="preserve">Zenaro </w:t>
      </w:r>
      <w:r>
        <w:rPr>
          <w:lang w:eastAsia="bg-BG"/>
        </w:rPr>
        <w:t xml:space="preserve">0.5 </w:t>
      </w:r>
      <w:r>
        <w:t>mg/ml syrup</w:t>
      </w:r>
    </w:p>
    <w:p w14:paraId="0DF202EC" w14:textId="10882A08" w:rsidR="00F53FB7" w:rsidRDefault="00DD466D" w:rsidP="00A93499">
      <w:pPr>
        <w:pStyle w:val="Heading1"/>
      </w:pPr>
      <w:r>
        <w:t>2. КАЧЕСТВЕН И КОЛИЧЕСТВЕН СЪСТАВ</w:t>
      </w:r>
    </w:p>
    <w:p w14:paraId="44EE1568" w14:textId="77777777" w:rsidR="0073020D" w:rsidRDefault="0073020D" w:rsidP="0073020D"/>
    <w:p w14:paraId="151E2A35" w14:textId="77777777" w:rsidR="0073020D" w:rsidRPr="0073020D" w:rsidRDefault="0073020D" w:rsidP="0073020D">
      <w:pPr>
        <w:rPr>
          <w:sz w:val="24"/>
          <w:szCs w:val="24"/>
          <w:lang w:eastAsia="bg-BG"/>
        </w:rPr>
      </w:pPr>
      <w:r w:rsidRPr="0073020D">
        <w:rPr>
          <w:lang w:eastAsia="bg-BG"/>
        </w:rPr>
        <w:t xml:space="preserve">1 </w:t>
      </w:r>
      <w:r w:rsidRPr="0073020D">
        <w:rPr>
          <w:lang w:val="en-US"/>
        </w:rPr>
        <w:t xml:space="preserve">ml </w:t>
      </w:r>
      <w:r w:rsidRPr="0073020D">
        <w:rPr>
          <w:lang w:eastAsia="bg-BG"/>
        </w:rPr>
        <w:t xml:space="preserve">сироп съдържа 0,5 </w:t>
      </w:r>
      <w:r w:rsidRPr="0073020D">
        <w:rPr>
          <w:lang w:val="en-US"/>
        </w:rPr>
        <w:t xml:space="preserve">mg </w:t>
      </w:r>
      <w:r w:rsidRPr="0073020D">
        <w:rPr>
          <w:lang w:eastAsia="bg-BG"/>
        </w:rPr>
        <w:t xml:space="preserve">левоцетиризинов дихидрохлорид </w:t>
      </w:r>
      <w:r w:rsidRPr="0073020D">
        <w:rPr>
          <w:lang w:val="en-US"/>
        </w:rPr>
        <w:t xml:space="preserve">(levocetirizine dihydrochloride). </w:t>
      </w:r>
      <w:r w:rsidRPr="0073020D">
        <w:rPr>
          <w:lang w:eastAsia="bg-BG"/>
        </w:rPr>
        <w:t>Помощни вещества с известно действие:</w:t>
      </w:r>
    </w:p>
    <w:p w14:paraId="3CF7EEB6" w14:textId="4145F664" w:rsidR="0073020D" w:rsidRPr="0073020D" w:rsidRDefault="0073020D" w:rsidP="0073020D">
      <w:r w:rsidRPr="0073020D">
        <w:rPr>
          <w:lang w:eastAsia="bg-BG"/>
        </w:rPr>
        <w:t xml:space="preserve">1 </w:t>
      </w:r>
      <w:r w:rsidRPr="0073020D">
        <w:rPr>
          <w:lang w:val="en-US"/>
        </w:rPr>
        <w:t xml:space="preserve">ml </w:t>
      </w:r>
      <w:r w:rsidRPr="0073020D">
        <w:rPr>
          <w:lang w:eastAsia="bg-BG"/>
        </w:rPr>
        <w:t xml:space="preserve">сироп съдържа 0,4 </w:t>
      </w:r>
      <w:r w:rsidRPr="0073020D">
        <w:rPr>
          <w:lang w:val="en-US"/>
        </w:rPr>
        <w:t xml:space="preserve">g </w:t>
      </w:r>
      <w:r w:rsidRPr="0073020D">
        <w:rPr>
          <w:lang w:eastAsia="bg-BG"/>
        </w:rPr>
        <w:t xml:space="preserve">малтитол (Е965), 100 </w:t>
      </w:r>
      <w:r w:rsidRPr="0073020D">
        <w:rPr>
          <w:lang w:val="en-US"/>
        </w:rPr>
        <w:t xml:space="preserve">mg </w:t>
      </w:r>
      <w:r w:rsidRPr="0073020D">
        <w:rPr>
          <w:lang w:eastAsia="bg-BG"/>
        </w:rPr>
        <w:t xml:space="preserve">пропиленгликол и 1,75 </w:t>
      </w:r>
      <w:r w:rsidRPr="0073020D">
        <w:rPr>
          <w:lang w:val="en-US"/>
        </w:rPr>
        <w:t xml:space="preserve">mg </w:t>
      </w:r>
      <w:r w:rsidRPr="0073020D">
        <w:rPr>
          <w:lang w:eastAsia="bg-BG"/>
        </w:rPr>
        <w:t>натрий.</w:t>
      </w:r>
    </w:p>
    <w:p w14:paraId="4CABB9ED" w14:textId="2740FB4D" w:rsidR="00F53FB7" w:rsidRDefault="00DD466D" w:rsidP="00A93499">
      <w:pPr>
        <w:pStyle w:val="Heading1"/>
      </w:pPr>
      <w:r>
        <w:t>3. ЛЕКАРСТВЕНА ФОРМА</w:t>
      </w:r>
    </w:p>
    <w:p w14:paraId="40D8E1DA" w14:textId="77777777" w:rsidR="0073020D" w:rsidRDefault="0073020D" w:rsidP="0073020D"/>
    <w:p w14:paraId="75458DA1" w14:textId="77777777" w:rsidR="0073020D" w:rsidRPr="0073020D" w:rsidRDefault="0073020D" w:rsidP="0073020D">
      <w:pPr>
        <w:rPr>
          <w:sz w:val="24"/>
          <w:szCs w:val="24"/>
          <w:lang w:eastAsia="bg-BG"/>
        </w:rPr>
      </w:pPr>
      <w:r w:rsidRPr="0073020D">
        <w:rPr>
          <w:lang w:eastAsia="bg-BG"/>
        </w:rPr>
        <w:t>Сироп.</w:t>
      </w:r>
    </w:p>
    <w:p w14:paraId="20C726F5" w14:textId="08574F21" w:rsidR="0073020D" w:rsidRPr="0073020D" w:rsidRDefault="0073020D" w:rsidP="0073020D">
      <w:r w:rsidRPr="0073020D">
        <w:rPr>
          <w:lang w:eastAsia="bg-BG"/>
        </w:rPr>
        <w:t>Прозрачен, безцветен до леко жълтеникав сироп.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0A9C51D3" w:rsidR="009F77A4" w:rsidRDefault="002C50EE" w:rsidP="00387A66">
      <w:pPr>
        <w:pStyle w:val="Heading2"/>
      </w:pPr>
      <w:r>
        <w:t>4.1. Терапевтични показания</w:t>
      </w:r>
    </w:p>
    <w:p w14:paraId="2235E914" w14:textId="77777777" w:rsidR="0073020D" w:rsidRDefault="0073020D" w:rsidP="0073020D"/>
    <w:p w14:paraId="48595AE3" w14:textId="43C98216" w:rsidR="0073020D" w:rsidRDefault="0073020D" w:rsidP="0073020D">
      <w:pPr>
        <w:rPr>
          <w:lang w:eastAsia="bg-BG"/>
        </w:rPr>
      </w:pPr>
      <w:r w:rsidRPr="0073020D">
        <w:rPr>
          <w:lang w:eastAsia="bg-BG"/>
        </w:rPr>
        <w:t xml:space="preserve">Зенаро 0,5 </w:t>
      </w:r>
      <w:r w:rsidRPr="0073020D">
        <w:rPr>
          <w:lang w:val="en-US"/>
        </w:rPr>
        <w:t xml:space="preserve">mg/ml </w:t>
      </w:r>
      <w:r w:rsidRPr="0073020D">
        <w:rPr>
          <w:lang w:eastAsia="bg-BG"/>
        </w:rPr>
        <w:t>сироп е показан за симптоматично лечение на алергичен ринит (включително персистиращ алергичен ринит) и уртикария при възрастни, юноши и деца на 2 и повече години.</w:t>
      </w:r>
    </w:p>
    <w:p w14:paraId="361DDFFC" w14:textId="77777777" w:rsidR="0073020D" w:rsidRPr="0073020D" w:rsidRDefault="0073020D" w:rsidP="0073020D">
      <w:pPr>
        <w:rPr>
          <w:sz w:val="24"/>
          <w:szCs w:val="24"/>
          <w:lang w:eastAsia="bg-BG"/>
        </w:rPr>
      </w:pPr>
    </w:p>
    <w:p w14:paraId="31744E5A" w14:textId="29FBB145" w:rsidR="009F77A4" w:rsidRDefault="002C50EE" w:rsidP="00387A66">
      <w:pPr>
        <w:pStyle w:val="Heading2"/>
      </w:pPr>
      <w:r>
        <w:t>4.2. Дозировка и начин на приложение</w:t>
      </w:r>
    </w:p>
    <w:p w14:paraId="2A6F10C4" w14:textId="77777777" w:rsidR="0073020D" w:rsidRDefault="0073020D" w:rsidP="0073020D"/>
    <w:p w14:paraId="20712D8F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Дозировка</w:t>
      </w:r>
    </w:p>
    <w:p w14:paraId="7C5DED47" w14:textId="77777777" w:rsidR="0073020D" w:rsidRDefault="0073020D" w:rsidP="0073020D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0ED8DCC" w14:textId="23FEADCA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i/>
          <w:iCs/>
          <w:color w:val="000000"/>
          <w:lang w:eastAsia="bg-BG"/>
        </w:rPr>
        <w:t>Възрастни и юноши на и над 12 години</w:t>
      </w:r>
    </w:p>
    <w:p w14:paraId="246587D7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 xml:space="preserve">Препоръчаната дневна доза е 5 </w:t>
      </w:r>
      <w:r w:rsidRPr="0073020D">
        <w:rPr>
          <w:rFonts w:eastAsia="Times New Roman" w:cs="Arial"/>
          <w:color w:val="000000"/>
          <w:lang w:val="en-US"/>
        </w:rPr>
        <w:t xml:space="preserve">mg </w:t>
      </w:r>
      <w:r w:rsidRPr="0073020D">
        <w:rPr>
          <w:rFonts w:eastAsia="Times New Roman" w:cs="Arial"/>
          <w:color w:val="000000"/>
          <w:lang w:eastAsia="bg-BG"/>
        </w:rPr>
        <w:t xml:space="preserve">левоцетиризин. 10 </w:t>
      </w:r>
      <w:r w:rsidRPr="0073020D">
        <w:rPr>
          <w:rFonts w:eastAsia="Times New Roman" w:cs="Arial"/>
          <w:color w:val="000000"/>
          <w:lang w:val="en-US"/>
        </w:rPr>
        <w:t xml:space="preserve">ml </w:t>
      </w:r>
      <w:r w:rsidRPr="0073020D">
        <w:rPr>
          <w:rFonts w:eastAsia="Times New Roman" w:cs="Arial"/>
          <w:color w:val="000000"/>
          <w:lang w:eastAsia="bg-BG"/>
        </w:rPr>
        <w:t>разтвор веднъж дневно (2 пълни мерителни лъжици веднъж дневно).</w:t>
      </w:r>
    </w:p>
    <w:p w14:paraId="473D2297" w14:textId="77777777" w:rsidR="0073020D" w:rsidRDefault="0073020D" w:rsidP="0073020D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6191231" w14:textId="3A64C743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6ADBC424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При пациенти в старческа възраст с умерено до тежко бъбречно увреждане се препоръчва адаптиране на дозата (вж. по-долу Бъбречно увреждане).</w:t>
      </w:r>
    </w:p>
    <w:p w14:paraId="2BD0105C" w14:textId="77777777" w:rsidR="0073020D" w:rsidRDefault="0073020D" w:rsidP="0073020D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C00959D" w14:textId="0F64DF1D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i/>
          <w:iCs/>
          <w:color w:val="000000"/>
          <w:u w:val="single"/>
          <w:lang w:eastAsia="bg-BG"/>
        </w:rPr>
        <w:t>Бъбречно увреждане</w:t>
      </w:r>
    </w:p>
    <w:p w14:paraId="0D785751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 xml:space="preserve">Честотата на приема трябва да се индивидуализира в съответствие с бъбречната функция. Използвайте приложената по-долу таблица за адаптиране на дозата. За да се ползва тази таблица е необходимо да се определи креатининовия клирънс на пациента </w:t>
      </w:r>
      <w:r w:rsidRPr="0073020D">
        <w:rPr>
          <w:rFonts w:eastAsia="Times New Roman" w:cs="Arial"/>
          <w:smallCaps/>
          <w:color w:val="000000"/>
          <w:lang w:val="en-US"/>
        </w:rPr>
        <w:t>(</w:t>
      </w:r>
      <w:proofErr w:type="spellStart"/>
      <w:r w:rsidRPr="0073020D">
        <w:rPr>
          <w:rFonts w:eastAsia="Times New Roman" w:cs="Arial"/>
          <w:smallCaps/>
          <w:color w:val="000000"/>
          <w:lang w:val="en-US"/>
        </w:rPr>
        <w:t>CLcr</w:t>
      </w:r>
      <w:proofErr w:type="spellEnd"/>
      <w:r w:rsidRPr="0073020D">
        <w:rPr>
          <w:rFonts w:eastAsia="Times New Roman" w:cs="Arial"/>
          <w:smallCaps/>
          <w:color w:val="000000"/>
          <w:lang w:val="en-US"/>
        </w:rPr>
        <w:t>)</w:t>
      </w:r>
      <w:r w:rsidRPr="0073020D">
        <w:rPr>
          <w:rFonts w:eastAsia="Times New Roman" w:cs="Arial"/>
          <w:color w:val="000000"/>
          <w:lang w:val="en-US"/>
        </w:rPr>
        <w:t xml:space="preserve"> </w:t>
      </w:r>
      <w:r w:rsidRPr="0073020D">
        <w:rPr>
          <w:rFonts w:eastAsia="Times New Roman" w:cs="Arial"/>
          <w:color w:val="000000"/>
          <w:lang w:eastAsia="bg-BG"/>
        </w:rPr>
        <w:t xml:space="preserve">изразен в </w:t>
      </w:r>
      <w:r w:rsidRPr="0073020D">
        <w:rPr>
          <w:rFonts w:eastAsia="Times New Roman" w:cs="Arial"/>
          <w:color w:val="000000"/>
          <w:lang w:val="en-US"/>
        </w:rPr>
        <w:t xml:space="preserve">ml/min. </w:t>
      </w:r>
      <w:proofErr w:type="spellStart"/>
      <w:r w:rsidRPr="0073020D">
        <w:rPr>
          <w:rFonts w:eastAsia="Times New Roman" w:cs="Arial"/>
          <w:smallCaps/>
          <w:color w:val="000000"/>
          <w:lang w:val="en-US"/>
        </w:rPr>
        <w:t>CLcr</w:t>
      </w:r>
      <w:proofErr w:type="spellEnd"/>
      <w:r w:rsidRPr="0073020D">
        <w:rPr>
          <w:rFonts w:eastAsia="Times New Roman" w:cs="Arial"/>
          <w:color w:val="000000"/>
          <w:lang w:val="en-US"/>
        </w:rPr>
        <w:t xml:space="preserve"> (ml/min) </w:t>
      </w:r>
      <w:r w:rsidRPr="0073020D">
        <w:rPr>
          <w:rFonts w:eastAsia="Times New Roman" w:cs="Arial"/>
          <w:color w:val="000000"/>
          <w:lang w:eastAsia="bg-BG"/>
        </w:rPr>
        <w:t xml:space="preserve">може да се определи от серумния креатинин </w:t>
      </w:r>
      <w:r w:rsidRPr="0073020D">
        <w:rPr>
          <w:rFonts w:eastAsia="Times New Roman" w:cs="Arial"/>
          <w:color w:val="000000"/>
          <w:lang w:val="en-US"/>
        </w:rPr>
        <w:t xml:space="preserve">(mg/dl) </w:t>
      </w:r>
      <w:r w:rsidRPr="0073020D">
        <w:rPr>
          <w:rFonts w:eastAsia="Times New Roman" w:cs="Arial"/>
          <w:color w:val="000000"/>
          <w:lang w:eastAsia="bg-BG"/>
        </w:rPr>
        <w:t>с помощта на следната формула:</w:t>
      </w:r>
    </w:p>
    <w:p w14:paraId="5A75FF43" w14:textId="77777777" w:rsidR="0073020D" w:rsidRDefault="0073020D" w:rsidP="0073020D">
      <w:pPr>
        <w:spacing w:line="240" w:lineRule="auto"/>
        <w:rPr>
          <w:rFonts w:eastAsia="Times New Roman" w:cs="Arial"/>
          <w:smallCaps/>
          <w:color w:val="000000"/>
          <w:lang w:val="en-US"/>
        </w:rPr>
      </w:pPr>
    </w:p>
    <w:p w14:paraId="5CBA8981" w14:textId="6810756F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proofErr w:type="spellStart"/>
      <w:r w:rsidRPr="0073020D">
        <w:rPr>
          <w:rFonts w:eastAsia="Times New Roman" w:cs="Arial"/>
          <w:smallCaps/>
          <w:color w:val="000000"/>
          <w:lang w:val="en-US"/>
        </w:rPr>
        <w:lastRenderedPageBreak/>
        <w:t>CLcr</w:t>
      </w:r>
      <w:proofErr w:type="spellEnd"/>
      <w:r w:rsidRPr="0073020D">
        <w:rPr>
          <w:rFonts w:eastAsia="Times New Roman" w:cs="Arial"/>
          <w:color w:val="000000"/>
          <w:lang w:val="en-US"/>
        </w:rPr>
        <w:t xml:space="preserve"> </w:t>
      </w:r>
      <w:r w:rsidRPr="0073020D">
        <w:rPr>
          <w:rFonts w:eastAsia="Times New Roman" w:cs="Arial"/>
          <w:color w:val="000000"/>
          <w:lang w:eastAsia="bg-BG"/>
        </w:rPr>
        <w:t xml:space="preserve">= </w:t>
      </w:r>
      <w:r w:rsidRPr="0073020D">
        <w:rPr>
          <w:rFonts w:eastAsia="Times New Roman" w:cs="Arial"/>
          <w:color w:val="000000"/>
          <w:u w:val="single"/>
          <w:lang w:eastAsia="bg-BG"/>
        </w:rPr>
        <w:t xml:space="preserve">[140 - </w:t>
      </w:r>
      <w:r w:rsidRPr="0073020D">
        <w:rPr>
          <w:rFonts w:eastAsia="Times New Roman" w:cs="Arial"/>
          <w:i/>
          <w:iCs/>
          <w:color w:val="000000"/>
          <w:u w:val="single"/>
          <w:lang w:eastAsia="bg-BG"/>
        </w:rPr>
        <w:t>възрастта (години)]</w:t>
      </w:r>
      <w:r w:rsidRPr="0073020D">
        <w:rPr>
          <w:rFonts w:eastAsia="Times New Roman" w:cs="Arial"/>
          <w:color w:val="000000"/>
          <w:u w:val="single"/>
          <w:lang w:eastAsia="bg-BG"/>
        </w:rPr>
        <w:t xml:space="preserve"> х </w:t>
      </w:r>
      <w:r w:rsidRPr="0073020D">
        <w:rPr>
          <w:rFonts w:eastAsia="Times New Roman" w:cs="Arial"/>
          <w:i/>
          <w:iCs/>
          <w:color w:val="000000"/>
          <w:u w:val="single"/>
          <w:lang w:eastAsia="bg-BG"/>
        </w:rPr>
        <w:t xml:space="preserve">теглото </w:t>
      </w:r>
      <w:r w:rsidRPr="0073020D">
        <w:rPr>
          <w:rFonts w:eastAsia="Times New Roman" w:cs="Arial"/>
          <w:i/>
          <w:iCs/>
          <w:color w:val="000000"/>
          <w:u w:val="single"/>
          <w:lang w:val="en-US"/>
        </w:rPr>
        <w:t xml:space="preserve">(kg) </w:t>
      </w:r>
      <w:r w:rsidRPr="0073020D">
        <w:rPr>
          <w:rFonts w:eastAsia="Times New Roman" w:cs="Arial"/>
          <w:i/>
          <w:iCs/>
          <w:color w:val="000000"/>
          <w:u w:val="single"/>
          <w:lang w:eastAsia="bg-BG"/>
        </w:rPr>
        <w:t>(</w:t>
      </w:r>
      <w:r w:rsidRPr="0073020D">
        <w:rPr>
          <w:rFonts w:eastAsia="Times New Roman" w:cs="Arial"/>
          <w:i/>
          <w:iCs/>
          <w:color w:val="000000"/>
          <w:u w:val="single"/>
          <w:lang w:val="en-US"/>
        </w:rPr>
        <w:t>x,</w:t>
      </w:r>
      <w:r w:rsidRPr="0073020D">
        <w:rPr>
          <w:rFonts w:eastAsia="Times New Roman" w:cs="Arial"/>
          <w:color w:val="000000"/>
          <w:u w:val="single"/>
          <w:lang w:eastAsia="bg-BG"/>
        </w:rPr>
        <w:t xml:space="preserve">.85 </w:t>
      </w:r>
      <w:r w:rsidRPr="0073020D">
        <w:rPr>
          <w:rFonts w:eastAsia="Times New Roman" w:cs="Arial"/>
          <w:i/>
          <w:iCs/>
          <w:color w:val="000000"/>
          <w:u w:val="single"/>
          <w:lang w:eastAsia="bg-BG"/>
        </w:rPr>
        <w:t xml:space="preserve">при жени) </w:t>
      </w:r>
      <w:r w:rsidRPr="0073020D">
        <w:rPr>
          <w:rFonts w:eastAsia="Times New Roman" w:cs="Arial"/>
          <w:color w:val="000000"/>
          <w:lang w:eastAsia="bg-BG"/>
        </w:rPr>
        <w:t xml:space="preserve">72 х </w:t>
      </w:r>
      <w:r w:rsidRPr="0073020D">
        <w:rPr>
          <w:rFonts w:eastAsia="Times New Roman" w:cs="Arial"/>
          <w:i/>
          <w:iCs/>
          <w:color w:val="000000"/>
          <w:lang w:eastAsia="bg-BG"/>
        </w:rPr>
        <w:t xml:space="preserve">серумен креатинин </w:t>
      </w:r>
      <w:r w:rsidRPr="0073020D">
        <w:rPr>
          <w:rFonts w:eastAsia="Times New Roman" w:cs="Arial"/>
          <w:i/>
          <w:iCs/>
          <w:color w:val="000000"/>
          <w:lang w:val="en-US"/>
        </w:rPr>
        <w:t>(mg/dl)</w:t>
      </w:r>
    </w:p>
    <w:p w14:paraId="3C69E9CA" w14:textId="77777777" w:rsidR="0073020D" w:rsidRDefault="0073020D" w:rsidP="0073020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39F3D9" w14:textId="7BCE824E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Адаптиране на дозата при пациенти с нарушена бъбречна функция: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13"/>
        <w:gridCol w:w="3129"/>
      </w:tblGrid>
      <w:tr w:rsidR="0073020D" w14:paraId="162358C4" w14:textId="77777777" w:rsidTr="006D23B1">
        <w:tc>
          <w:tcPr>
            <w:tcW w:w="3166" w:type="dxa"/>
          </w:tcPr>
          <w:p w14:paraId="7C9A4C3F" w14:textId="0240B0F0" w:rsidR="0073020D" w:rsidRDefault="0073020D" w:rsidP="0073020D">
            <w:r>
              <w:t>Група</w:t>
            </w:r>
          </w:p>
        </w:tc>
        <w:tc>
          <w:tcPr>
            <w:tcW w:w="3167" w:type="dxa"/>
            <w:vAlign w:val="bottom"/>
          </w:tcPr>
          <w:p w14:paraId="466BF88F" w14:textId="06D0A4EF" w:rsidR="0073020D" w:rsidRDefault="0073020D" w:rsidP="0073020D">
            <w:r>
              <w:t xml:space="preserve">Креатининов клирънс </w:t>
            </w:r>
            <w:r>
              <w:rPr>
                <w:lang w:val="en-US"/>
              </w:rPr>
              <w:t>(ml/min)</w:t>
            </w:r>
          </w:p>
        </w:tc>
        <w:tc>
          <w:tcPr>
            <w:tcW w:w="3167" w:type="dxa"/>
          </w:tcPr>
          <w:p w14:paraId="372B608A" w14:textId="0D540BB8" w:rsidR="0073020D" w:rsidRDefault="0073020D" w:rsidP="0073020D">
            <w:r>
              <w:t>Доза и честота на прилагане</w:t>
            </w:r>
          </w:p>
        </w:tc>
      </w:tr>
      <w:tr w:rsidR="0073020D" w14:paraId="04269815" w14:textId="77777777" w:rsidTr="0073020D">
        <w:tc>
          <w:tcPr>
            <w:tcW w:w="3166" w:type="dxa"/>
          </w:tcPr>
          <w:p w14:paraId="65110761" w14:textId="3ECFDC11" w:rsidR="0073020D" w:rsidRDefault="0073020D" w:rsidP="0073020D">
            <w:r>
              <w:t>Нормална</w:t>
            </w:r>
          </w:p>
        </w:tc>
        <w:tc>
          <w:tcPr>
            <w:tcW w:w="3167" w:type="dxa"/>
          </w:tcPr>
          <w:p w14:paraId="59550C92" w14:textId="473A51CA" w:rsidR="0073020D" w:rsidRDefault="0073020D" w:rsidP="0073020D">
            <w:r>
              <w:t>≥80</w:t>
            </w:r>
          </w:p>
        </w:tc>
        <w:tc>
          <w:tcPr>
            <w:tcW w:w="3167" w:type="dxa"/>
          </w:tcPr>
          <w:p w14:paraId="2ED0324E" w14:textId="23609584" w:rsidR="0073020D" w:rsidRDefault="0073020D" w:rsidP="0073020D">
            <w:r>
              <w:t xml:space="preserve">5 </w:t>
            </w:r>
            <w:r>
              <w:rPr>
                <w:lang w:val="en-US"/>
              </w:rPr>
              <w:t xml:space="preserve">mg </w:t>
            </w:r>
            <w:r>
              <w:t>веднъж дневно</w:t>
            </w:r>
          </w:p>
        </w:tc>
      </w:tr>
      <w:tr w:rsidR="0073020D" w14:paraId="34F00723" w14:textId="77777777" w:rsidTr="0073020D">
        <w:tc>
          <w:tcPr>
            <w:tcW w:w="3166" w:type="dxa"/>
          </w:tcPr>
          <w:p w14:paraId="57A50484" w14:textId="4B54A858" w:rsidR="0073020D" w:rsidRDefault="0073020D" w:rsidP="0073020D">
            <w:r>
              <w:t>(Лека</w:t>
            </w:r>
          </w:p>
        </w:tc>
        <w:tc>
          <w:tcPr>
            <w:tcW w:w="3167" w:type="dxa"/>
          </w:tcPr>
          <w:p w14:paraId="70AB2034" w14:textId="09CB0513" w:rsidR="0073020D" w:rsidRDefault="0073020D" w:rsidP="0073020D">
            <w:r>
              <w:t>50-79</w:t>
            </w:r>
          </w:p>
        </w:tc>
        <w:tc>
          <w:tcPr>
            <w:tcW w:w="3167" w:type="dxa"/>
          </w:tcPr>
          <w:p w14:paraId="6FFF6C70" w14:textId="4C8E59DB" w:rsidR="0073020D" w:rsidRDefault="0073020D" w:rsidP="0073020D">
            <w:r>
              <w:t xml:space="preserve">5 </w:t>
            </w:r>
            <w:r>
              <w:rPr>
                <w:lang w:val="en-US"/>
              </w:rPr>
              <w:t xml:space="preserve">mg </w:t>
            </w:r>
            <w:r>
              <w:t>веднъж дневно</w:t>
            </w:r>
          </w:p>
        </w:tc>
      </w:tr>
      <w:tr w:rsidR="0073020D" w14:paraId="22E5961D" w14:textId="77777777" w:rsidTr="0073020D">
        <w:tc>
          <w:tcPr>
            <w:tcW w:w="3166" w:type="dxa"/>
          </w:tcPr>
          <w:p w14:paraId="774EACB1" w14:textId="0C1A09FE" w:rsidR="0073020D" w:rsidRDefault="0073020D" w:rsidP="0073020D">
            <w:r>
              <w:t>(Умерена</w:t>
            </w:r>
          </w:p>
        </w:tc>
        <w:tc>
          <w:tcPr>
            <w:tcW w:w="3167" w:type="dxa"/>
          </w:tcPr>
          <w:p w14:paraId="2044007B" w14:textId="5DFE0A2C" w:rsidR="0073020D" w:rsidRDefault="0073020D" w:rsidP="0073020D">
            <w:r>
              <w:t>30-49</w:t>
            </w:r>
          </w:p>
        </w:tc>
        <w:tc>
          <w:tcPr>
            <w:tcW w:w="3167" w:type="dxa"/>
          </w:tcPr>
          <w:p w14:paraId="6BD34406" w14:textId="75D91CF6" w:rsidR="0073020D" w:rsidRDefault="0073020D" w:rsidP="0073020D">
            <w:r>
              <w:t xml:space="preserve">5 </w:t>
            </w:r>
            <w:r>
              <w:rPr>
                <w:lang w:val="en-US"/>
              </w:rPr>
              <w:t xml:space="preserve">mg </w:t>
            </w:r>
            <w:r>
              <w:t>веднъж на всеки 2 дни</w:t>
            </w:r>
          </w:p>
        </w:tc>
      </w:tr>
      <w:tr w:rsidR="0073020D" w14:paraId="38ED7314" w14:textId="77777777" w:rsidTr="0073020D">
        <w:tc>
          <w:tcPr>
            <w:tcW w:w="3166" w:type="dxa"/>
          </w:tcPr>
          <w:p w14:paraId="5CBC9ACB" w14:textId="2539078C" w:rsidR="0073020D" w:rsidRDefault="0073020D" w:rsidP="0073020D">
            <w:r>
              <w:t>(Тежка</w:t>
            </w:r>
          </w:p>
        </w:tc>
        <w:tc>
          <w:tcPr>
            <w:tcW w:w="3167" w:type="dxa"/>
          </w:tcPr>
          <w:p w14:paraId="4A8B49CB" w14:textId="17E35B35" w:rsidR="0073020D" w:rsidRDefault="0073020D" w:rsidP="0073020D">
            <w:r>
              <w:t>&lt;30</w:t>
            </w:r>
          </w:p>
        </w:tc>
        <w:tc>
          <w:tcPr>
            <w:tcW w:w="3167" w:type="dxa"/>
          </w:tcPr>
          <w:p w14:paraId="5C9AC7BD" w14:textId="082EAF76" w:rsidR="0073020D" w:rsidRDefault="0073020D" w:rsidP="0073020D">
            <w:r>
              <w:t xml:space="preserve">5 </w:t>
            </w:r>
            <w:r>
              <w:rPr>
                <w:lang w:val="en-US"/>
              </w:rPr>
              <w:t xml:space="preserve">mg </w:t>
            </w:r>
            <w:r>
              <w:t xml:space="preserve">веднъж на всеки </w:t>
            </w:r>
            <w:r>
              <w:rPr>
                <w:i/>
                <w:iCs/>
              </w:rPr>
              <w:t>3</w:t>
            </w:r>
            <w:r>
              <w:t xml:space="preserve"> дни</w:t>
            </w:r>
          </w:p>
        </w:tc>
      </w:tr>
      <w:tr w:rsidR="0073020D" w14:paraId="4E35BB6D" w14:textId="77777777" w:rsidTr="0073020D">
        <w:tc>
          <w:tcPr>
            <w:tcW w:w="3166" w:type="dxa"/>
          </w:tcPr>
          <w:p w14:paraId="0864A2CE" w14:textId="020E05FB" w:rsidR="0073020D" w:rsidRDefault="0073020D" w:rsidP="0073020D">
            <w:r>
              <w:t>Пациенти в краен стадий на бъбречно заболяване - Пациенти на диализа</w:t>
            </w:r>
          </w:p>
        </w:tc>
        <w:tc>
          <w:tcPr>
            <w:tcW w:w="3167" w:type="dxa"/>
          </w:tcPr>
          <w:p w14:paraId="17C678D4" w14:textId="6F0825ED" w:rsidR="0073020D" w:rsidRDefault="0073020D" w:rsidP="0073020D">
            <w:r>
              <w:t>&lt; 10</w:t>
            </w:r>
          </w:p>
        </w:tc>
        <w:tc>
          <w:tcPr>
            <w:tcW w:w="3167" w:type="dxa"/>
          </w:tcPr>
          <w:p w14:paraId="34161523" w14:textId="26A3FAB3" w:rsidR="0073020D" w:rsidRDefault="0073020D" w:rsidP="0073020D">
            <w:r>
              <w:t>Противопоказано</w:t>
            </w:r>
          </w:p>
        </w:tc>
      </w:tr>
    </w:tbl>
    <w:p w14:paraId="7D6DD65D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При педиатрични пациенти с бъбречно увреждане, дозата трябва да се адаптира индивидуално в зависимост от бъбречния клирънс и телесната маса на пациента. Няма конкретни данни за деца с бъбречно увреждане.</w:t>
      </w:r>
    </w:p>
    <w:p w14:paraId="53954F3F" w14:textId="77777777" w:rsidR="0073020D" w:rsidRDefault="0073020D" w:rsidP="0073020D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9C5ADD6" w14:textId="14F69A9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i/>
          <w:iCs/>
          <w:color w:val="000000"/>
          <w:u w:val="single"/>
          <w:lang w:eastAsia="bg-BG"/>
        </w:rPr>
        <w:t>Чернодробно увреждане</w:t>
      </w:r>
    </w:p>
    <w:p w14:paraId="2FAAD4EB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Не се налага промяна на дозата при пациенти само с чернодробно увреждане. При пациенти с чернодробно и бъбречно увреждане се препоръчва промяна на дозата (вж. Бъбречно увреждане).</w:t>
      </w:r>
    </w:p>
    <w:p w14:paraId="6E630A00" w14:textId="77777777" w:rsidR="0073020D" w:rsidRDefault="0073020D" w:rsidP="0073020D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7B6FDAF" w14:textId="13924B64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522EF2E6" w14:textId="220E0D2A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u w:val="single"/>
          <w:lang w:eastAsia="bg-BG"/>
        </w:rPr>
        <w:t>Деца от б до 12 годишна възраст:</w:t>
      </w:r>
    </w:p>
    <w:p w14:paraId="6E29309A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 xml:space="preserve">Препоръчаната дневна доза е 5 </w:t>
      </w:r>
      <w:r w:rsidRPr="0073020D">
        <w:rPr>
          <w:rFonts w:eastAsia="Times New Roman" w:cs="Arial"/>
          <w:color w:val="000000"/>
          <w:lang w:val="en-US"/>
        </w:rPr>
        <w:t xml:space="preserve">mg </w:t>
      </w:r>
      <w:r w:rsidRPr="0073020D">
        <w:rPr>
          <w:rFonts w:eastAsia="Times New Roman" w:cs="Arial"/>
          <w:color w:val="000000"/>
          <w:lang w:eastAsia="bg-BG"/>
        </w:rPr>
        <w:t xml:space="preserve">(10 </w:t>
      </w:r>
      <w:r w:rsidRPr="0073020D">
        <w:rPr>
          <w:rFonts w:eastAsia="Times New Roman" w:cs="Arial"/>
          <w:color w:val="000000"/>
          <w:lang w:val="en-US"/>
        </w:rPr>
        <w:t xml:space="preserve">ml </w:t>
      </w:r>
      <w:r w:rsidRPr="0073020D">
        <w:rPr>
          <w:rFonts w:eastAsia="Times New Roman" w:cs="Arial"/>
          <w:color w:val="000000"/>
          <w:lang w:eastAsia="bg-BG"/>
        </w:rPr>
        <w:t>разтвор).</w:t>
      </w:r>
    </w:p>
    <w:p w14:paraId="1B5A4901" w14:textId="77777777" w:rsidR="0073020D" w:rsidRDefault="0073020D" w:rsidP="0073020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D3A75FD" w14:textId="6883978F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u w:val="single"/>
          <w:lang w:eastAsia="bg-BG"/>
        </w:rPr>
        <w:t>Деца от 2 до 6 годишна възраст:</w:t>
      </w:r>
    </w:p>
    <w:p w14:paraId="06CD3013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 xml:space="preserve">Дневната препоръчана доза е 2,5 </w:t>
      </w:r>
      <w:r w:rsidRPr="0073020D">
        <w:rPr>
          <w:rFonts w:eastAsia="Times New Roman" w:cs="Arial"/>
          <w:color w:val="000000"/>
          <w:lang w:val="en-US"/>
        </w:rPr>
        <w:t xml:space="preserve">mg </w:t>
      </w:r>
      <w:r w:rsidRPr="0073020D">
        <w:rPr>
          <w:rFonts w:eastAsia="Times New Roman" w:cs="Arial"/>
          <w:color w:val="000000"/>
          <w:lang w:eastAsia="bg-BG"/>
        </w:rPr>
        <w:t xml:space="preserve">левоцетиризин дневно, разделена на две отделни дози по 1,25 </w:t>
      </w:r>
      <w:r w:rsidRPr="0073020D">
        <w:rPr>
          <w:rFonts w:eastAsia="Times New Roman" w:cs="Arial"/>
          <w:color w:val="000000"/>
          <w:lang w:val="en-US"/>
        </w:rPr>
        <w:t xml:space="preserve">mg </w:t>
      </w:r>
      <w:r w:rsidRPr="0073020D">
        <w:rPr>
          <w:rFonts w:eastAsia="Times New Roman" w:cs="Arial"/>
          <w:color w:val="000000"/>
          <w:lang w:eastAsia="bg-BG"/>
        </w:rPr>
        <w:t xml:space="preserve">всяка. 2,5 </w:t>
      </w:r>
      <w:r w:rsidRPr="0073020D">
        <w:rPr>
          <w:rFonts w:eastAsia="Times New Roman" w:cs="Arial"/>
          <w:color w:val="000000"/>
          <w:lang w:val="en-US"/>
        </w:rPr>
        <w:t xml:space="preserve">ml </w:t>
      </w:r>
      <w:r w:rsidRPr="0073020D">
        <w:rPr>
          <w:rFonts w:eastAsia="Times New Roman" w:cs="Arial"/>
          <w:color w:val="000000"/>
          <w:lang w:eastAsia="bg-BG"/>
        </w:rPr>
        <w:t>разтвор два пъти дневно (половин мерителна лъжичка два пъти дневно).</w:t>
      </w:r>
    </w:p>
    <w:p w14:paraId="7245F3B6" w14:textId="77777777" w:rsidR="0073020D" w:rsidRDefault="0073020D" w:rsidP="0073020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8B9EF1F" w14:textId="71AF6F19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u w:val="single"/>
          <w:lang w:eastAsia="bg-BG"/>
        </w:rPr>
        <w:t>Деца под 2 годишна възраст:</w:t>
      </w:r>
    </w:p>
    <w:p w14:paraId="60171DCD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Дори и да съществуват някои клинични данни при деца на възраст от 6 месеца до 12 години (вж. точки 4.8, 5.1 и 5.2), тези данни не са достатъчни, за да подкрепят приложението на левоцетиризин при новородени и малки деца на възраст под 2 години (вж. също точка 4.4).</w:t>
      </w:r>
    </w:p>
    <w:p w14:paraId="43C02257" w14:textId="77777777" w:rsidR="0073020D" w:rsidRDefault="0073020D" w:rsidP="0073020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1DF1B62" w14:textId="7AA9160E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Начин на приложение</w:t>
      </w:r>
    </w:p>
    <w:p w14:paraId="172A7D9C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Сиропът може да се приема разреден или неразреден в чаша с вода. Сиропът трябва да се приема през устата веднага след разреждане и може да се приема с или без храна.</w:t>
      </w:r>
    </w:p>
    <w:p w14:paraId="1B99E9BF" w14:textId="77777777" w:rsidR="0073020D" w:rsidRDefault="0073020D" w:rsidP="0073020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42178A7" w14:textId="00A38109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u w:val="single"/>
          <w:lang w:eastAsia="bg-BG"/>
        </w:rPr>
        <w:t>Продължителност на лечението:</w:t>
      </w:r>
    </w:p>
    <w:p w14:paraId="231E743D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 xml:space="preserve">Интермитентният алергичен ринит (симптоми, изпитвани в продължение на по-малко от четири дни в седмицата или за по-малко от четири седмици в годината) трябва да се лекува в зависимост от заболяването и неговата анамнеза; лечението може да се спре веднага след изчезването на симптомите и може да се поднови когато симптомите се появят отново. В случай на персистиращ алергичен ринит (симптоми, изпитвани в продължение на повече от четири дни в седмицата или за повече от четири седмици в годината) може да се назначи продължително лечение на пациента през периода на експозиция към алергена. Има клиничен опит с приложението на 5 </w:t>
      </w:r>
      <w:r w:rsidRPr="0073020D">
        <w:rPr>
          <w:rFonts w:eastAsia="Times New Roman" w:cs="Arial"/>
          <w:color w:val="000000"/>
          <w:lang w:val="en-US"/>
        </w:rPr>
        <w:t xml:space="preserve">mg </w:t>
      </w:r>
      <w:r w:rsidRPr="0073020D">
        <w:rPr>
          <w:rFonts w:eastAsia="Times New Roman" w:cs="Arial"/>
          <w:color w:val="000000"/>
          <w:lang w:eastAsia="bg-BG"/>
        </w:rPr>
        <w:t xml:space="preserve">левоцетиризин за </w:t>
      </w:r>
      <w:r w:rsidRPr="0073020D">
        <w:rPr>
          <w:rFonts w:eastAsia="Times New Roman" w:cs="Arial"/>
          <w:color w:val="000000"/>
          <w:lang w:eastAsia="bg-BG"/>
        </w:rPr>
        <w:lastRenderedPageBreak/>
        <w:t>лечение в продължение на поне 6 месеца. При хронична уртикария и хроничен алергичен ринит съществува клиничен опит за използване на цетиризин (рацемат) за период до 1 година.</w:t>
      </w:r>
    </w:p>
    <w:p w14:paraId="446FE852" w14:textId="77777777" w:rsidR="0073020D" w:rsidRPr="0073020D" w:rsidRDefault="0073020D" w:rsidP="0073020D"/>
    <w:p w14:paraId="5D9E65DA" w14:textId="37CC7594" w:rsidR="009F77A4" w:rsidRDefault="002C50EE" w:rsidP="00387A66">
      <w:pPr>
        <w:pStyle w:val="Heading2"/>
      </w:pPr>
      <w:r>
        <w:t>4.3. Противопоказания</w:t>
      </w:r>
    </w:p>
    <w:p w14:paraId="34A4CAA8" w14:textId="77777777" w:rsidR="0073020D" w:rsidRDefault="0073020D" w:rsidP="0073020D"/>
    <w:p w14:paraId="3EB40F90" w14:textId="77777777" w:rsidR="0073020D" w:rsidRPr="0073020D" w:rsidRDefault="0073020D" w:rsidP="0073020D">
      <w:pPr>
        <w:rPr>
          <w:sz w:val="24"/>
          <w:szCs w:val="24"/>
          <w:lang w:eastAsia="bg-BG"/>
        </w:rPr>
      </w:pPr>
      <w:r w:rsidRPr="0073020D">
        <w:rPr>
          <w:lang w:eastAsia="bg-BG"/>
        </w:rPr>
        <w:t xml:space="preserve">Свръхчувствителност към активното вещество, към цетиризин, към хидроксизин и към други пиперазинови производни или към някое от помощните вещества, изброени в точка 6.1. Тежко бъбречно увреждане и креатининов клирънс под 10 </w:t>
      </w:r>
      <w:r w:rsidRPr="0073020D">
        <w:rPr>
          <w:lang w:val="en-US"/>
        </w:rPr>
        <w:t>ml/min.</w:t>
      </w:r>
    </w:p>
    <w:p w14:paraId="4E64A758" w14:textId="77777777" w:rsidR="0073020D" w:rsidRPr="0073020D" w:rsidRDefault="0073020D" w:rsidP="0073020D"/>
    <w:p w14:paraId="1C27CE53" w14:textId="39C79156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049EBA75" w14:textId="77777777" w:rsidR="0073020D" w:rsidRDefault="0073020D" w:rsidP="0073020D"/>
    <w:p w14:paraId="127B4771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Препоръчва се повишено внимание при употреба на алкохол (вж. точка 4.5).</w:t>
      </w:r>
    </w:p>
    <w:p w14:paraId="06FED213" w14:textId="77777777" w:rsidR="0073020D" w:rsidRPr="0073020D" w:rsidRDefault="0073020D" w:rsidP="0073020D">
      <w:pPr>
        <w:rPr>
          <w:rFonts w:cs="Arial"/>
        </w:rPr>
      </w:pPr>
    </w:p>
    <w:p w14:paraId="5998836F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Препоръчва се повишено внимание при пациенти с предразполагащи фактори за ретенция на урината (напр. лезия на гръбначния стълб, хиперплазия на простатата), тъй като левоцетиризин може да повиши риска от ретенция.</w:t>
      </w:r>
    </w:p>
    <w:p w14:paraId="717E8CA8" w14:textId="77777777" w:rsidR="0073020D" w:rsidRDefault="0073020D" w:rsidP="0073020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AF72765" w14:textId="2C9BD672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Препоръчва се повишено внимание при пациенти с епилепсия и пациенти с риск от конвулсии тъй като левоцетиризин може да предизвика влошаване на пристъпите.</w:t>
      </w:r>
    </w:p>
    <w:p w14:paraId="1F0CA38C" w14:textId="77777777" w:rsidR="0073020D" w:rsidRDefault="0073020D" w:rsidP="0073020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6AF2104" w14:textId="1EE7008B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Отговорът на кожни тестове за алергия се инхибира от антихистамините и е необходим период на изчистване (от 3 дни) преди да бъдат направени.</w:t>
      </w:r>
    </w:p>
    <w:p w14:paraId="07924955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При прекратяване приема на левоцетиризин може да се появи пруритус, дори и ако тези симптоми не са били наблюдавани преди започване на лечението. Симптомите могат да изчезнат спонтанно. В някои случаи симптомите могат да бъдат интензивни и да изискват възстановяване на лечението. Симптомите трябва да преминат, когато лечението започне отново.</w:t>
      </w:r>
    </w:p>
    <w:p w14:paraId="4C0D5C24" w14:textId="77777777" w:rsidR="0073020D" w:rsidRDefault="0073020D" w:rsidP="0073020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214022C" w14:textId="42EAFD89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Педиатрична популация</w:t>
      </w:r>
    </w:p>
    <w:p w14:paraId="24A3FF9E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Въпреки наличието на някои клинични данни за деца на възраст от 6 месеца до 12 години (виж точки 4,8, 5.1 и 5.2), тези данни не са достатъчни да подкрепят употребата на левоцетиризин при бебета и новородени на възраст под 2 години.</w:t>
      </w:r>
    </w:p>
    <w:p w14:paraId="5F1A17C6" w14:textId="77777777" w:rsidR="0073020D" w:rsidRDefault="0073020D" w:rsidP="0073020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2921BA0" w14:textId="3794B615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Помощни вещества:</w:t>
      </w:r>
    </w:p>
    <w:p w14:paraId="7A3AB10C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Зенаро съдържа малтитол: пациенти с редки наследствени проблеми на непоносимост към фруктоза не трябва да приемат това лекарство.</w:t>
      </w:r>
    </w:p>
    <w:p w14:paraId="38A71717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 xml:space="preserve">Това лекарство съдържа 100 </w:t>
      </w:r>
      <w:r w:rsidRPr="0073020D">
        <w:rPr>
          <w:rFonts w:eastAsia="Times New Roman" w:cs="Arial"/>
          <w:color w:val="000000"/>
          <w:lang w:val="en-US"/>
        </w:rPr>
        <w:t xml:space="preserve">mg </w:t>
      </w:r>
      <w:r w:rsidRPr="0073020D">
        <w:rPr>
          <w:rFonts w:eastAsia="Times New Roman" w:cs="Arial"/>
          <w:color w:val="000000"/>
          <w:lang w:eastAsia="bg-BG"/>
        </w:rPr>
        <w:t xml:space="preserve">пропиленгликол в 1 </w:t>
      </w:r>
      <w:r w:rsidRPr="0073020D">
        <w:rPr>
          <w:rFonts w:eastAsia="Times New Roman" w:cs="Arial"/>
          <w:color w:val="000000"/>
          <w:lang w:val="en-US"/>
        </w:rPr>
        <w:t xml:space="preserve">ml </w:t>
      </w:r>
      <w:r w:rsidRPr="0073020D">
        <w:rPr>
          <w:rFonts w:eastAsia="Times New Roman" w:cs="Arial"/>
          <w:color w:val="000000"/>
          <w:lang w:eastAsia="bg-BG"/>
        </w:rPr>
        <w:t xml:space="preserve">(1 </w:t>
      </w:r>
      <w:r w:rsidRPr="0073020D">
        <w:rPr>
          <w:rFonts w:eastAsia="Times New Roman" w:cs="Arial"/>
          <w:color w:val="000000"/>
          <w:lang w:val="en-US"/>
        </w:rPr>
        <w:t xml:space="preserve">g </w:t>
      </w:r>
      <w:r w:rsidRPr="0073020D">
        <w:rPr>
          <w:rFonts w:eastAsia="Times New Roman" w:cs="Arial"/>
          <w:color w:val="000000"/>
          <w:lang w:eastAsia="bg-BG"/>
        </w:rPr>
        <w:t xml:space="preserve">пропиленгликол на най-високата индивидуална доза от 10 </w:t>
      </w:r>
      <w:r w:rsidRPr="0073020D">
        <w:rPr>
          <w:rFonts w:eastAsia="Times New Roman" w:cs="Arial"/>
          <w:color w:val="000000"/>
          <w:lang w:val="en-US"/>
        </w:rPr>
        <w:t xml:space="preserve">ml </w:t>
      </w:r>
      <w:r w:rsidRPr="0073020D">
        <w:rPr>
          <w:rFonts w:eastAsia="Times New Roman" w:cs="Arial"/>
          <w:color w:val="000000"/>
          <w:lang w:eastAsia="bg-BG"/>
        </w:rPr>
        <w:t xml:space="preserve">разтвор). Едновременното приложение с всеки субстрат на алкохолна дехидрогеназа, като например етанол, може да предизвика нежелани реакции при деца на възраст под 5 години. Лекарско наблюдение е необходим при педиатрични пациенти с увредена бъбречна или чернодробна функция на възраст от 2 до 6 години с тегло под 10 </w:t>
      </w:r>
      <w:r w:rsidRPr="0073020D">
        <w:rPr>
          <w:rFonts w:eastAsia="Times New Roman" w:cs="Arial"/>
          <w:color w:val="000000"/>
          <w:lang w:val="en-US"/>
        </w:rPr>
        <w:t xml:space="preserve">kg </w:t>
      </w:r>
      <w:r w:rsidRPr="0073020D">
        <w:rPr>
          <w:rFonts w:eastAsia="Times New Roman" w:cs="Arial"/>
          <w:color w:val="000000"/>
          <w:lang w:eastAsia="bg-BG"/>
        </w:rPr>
        <w:t xml:space="preserve">и при педиатрични пациенти с увредена бъбречна или чернодробна функция на възраст от 6 до 12 години с тегло под 20 </w:t>
      </w:r>
      <w:r w:rsidRPr="0073020D">
        <w:rPr>
          <w:rFonts w:eastAsia="Times New Roman" w:cs="Arial"/>
          <w:color w:val="000000"/>
          <w:lang w:val="en-US"/>
        </w:rPr>
        <w:t xml:space="preserve">kg </w:t>
      </w:r>
      <w:r w:rsidRPr="0073020D">
        <w:rPr>
          <w:rFonts w:eastAsia="Times New Roman" w:cs="Arial"/>
          <w:color w:val="000000"/>
          <w:lang w:eastAsia="bg-BG"/>
        </w:rPr>
        <w:t>тъй като са докладвани различни нежелани реакции, дължащи се на пропиленгликол като бъбречна дисфункция (остра тубуларна некроза), остра бъбречна недостатъчност и чернодробна дисфункция.</w:t>
      </w:r>
    </w:p>
    <w:p w14:paraId="7D2D9F66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 xml:space="preserve">Това лекарство съдържа по-малко от 1 </w:t>
      </w:r>
      <w:r w:rsidRPr="0073020D">
        <w:rPr>
          <w:rFonts w:eastAsia="Times New Roman" w:cs="Arial"/>
          <w:color w:val="000000"/>
          <w:lang w:val="en-US"/>
        </w:rPr>
        <w:t xml:space="preserve">mmol </w:t>
      </w:r>
      <w:r w:rsidRPr="0073020D">
        <w:rPr>
          <w:rFonts w:eastAsia="Times New Roman" w:cs="Arial"/>
          <w:color w:val="000000"/>
          <w:lang w:eastAsia="bg-BG"/>
        </w:rPr>
        <w:t xml:space="preserve">натрий (23 </w:t>
      </w:r>
      <w:r w:rsidRPr="0073020D">
        <w:rPr>
          <w:rFonts w:eastAsia="Times New Roman" w:cs="Arial"/>
          <w:color w:val="000000"/>
          <w:lang w:val="en-US"/>
        </w:rPr>
        <w:t xml:space="preserve">mg) </w:t>
      </w:r>
      <w:r w:rsidRPr="0073020D">
        <w:rPr>
          <w:rFonts w:eastAsia="Times New Roman" w:cs="Arial"/>
          <w:color w:val="000000"/>
          <w:lang w:eastAsia="bg-BG"/>
        </w:rPr>
        <w:t xml:space="preserve">в най-високата индивидуална доза от 10 </w:t>
      </w:r>
      <w:r w:rsidRPr="0073020D">
        <w:rPr>
          <w:rFonts w:eastAsia="Times New Roman" w:cs="Arial"/>
          <w:color w:val="000000"/>
          <w:lang w:val="en-US"/>
        </w:rPr>
        <w:t xml:space="preserve">ml </w:t>
      </w:r>
      <w:r w:rsidRPr="0073020D">
        <w:rPr>
          <w:rFonts w:eastAsia="Times New Roman" w:cs="Arial"/>
          <w:color w:val="000000"/>
          <w:lang w:eastAsia="bg-BG"/>
        </w:rPr>
        <w:t>разтвор, така че на практика е „без натрий“.</w:t>
      </w:r>
    </w:p>
    <w:p w14:paraId="03DAB659" w14:textId="77777777" w:rsidR="0073020D" w:rsidRPr="0073020D" w:rsidRDefault="0073020D" w:rsidP="0073020D"/>
    <w:p w14:paraId="1DA47448" w14:textId="381F54E1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60B7D867" w14:textId="77777777" w:rsidR="0073020D" w:rsidRDefault="0073020D" w:rsidP="0073020D"/>
    <w:p w14:paraId="6794157B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 xml:space="preserve">Няма проучвания за взаимодействията на левоцетиризин (включително с индукторите на </w:t>
      </w:r>
      <w:r w:rsidRPr="0073020D">
        <w:rPr>
          <w:rFonts w:eastAsia="Times New Roman" w:cs="Arial"/>
          <w:color w:val="000000"/>
          <w:lang w:val="en-US"/>
        </w:rPr>
        <w:t xml:space="preserve">CYP3A4); </w:t>
      </w:r>
      <w:r w:rsidRPr="0073020D">
        <w:rPr>
          <w:rFonts w:eastAsia="Times New Roman" w:cs="Arial"/>
          <w:color w:val="000000"/>
          <w:lang w:eastAsia="bg-BG"/>
        </w:rPr>
        <w:t xml:space="preserve">проучвания с рацемат съдържащ цетиризин не показват клинично значими нежелани взаимодействия (с антипирин, псевдоефедрин, циметидин, кетоконазол, еритромицин, азитромицин, глипизид и диазепам). В проучване с многократни дози теофилин (доза от 400 </w:t>
      </w:r>
      <w:r w:rsidRPr="0073020D">
        <w:rPr>
          <w:rFonts w:eastAsia="Times New Roman" w:cs="Arial"/>
          <w:color w:val="000000"/>
          <w:lang w:val="en-US"/>
        </w:rPr>
        <w:t xml:space="preserve">mg </w:t>
      </w:r>
      <w:r w:rsidRPr="0073020D">
        <w:rPr>
          <w:rFonts w:eastAsia="Times New Roman" w:cs="Arial"/>
          <w:color w:val="000000"/>
          <w:lang w:eastAsia="bg-BG"/>
        </w:rPr>
        <w:t>веднъж дневно) е наблюдавано слабо намаление на клирънса на цетиризин (16%), като поведението на теофилин не се променя при едновременното приложение на цетиризин.</w:t>
      </w:r>
    </w:p>
    <w:p w14:paraId="3708F955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 xml:space="preserve">В проучване с многократни дози ритонавир (600 </w:t>
      </w:r>
      <w:r w:rsidRPr="0073020D">
        <w:rPr>
          <w:rFonts w:eastAsia="Times New Roman" w:cs="Arial"/>
          <w:color w:val="000000"/>
          <w:lang w:val="en-US"/>
        </w:rPr>
        <w:t xml:space="preserve">mg </w:t>
      </w:r>
      <w:r w:rsidRPr="0073020D">
        <w:rPr>
          <w:rFonts w:eastAsia="Times New Roman" w:cs="Arial"/>
          <w:color w:val="000000"/>
          <w:lang w:eastAsia="bg-BG"/>
        </w:rPr>
        <w:t xml:space="preserve">два пъти дневно) и цетиризин (10 </w:t>
      </w:r>
      <w:r w:rsidRPr="0073020D">
        <w:rPr>
          <w:rFonts w:eastAsia="Times New Roman" w:cs="Arial"/>
          <w:color w:val="000000"/>
          <w:lang w:val="en-US"/>
        </w:rPr>
        <w:t xml:space="preserve">mg </w:t>
      </w:r>
      <w:r w:rsidRPr="0073020D">
        <w:rPr>
          <w:rFonts w:eastAsia="Times New Roman" w:cs="Arial"/>
          <w:color w:val="000000"/>
          <w:lang w:eastAsia="bg-BG"/>
        </w:rPr>
        <w:t>дневно), степента на експозиция на цетиризин е била повишена с около 40%, докато диспозицията на ритонавир е била леко понижена (-11%) при по-нататъшно съпътстващо приложение на цетиризин.</w:t>
      </w:r>
    </w:p>
    <w:p w14:paraId="0E1637D7" w14:textId="77777777" w:rsidR="0073020D" w:rsidRDefault="0073020D" w:rsidP="0073020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E521010" w14:textId="73FB631D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Степента на абсорбция на левоцетиризин не се намалява от храна, въпреки че скоростта е понижена.</w:t>
      </w:r>
    </w:p>
    <w:p w14:paraId="237CBE26" w14:textId="77777777" w:rsidR="0073020D" w:rsidRDefault="0073020D" w:rsidP="0073020D">
      <w:pPr>
        <w:rPr>
          <w:rFonts w:eastAsia="Times New Roman" w:cs="Arial"/>
          <w:color w:val="000000"/>
          <w:lang w:eastAsia="bg-BG"/>
        </w:rPr>
      </w:pPr>
    </w:p>
    <w:p w14:paraId="79C1B59F" w14:textId="0568E097" w:rsidR="0073020D" w:rsidRPr="0073020D" w:rsidRDefault="0073020D" w:rsidP="0073020D">
      <w:pPr>
        <w:rPr>
          <w:rFonts w:eastAsia="Times New Roman" w:cs="Arial"/>
          <w:color w:val="000000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При чувствителни пациенти, едновременната употреба на цетиризин или левоцетиризин, алкохол или други депресанти на ЦНС може да понижи вниманието и да наруши изпълнението на дейностите.</w:t>
      </w:r>
    </w:p>
    <w:p w14:paraId="028E5E07" w14:textId="77777777" w:rsidR="0073020D" w:rsidRPr="0073020D" w:rsidRDefault="0073020D" w:rsidP="0073020D"/>
    <w:p w14:paraId="48846BBA" w14:textId="2507FDE7" w:rsidR="009F77A4" w:rsidRDefault="002C50EE" w:rsidP="00387A66">
      <w:pPr>
        <w:pStyle w:val="Heading2"/>
      </w:pPr>
      <w:r>
        <w:t>4.6. Фертилитет, бременност и кърмене</w:t>
      </w:r>
    </w:p>
    <w:p w14:paraId="66541449" w14:textId="77777777" w:rsidR="0073020D" w:rsidRDefault="0073020D" w:rsidP="0073020D"/>
    <w:p w14:paraId="38B3E349" w14:textId="77777777" w:rsidR="0073020D" w:rsidRPr="0073020D" w:rsidRDefault="0073020D" w:rsidP="0073020D">
      <w:pPr>
        <w:pStyle w:val="Heading3"/>
        <w:rPr>
          <w:rFonts w:eastAsia="Times New Roman"/>
          <w:u w:val="single"/>
          <w:lang w:eastAsia="bg-BG"/>
        </w:rPr>
      </w:pPr>
      <w:r w:rsidRPr="0073020D">
        <w:rPr>
          <w:rFonts w:eastAsia="Times New Roman"/>
          <w:u w:val="single"/>
          <w:lang w:eastAsia="bg-BG"/>
        </w:rPr>
        <w:t>Бременност</w:t>
      </w:r>
    </w:p>
    <w:p w14:paraId="682338BD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Няма или има ограничени клинични данни за употребата на левоцетиризин при бременни (по- малко от 300 бременности). Обаче за цетиризин, рацемат на левоцетиризин, множество данни (резултати от повече от 1000 бременности) не установяват малформации или фето/неонатална токсичност. Проучванията при животни не показват пряко или непряко вредно въздействие върху бременността, ембрионалното/фетално развитие, раждането или постнаталното развитие (вж. точка 5.3).</w:t>
      </w:r>
    </w:p>
    <w:p w14:paraId="2A44A6F8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Употребата на левоцитиризин по време на бременност може да се обмисли, ако е необходимо.</w:t>
      </w:r>
    </w:p>
    <w:p w14:paraId="46D4F555" w14:textId="77777777" w:rsidR="0073020D" w:rsidRDefault="0073020D" w:rsidP="0073020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6C638AF" w14:textId="7F965F5A" w:rsidR="0073020D" w:rsidRPr="0073020D" w:rsidRDefault="0073020D" w:rsidP="0073020D">
      <w:pPr>
        <w:pStyle w:val="Heading3"/>
        <w:rPr>
          <w:rFonts w:eastAsia="Times New Roman"/>
          <w:u w:val="single"/>
          <w:lang w:eastAsia="bg-BG"/>
        </w:rPr>
      </w:pPr>
      <w:r w:rsidRPr="0073020D">
        <w:rPr>
          <w:rFonts w:eastAsia="Times New Roman"/>
          <w:u w:val="single"/>
          <w:lang w:eastAsia="bg-BG"/>
        </w:rPr>
        <w:t>Кърмене</w:t>
      </w:r>
    </w:p>
    <w:p w14:paraId="1D795B15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Цитиризин, рацемат на левоцитиризин се екскретира в човешкото мляко. Следователно, екскрецията на левоцетиризин в човешкото мляко е подобна. Нежелани реакции свързани с левоцитиризин може да се наблюдават при кърмени бебета. Следователно, предписването на левоцетиризин при кърмещи жени трябва да бъде с повишено внимание.</w:t>
      </w:r>
    </w:p>
    <w:p w14:paraId="2FA59D75" w14:textId="77777777" w:rsidR="0073020D" w:rsidRDefault="0073020D" w:rsidP="0073020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3A7EF5F" w14:textId="7741BABB" w:rsidR="0073020D" w:rsidRPr="0073020D" w:rsidRDefault="0073020D" w:rsidP="0073020D">
      <w:pPr>
        <w:pStyle w:val="Heading3"/>
        <w:rPr>
          <w:rFonts w:eastAsia="Times New Roman"/>
          <w:u w:val="single"/>
          <w:lang w:eastAsia="bg-BG"/>
        </w:rPr>
      </w:pPr>
      <w:r w:rsidRPr="0073020D">
        <w:rPr>
          <w:rFonts w:eastAsia="Times New Roman"/>
          <w:u w:val="single"/>
          <w:lang w:eastAsia="bg-BG"/>
        </w:rPr>
        <w:t>Фертилитет</w:t>
      </w:r>
    </w:p>
    <w:p w14:paraId="6C96F8EF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Няма налични данни за левоцетиризин.</w:t>
      </w:r>
    </w:p>
    <w:p w14:paraId="571FF06E" w14:textId="77777777" w:rsidR="0073020D" w:rsidRPr="0073020D" w:rsidRDefault="0073020D" w:rsidP="0073020D"/>
    <w:p w14:paraId="321AAB00" w14:textId="3EA4494E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1BF06054" w14:textId="77777777" w:rsidR="0073020D" w:rsidRDefault="0073020D" w:rsidP="0073020D"/>
    <w:p w14:paraId="3A9D2967" w14:textId="619CF421" w:rsidR="0073020D" w:rsidRDefault="0073020D" w:rsidP="0073020D">
      <w:r>
        <w:lastRenderedPageBreak/>
        <w:t>Сравнителни клинични проучвания показват, че левоцетиризин , в препоръчаната доза, не нарушава вниманието, реакциите или способността за шофиране. Въпреки това някои пациенти при употреба на левоцетиризин могат да почувстват сънливост, умора и астения. Следователно, пациенти възнамеряващи да шофират, да извършват потенциално опасни дейности или да работят с машини, трябва да имат предвид ефекта на лекарството.</w:t>
      </w:r>
    </w:p>
    <w:p w14:paraId="7539A765" w14:textId="77777777" w:rsidR="0073020D" w:rsidRPr="0073020D" w:rsidRDefault="0073020D" w:rsidP="0073020D"/>
    <w:p w14:paraId="136C86B8" w14:textId="3F9D0CA1" w:rsidR="009F77A4" w:rsidRDefault="002C50EE" w:rsidP="00387A66">
      <w:pPr>
        <w:pStyle w:val="Heading2"/>
      </w:pPr>
      <w:r>
        <w:t>4.8. Нежелани лекарствени реакции</w:t>
      </w:r>
    </w:p>
    <w:p w14:paraId="775D2A0B" w14:textId="77777777" w:rsidR="0073020D" w:rsidRDefault="0073020D" w:rsidP="0073020D"/>
    <w:p w14:paraId="4594FB60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u w:val="single"/>
          <w:lang w:eastAsia="bg-BG"/>
        </w:rPr>
        <w:t>Клинични проучвания</w:t>
      </w:r>
    </w:p>
    <w:p w14:paraId="7F7C6F88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i/>
          <w:iCs/>
          <w:color w:val="000000"/>
          <w:lang w:eastAsia="bg-BG"/>
        </w:rPr>
        <w:t>Възрастни и юноши над 12 години</w:t>
      </w:r>
    </w:p>
    <w:p w14:paraId="63CFB68E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 xml:space="preserve">В терапевтични изпитвания с мъже и жени на възраст 12 до 71 години, 15,1% от пациентите в групата на 5 </w:t>
      </w:r>
      <w:r w:rsidRPr="0073020D">
        <w:rPr>
          <w:rFonts w:eastAsia="Times New Roman" w:cs="Arial"/>
          <w:color w:val="000000"/>
          <w:lang w:val="en-US"/>
        </w:rPr>
        <w:t xml:space="preserve">mg </w:t>
      </w:r>
      <w:r w:rsidRPr="0073020D">
        <w:rPr>
          <w:rFonts w:eastAsia="Times New Roman" w:cs="Arial"/>
          <w:color w:val="000000"/>
          <w:lang w:eastAsia="bg-BG"/>
        </w:rPr>
        <w:t>левоцетиризин са съобщили за поне една нежелана лекарствена реакция в сравнение с 11,3% в групата на плацебо. 91,6% от тези нежелани лекарствени реакции са леки до умерено тежки.</w:t>
      </w:r>
    </w:p>
    <w:p w14:paraId="329B530F" w14:textId="72974358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 xml:space="preserve">В терапевтични изпитвания преустановяването на терапията поради нежелани лекарствени реакции е 1,0% (9/935) при левоцетиризин 5 </w:t>
      </w:r>
      <w:r w:rsidRPr="0073020D">
        <w:rPr>
          <w:rFonts w:eastAsia="Times New Roman" w:cs="Arial"/>
          <w:color w:val="000000"/>
          <w:lang w:val="en-US"/>
        </w:rPr>
        <w:t xml:space="preserve">mg </w:t>
      </w:r>
      <w:r w:rsidRPr="0073020D">
        <w:rPr>
          <w:rFonts w:eastAsia="Times New Roman" w:cs="Arial"/>
          <w:color w:val="000000"/>
          <w:lang w:eastAsia="bg-BG"/>
        </w:rPr>
        <w:t>и 1,8% (14/771) при плацебо.</w:t>
      </w:r>
    </w:p>
    <w:p w14:paraId="4C5551B6" w14:textId="77777777" w:rsidR="0073020D" w:rsidRPr="0073020D" w:rsidRDefault="0073020D" w:rsidP="0073020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BCE2864" w14:textId="0035FD8D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 xml:space="preserve">Клиничните терапевтични изпитвания с левоцетиризин включват 935 участници, приемали лекарствения продукт в препоръчителната доза от 5 </w:t>
      </w:r>
      <w:r w:rsidRPr="0073020D">
        <w:rPr>
          <w:rFonts w:eastAsia="Times New Roman" w:cs="Arial"/>
          <w:color w:val="000000"/>
          <w:lang w:val="en-US"/>
        </w:rPr>
        <w:t xml:space="preserve">mg </w:t>
      </w:r>
      <w:r w:rsidRPr="0073020D">
        <w:rPr>
          <w:rFonts w:eastAsia="Times New Roman" w:cs="Arial"/>
          <w:color w:val="000000"/>
          <w:lang w:eastAsia="bg-BG"/>
        </w:rPr>
        <w:t xml:space="preserve">дневно. В тази група, се съобщава честота на нежелани лекарствени реакции, равна на 1% или повече (чести; ≥1/100 до &lt; 1/10) при приложение на левоцетиризин 5 </w:t>
      </w:r>
      <w:r w:rsidRPr="0073020D">
        <w:rPr>
          <w:rFonts w:eastAsia="Times New Roman" w:cs="Arial"/>
          <w:color w:val="000000"/>
          <w:lang w:val="en-US"/>
        </w:rPr>
        <w:t xml:space="preserve">mg </w:t>
      </w:r>
      <w:r w:rsidRPr="0073020D">
        <w:rPr>
          <w:rFonts w:eastAsia="Times New Roman" w:cs="Arial"/>
          <w:color w:val="000000"/>
          <w:lang w:eastAsia="bg-BG"/>
        </w:rPr>
        <w:t>или плацебо:</w:t>
      </w:r>
    </w:p>
    <w:p w14:paraId="7097B0B1" w14:textId="77777777" w:rsidR="0073020D" w:rsidRDefault="0073020D" w:rsidP="00730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06"/>
        <w:gridCol w:w="3126"/>
      </w:tblGrid>
      <w:tr w:rsidR="0073020D" w14:paraId="455AD147" w14:textId="77777777" w:rsidTr="009B3751">
        <w:tc>
          <w:tcPr>
            <w:tcW w:w="3166" w:type="dxa"/>
            <w:vAlign w:val="bottom"/>
          </w:tcPr>
          <w:p w14:paraId="08B980AB" w14:textId="6430639E" w:rsidR="0073020D" w:rsidRPr="0073020D" w:rsidRDefault="0073020D" w:rsidP="0073020D">
            <w:r w:rsidRPr="0073020D">
              <w:t xml:space="preserve">Предпочитан термин </w:t>
            </w:r>
            <w:r w:rsidRPr="0073020D">
              <w:rPr>
                <w:lang w:val="en-US"/>
              </w:rPr>
              <w:t>(WHOART)</w:t>
            </w:r>
          </w:p>
        </w:tc>
        <w:tc>
          <w:tcPr>
            <w:tcW w:w="3167" w:type="dxa"/>
            <w:vAlign w:val="bottom"/>
          </w:tcPr>
          <w:p w14:paraId="4F89C2F6" w14:textId="2F6A8894" w:rsidR="0073020D" w:rsidRPr="0073020D" w:rsidRDefault="0073020D" w:rsidP="0073020D">
            <w:r w:rsidRPr="0073020D">
              <w:t>Плацебо (</w:t>
            </w:r>
            <w:r w:rsidRPr="0073020D">
              <w:rPr>
                <w:lang w:val="en-US"/>
              </w:rPr>
              <w:t>n</w:t>
            </w:r>
            <w:r w:rsidRPr="0073020D">
              <w:t xml:space="preserve"> = 771)</w:t>
            </w:r>
          </w:p>
        </w:tc>
        <w:tc>
          <w:tcPr>
            <w:tcW w:w="3167" w:type="dxa"/>
            <w:vAlign w:val="bottom"/>
          </w:tcPr>
          <w:p w14:paraId="730942F6" w14:textId="250669FD" w:rsidR="0073020D" w:rsidRPr="0073020D" w:rsidRDefault="0073020D" w:rsidP="0073020D">
            <w:r w:rsidRPr="0073020D">
              <w:t xml:space="preserve">Левоцетиризин 5 </w:t>
            </w:r>
            <w:r w:rsidRPr="0073020D">
              <w:rPr>
                <w:lang w:val="en-US"/>
              </w:rPr>
              <w:t xml:space="preserve">mg </w:t>
            </w:r>
            <w:r w:rsidRPr="0073020D">
              <w:t>(</w:t>
            </w:r>
            <w:r w:rsidRPr="0073020D">
              <w:rPr>
                <w:lang w:val="en-US"/>
              </w:rPr>
              <w:t>n</w:t>
            </w:r>
            <w:r w:rsidRPr="0073020D">
              <w:t xml:space="preserve"> = 935)</w:t>
            </w:r>
          </w:p>
        </w:tc>
      </w:tr>
      <w:tr w:rsidR="0073020D" w14:paraId="0DFFB01B" w14:textId="77777777" w:rsidTr="009B3751">
        <w:tc>
          <w:tcPr>
            <w:tcW w:w="3166" w:type="dxa"/>
            <w:vAlign w:val="bottom"/>
          </w:tcPr>
          <w:p w14:paraId="481B58A6" w14:textId="021CC8AF" w:rsidR="0073020D" w:rsidRPr="0073020D" w:rsidRDefault="0073020D" w:rsidP="0073020D">
            <w:r w:rsidRPr="0073020D">
              <w:t>Главоболие</w:t>
            </w:r>
          </w:p>
        </w:tc>
        <w:tc>
          <w:tcPr>
            <w:tcW w:w="3167" w:type="dxa"/>
            <w:vAlign w:val="bottom"/>
          </w:tcPr>
          <w:p w14:paraId="5C24B98F" w14:textId="254B96C6" w:rsidR="0073020D" w:rsidRPr="0073020D" w:rsidRDefault="0073020D" w:rsidP="0073020D">
            <w:r w:rsidRPr="0073020D">
              <w:t>25 (3,2 %)</w:t>
            </w:r>
          </w:p>
        </w:tc>
        <w:tc>
          <w:tcPr>
            <w:tcW w:w="3167" w:type="dxa"/>
            <w:vAlign w:val="bottom"/>
          </w:tcPr>
          <w:p w14:paraId="07EF9A50" w14:textId="5FE4026C" w:rsidR="0073020D" w:rsidRPr="0073020D" w:rsidRDefault="0073020D" w:rsidP="0073020D">
            <w:r w:rsidRPr="0073020D">
              <w:t>24 (2,6 %)</w:t>
            </w:r>
          </w:p>
        </w:tc>
      </w:tr>
      <w:tr w:rsidR="0073020D" w14:paraId="1E65CD3A" w14:textId="77777777" w:rsidTr="009B3751">
        <w:tc>
          <w:tcPr>
            <w:tcW w:w="3166" w:type="dxa"/>
            <w:vAlign w:val="bottom"/>
          </w:tcPr>
          <w:p w14:paraId="2513A266" w14:textId="493DC792" w:rsidR="0073020D" w:rsidRPr="0073020D" w:rsidRDefault="0073020D" w:rsidP="0073020D">
            <w:r w:rsidRPr="0073020D">
              <w:t>Сънливост</w:t>
            </w:r>
          </w:p>
        </w:tc>
        <w:tc>
          <w:tcPr>
            <w:tcW w:w="3167" w:type="dxa"/>
            <w:vAlign w:val="bottom"/>
          </w:tcPr>
          <w:p w14:paraId="7D49EB6F" w14:textId="621DF9D0" w:rsidR="0073020D" w:rsidRPr="0073020D" w:rsidRDefault="0073020D" w:rsidP="0073020D">
            <w:r w:rsidRPr="0073020D">
              <w:t>11(1,4%)</w:t>
            </w:r>
          </w:p>
        </w:tc>
        <w:tc>
          <w:tcPr>
            <w:tcW w:w="3167" w:type="dxa"/>
            <w:vAlign w:val="bottom"/>
          </w:tcPr>
          <w:p w14:paraId="17D9ED00" w14:textId="33058F3C" w:rsidR="0073020D" w:rsidRPr="0073020D" w:rsidRDefault="0073020D" w:rsidP="0073020D">
            <w:r w:rsidRPr="0073020D">
              <w:t>49 (5,2 %)</w:t>
            </w:r>
          </w:p>
        </w:tc>
      </w:tr>
      <w:tr w:rsidR="0073020D" w14:paraId="653DBDFD" w14:textId="77777777" w:rsidTr="009B3751">
        <w:tc>
          <w:tcPr>
            <w:tcW w:w="3166" w:type="dxa"/>
            <w:vAlign w:val="bottom"/>
          </w:tcPr>
          <w:p w14:paraId="427EF4B3" w14:textId="7754AF22" w:rsidR="0073020D" w:rsidRPr="0073020D" w:rsidRDefault="0073020D" w:rsidP="0073020D">
            <w:r w:rsidRPr="0073020D">
              <w:t>Сухота в устата</w:t>
            </w:r>
          </w:p>
        </w:tc>
        <w:tc>
          <w:tcPr>
            <w:tcW w:w="3167" w:type="dxa"/>
            <w:vAlign w:val="bottom"/>
          </w:tcPr>
          <w:p w14:paraId="1B7E4D92" w14:textId="06CFB05A" w:rsidR="0073020D" w:rsidRPr="0073020D" w:rsidRDefault="0073020D" w:rsidP="0073020D">
            <w:r w:rsidRPr="0073020D">
              <w:t>12(1,6%)</w:t>
            </w:r>
          </w:p>
        </w:tc>
        <w:tc>
          <w:tcPr>
            <w:tcW w:w="3167" w:type="dxa"/>
            <w:vAlign w:val="bottom"/>
          </w:tcPr>
          <w:p w14:paraId="5772AC02" w14:textId="68AD300E" w:rsidR="0073020D" w:rsidRPr="0073020D" w:rsidRDefault="0073020D" w:rsidP="0073020D">
            <w:r w:rsidRPr="0073020D">
              <w:t>24 (2,6%)</w:t>
            </w:r>
          </w:p>
        </w:tc>
      </w:tr>
      <w:tr w:rsidR="0073020D" w14:paraId="40A24721" w14:textId="77777777" w:rsidTr="009B3751">
        <w:tc>
          <w:tcPr>
            <w:tcW w:w="3166" w:type="dxa"/>
            <w:vAlign w:val="bottom"/>
          </w:tcPr>
          <w:p w14:paraId="0CAE7705" w14:textId="57196E3D" w:rsidR="0073020D" w:rsidRPr="0073020D" w:rsidRDefault="0073020D" w:rsidP="0073020D">
            <w:r w:rsidRPr="0073020D">
              <w:t>Умора</w:t>
            </w:r>
          </w:p>
        </w:tc>
        <w:tc>
          <w:tcPr>
            <w:tcW w:w="3167" w:type="dxa"/>
            <w:vAlign w:val="bottom"/>
          </w:tcPr>
          <w:p w14:paraId="1C18A1B5" w14:textId="77777777" w:rsidR="0073020D" w:rsidRPr="0073020D" w:rsidRDefault="0073020D" w:rsidP="0073020D"/>
        </w:tc>
        <w:tc>
          <w:tcPr>
            <w:tcW w:w="3167" w:type="dxa"/>
            <w:vAlign w:val="bottom"/>
          </w:tcPr>
          <w:p w14:paraId="78005AA4" w14:textId="05A6FC3F" w:rsidR="0073020D" w:rsidRPr="0073020D" w:rsidRDefault="0073020D" w:rsidP="0073020D">
            <w:r w:rsidRPr="0073020D">
              <w:t>23(2,5%)</w:t>
            </w:r>
          </w:p>
        </w:tc>
      </w:tr>
    </w:tbl>
    <w:p w14:paraId="475253F7" w14:textId="77777777" w:rsidR="0073020D" w:rsidRDefault="0073020D" w:rsidP="0073020D"/>
    <w:p w14:paraId="2E42EAF7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Наблюдавани са и нежелани лекарствени реакции (нечести; ≥1/1 000 до &lt;1/100) катп асте</w:t>
      </w:r>
    </w:p>
    <w:p w14:paraId="583CDB13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или коремна болка.</w:t>
      </w:r>
    </w:p>
    <w:p w14:paraId="31AD3D79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 xml:space="preserve">Честотата на нежелани лекарствени реакции, изразяващи се в сънливост, умора и астения заедно, е била по-висока (8,1%) при левоцетиризин 5 </w:t>
      </w:r>
      <w:r w:rsidRPr="0073020D">
        <w:rPr>
          <w:rFonts w:eastAsia="Times New Roman" w:cs="Arial"/>
          <w:color w:val="000000"/>
          <w:lang w:val="en-US"/>
        </w:rPr>
        <w:t xml:space="preserve">mg </w:t>
      </w:r>
      <w:r w:rsidRPr="0073020D">
        <w:rPr>
          <w:rFonts w:eastAsia="Times New Roman" w:cs="Arial"/>
          <w:color w:val="000000"/>
          <w:lang w:eastAsia="bg-BG"/>
        </w:rPr>
        <w:t>отколкото при плацебо (3,1 %)</w:t>
      </w:r>
    </w:p>
    <w:p w14:paraId="535CDF75" w14:textId="77777777" w:rsidR="0073020D" w:rsidRPr="0073020D" w:rsidRDefault="0073020D" w:rsidP="0073020D">
      <w:pPr>
        <w:rPr>
          <w:rFonts w:cs="Arial"/>
        </w:rPr>
      </w:pPr>
    </w:p>
    <w:p w14:paraId="67669DC9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66C009E0" w14:textId="77777777" w:rsidR="0073020D" w:rsidRDefault="0073020D" w:rsidP="0073020D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 xml:space="preserve">В две плацебо-контролирани проучвания при педиатрични пациенти на възраст от 6 -11 месеца и на възраст от 1 година до под 6 години, 159 пациенти са били изложени на левоцетиризин в доза от 1,25 </w:t>
      </w:r>
      <w:r w:rsidRPr="0073020D">
        <w:rPr>
          <w:rFonts w:eastAsia="Times New Roman" w:cs="Arial"/>
          <w:color w:val="000000"/>
          <w:lang w:val="en-US"/>
        </w:rPr>
        <w:t xml:space="preserve">mg </w:t>
      </w:r>
      <w:r w:rsidRPr="0073020D">
        <w:rPr>
          <w:rFonts w:eastAsia="Times New Roman" w:cs="Arial"/>
          <w:color w:val="000000"/>
          <w:lang w:eastAsia="bg-BG"/>
        </w:rPr>
        <w:t xml:space="preserve">дневно в продължение на 2 седмици и 1,25 </w:t>
      </w:r>
      <w:r w:rsidRPr="0073020D">
        <w:rPr>
          <w:rFonts w:eastAsia="Times New Roman" w:cs="Arial"/>
          <w:color w:val="000000"/>
          <w:lang w:val="en-US"/>
        </w:rPr>
        <w:t xml:space="preserve">mg </w:t>
      </w:r>
      <w:r w:rsidRPr="0073020D">
        <w:rPr>
          <w:rFonts w:eastAsia="Times New Roman" w:cs="Arial"/>
          <w:color w:val="000000"/>
          <w:lang w:eastAsia="bg-BG"/>
        </w:rPr>
        <w:t>два пъти дневно. Следната честота на нежелани лекарствени реакции са докладвани с честота 1% или повече с левоцетиризин или плацебо.</w:t>
      </w:r>
    </w:p>
    <w:p w14:paraId="73808912" w14:textId="77777777" w:rsidR="0073020D" w:rsidRDefault="0073020D" w:rsidP="0073020D">
      <w:pPr>
        <w:spacing w:line="240" w:lineRule="auto"/>
        <w:rPr>
          <w:rFonts w:eastAsia="Times New Roman" w:cs="Arial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04"/>
        <w:gridCol w:w="3127"/>
      </w:tblGrid>
      <w:tr w:rsidR="0073020D" w14:paraId="5F9C271D" w14:textId="77777777" w:rsidTr="0073020D">
        <w:tc>
          <w:tcPr>
            <w:tcW w:w="3166" w:type="dxa"/>
          </w:tcPr>
          <w:p w14:paraId="311A1DB2" w14:textId="2C14B8B9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rPr>
                <w:b/>
                <w:bCs/>
              </w:rPr>
              <w:t>Системо-органен клас и Предпочитан термин</w:t>
            </w:r>
          </w:p>
        </w:tc>
        <w:tc>
          <w:tcPr>
            <w:tcW w:w="3167" w:type="dxa"/>
          </w:tcPr>
          <w:p w14:paraId="51F1F62D" w14:textId="31FF6221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rPr>
                <w:b/>
                <w:bCs/>
              </w:rPr>
              <w:t>Плацебо (</w:t>
            </w:r>
            <w:r w:rsidRPr="0073020D">
              <w:rPr>
                <w:b/>
                <w:bCs/>
                <w:lang w:val="en-US"/>
              </w:rPr>
              <w:t>n</w:t>
            </w:r>
            <w:r w:rsidRPr="0073020D">
              <w:rPr>
                <w:b/>
                <w:bCs/>
              </w:rPr>
              <w:t xml:space="preserve"> = 83)</w:t>
            </w:r>
          </w:p>
        </w:tc>
        <w:tc>
          <w:tcPr>
            <w:tcW w:w="3167" w:type="dxa"/>
          </w:tcPr>
          <w:p w14:paraId="4A7E053F" w14:textId="2D646C6C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rPr>
                <w:b/>
                <w:bCs/>
              </w:rPr>
              <w:t>Левоцетиризин (</w:t>
            </w:r>
            <w:r w:rsidRPr="0073020D">
              <w:rPr>
                <w:b/>
                <w:bCs/>
                <w:lang w:val="en-US"/>
              </w:rPr>
              <w:t>n</w:t>
            </w:r>
            <w:r w:rsidRPr="0073020D">
              <w:rPr>
                <w:b/>
                <w:bCs/>
              </w:rPr>
              <w:t xml:space="preserve"> = 159)</w:t>
            </w:r>
          </w:p>
        </w:tc>
      </w:tr>
      <w:tr w:rsidR="0073020D" w14:paraId="31AEA7A3" w14:textId="77777777" w:rsidTr="0073020D">
        <w:tc>
          <w:tcPr>
            <w:tcW w:w="3166" w:type="dxa"/>
          </w:tcPr>
          <w:p w14:paraId="04956C97" w14:textId="00A03C50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rPr>
                <w:b/>
                <w:bCs/>
              </w:rPr>
              <w:t>Стомашно-чревни нарушения</w:t>
            </w:r>
          </w:p>
        </w:tc>
        <w:tc>
          <w:tcPr>
            <w:tcW w:w="3167" w:type="dxa"/>
          </w:tcPr>
          <w:p w14:paraId="7373834A" w14:textId="77777777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3167" w:type="dxa"/>
          </w:tcPr>
          <w:p w14:paraId="3180B50E" w14:textId="77777777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73020D" w14:paraId="676F95AB" w14:textId="77777777" w:rsidTr="0073020D">
        <w:tc>
          <w:tcPr>
            <w:tcW w:w="3166" w:type="dxa"/>
          </w:tcPr>
          <w:p w14:paraId="1461F1FB" w14:textId="1E366AB5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t>Разстройство</w:t>
            </w:r>
          </w:p>
        </w:tc>
        <w:tc>
          <w:tcPr>
            <w:tcW w:w="3167" w:type="dxa"/>
          </w:tcPr>
          <w:p w14:paraId="0C8CF4E4" w14:textId="28A86A96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t>0</w:t>
            </w:r>
          </w:p>
        </w:tc>
        <w:tc>
          <w:tcPr>
            <w:tcW w:w="3167" w:type="dxa"/>
          </w:tcPr>
          <w:p w14:paraId="169B85FA" w14:textId="600DD0BF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t>3 (1,9%)</w:t>
            </w:r>
          </w:p>
        </w:tc>
      </w:tr>
      <w:tr w:rsidR="0073020D" w14:paraId="399BADA2" w14:textId="77777777" w:rsidTr="0073020D">
        <w:tc>
          <w:tcPr>
            <w:tcW w:w="3166" w:type="dxa"/>
          </w:tcPr>
          <w:p w14:paraId="3ECDB6C2" w14:textId="0D0E2630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t>Повръщане</w:t>
            </w:r>
          </w:p>
        </w:tc>
        <w:tc>
          <w:tcPr>
            <w:tcW w:w="3167" w:type="dxa"/>
          </w:tcPr>
          <w:p w14:paraId="74E9110E" w14:textId="72DBC5B8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t>1 (1,2%)</w:t>
            </w:r>
          </w:p>
        </w:tc>
        <w:tc>
          <w:tcPr>
            <w:tcW w:w="3167" w:type="dxa"/>
          </w:tcPr>
          <w:p w14:paraId="2C404B76" w14:textId="743D0C37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t>1 (0,6%)</w:t>
            </w:r>
          </w:p>
        </w:tc>
      </w:tr>
      <w:tr w:rsidR="0073020D" w14:paraId="1C57680F" w14:textId="77777777" w:rsidTr="0073020D">
        <w:tc>
          <w:tcPr>
            <w:tcW w:w="3166" w:type="dxa"/>
          </w:tcPr>
          <w:p w14:paraId="2460E96F" w14:textId="650A9B3B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lastRenderedPageBreak/>
              <w:t>Запек</w:t>
            </w:r>
          </w:p>
        </w:tc>
        <w:tc>
          <w:tcPr>
            <w:tcW w:w="3167" w:type="dxa"/>
          </w:tcPr>
          <w:p w14:paraId="34E8090A" w14:textId="62F20D02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t>0</w:t>
            </w:r>
          </w:p>
        </w:tc>
        <w:tc>
          <w:tcPr>
            <w:tcW w:w="3167" w:type="dxa"/>
          </w:tcPr>
          <w:p w14:paraId="44AF8393" w14:textId="7AE9F91D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t>2 (1,3%)</w:t>
            </w:r>
          </w:p>
        </w:tc>
      </w:tr>
      <w:tr w:rsidR="0073020D" w14:paraId="5428B39C" w14:textId="77777777" w:rsidTr="0073020D">
        <w:tc>
          <w:tcPr>
            <w:tcW w:w="3166" w:type="dxa"/>
          </w:tcPr>
          <w:p w14:paraId="603FD021" w14:textId="7D06C33E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rPr>
                <w:b/>
                <w:bCs/>
              </w:rPr>
              <w:t>Нарушения на нервната система</w:t>
            </w:r>
          </w:p>
        </w:tc>
        <w:tc>
          <w:tcPr>
            <w:tcW w:w="3167" w:type="dxa"/>
          </w:tcPr>
          <w:p w14:paraId="0B20632C" w14:textId="77777777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3167" w:type="dxa"/>
          </w:tcPr>
          <w:p w14:paraId="74895903" w14:textId="77777777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73020D" w14:paraId="52FA1F4A" w14:textId="77777777" w:rsidTr="0073020D">
        <w:tc>
          <w:tcPr>
            <w:tcW w:w="3166" w:type="dxa"/>
          </w:tcPr>
          <w:p w14:paraId="387F5AB0" w14:textId="077D2F84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t>Сънливост</w:t>
            </w:r>
          </w:p>
        </w:tc>
        <w:tc>
          <w:tcPr>
            <w:tcW w:w="3167" w:type="dxa"/>
          </w:tcPr>
          <w:p w14:paraId="08C6E4D0" w14:textId="68949685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t>2 (2,4%)</w:t>
            </w:r>
          </w:p>
        </w:tc>
        <w:tc>
          <w:tcPr>
            <w:tcW w:w="3167" w:type="dxa"/>
          </w:tcPr>
          <w:p w14:paraId="5144AEFE" w14:textId="275F55AB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t>3 (1,9%)</w:t>
            </w:r>
          </w:p>
        </w:tc>
      </w:tr>
      <w:tr w:rsidR="0073020D" w14:paraId="02AAF065" w14:textId="77777777" w:rsidTr="0073020D">
        <w:tc>
          <w:tcPr>
            <w:tcW w:w="3166" w:type="dxa"/>
          </w:tcPr>
          <w:p w14:paraId="608F2BA1" w14:textId="0F664370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rPr>
                <w:b/>
                <w:bCs/>
              </w:rPr>
              <w:t>Психични нарушения</w:t>
            </w:r>
          </w:p>
        </w:tc>
        <w:tc>
          <w:tcPr>
            <w:tcW w:w="3167" w:type="dxa"/>
          </w:tcPr>
          <w:p w14:paraId="6F899FD8" w14:textId="77777777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3167" w:type="dxa"/>
          </w:tcPr>
          <w:p w14:paraId="0DC611F1" w14:textId="77777777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73020D" w14:paraId="539BDEA0" w14:textId="77777777" w:rsidTr="0073020D">
        <w:tc>
          <w:tcPr>
            <w:tcW w:w="3166" w:type="dxa"/>
          </w:tcPr>
          <w:p w14:paraId="72D4FBC0" w14:textId="6135C9A5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t>Нарушения на съня</w:t>
            </w:r>
          </w:p>
        </w:tc>
        <w:tc>
          <w:tcPr>
            <w:tcW w:w="3167" w:type="dxa"/>
          </w:tcPr>
          <w:p w14:paraId="6FCAE345" w14:textId="6785B45A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t>0</w:t>
            </w:r>
          </w:p>
        </w:tc>
        <w:tc>
          <w:tcPr>
            <w:tcW w:w="3167" w:type="dxa"/>
          </w:tcPr>
          <w:p w14:paraId="557DBBD6" w14:textId="0F64D2BD" w:rsidR="0073020D" w:rsidRPr="0073020D" w:rsidRDefault="0073020D" w:rsidP="0073020D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73020D">
              <w:t>2 (1,3%)</w:t>
            </w:r>
          </w:p>
        </w:tc>
      </w:tr>
    </w:tbl>
    <w:p w14:paraId="0CD2EE62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</w:p>
    <w:p w14:paraId="6775E797" w14:textId="77777777" w:rsidR="0073020D" w:rsidRDefault="0073020D" w:rsidP="0073020D">
      <w:pPr>
        <w:rPr>
          <w:lang w:eastAsia="bg-BG"/>
        </w:rPr>
      </w:pPr>
      <w:r w:rsidRPr="0073020D">
        <w:rPr>
          <w:lang w:eastAsia="bg-BG"/>
        </w:rPr>
        <w:t xml:space="preserve">Двойно-слепи контролирани проучвания са проведени при деца на възраст от 6 до 12 години, като 243 деца са били изложени на 5 </w:t>
      </w:r>
      <w:r w:rsidRPr="0073020D">
        <w:rPr>
          <w:lang w:val="en-US"/>
        </w:rPr>
        <w:t xml:space="preserve">mg </w:t>
      </w:r>
      <w:r w:rsidRPr="0073020D">
        <w:rPr>
          <w:lang w:eastAsia="bg-BG"/>
        </w:rPr>
        <w:t>дневно левоцетиризин за различни периоди, вариращи от по-малко от 1 седмица до 13 седмици. Следната честота на нежелани лекарствени реакции са били докладвани с честота 1% или по-голяма в групата на левоцетиризин или плацебо.</w:t>
      </w:r>
    </w:p>
    <w:p w14:paraId="78CA7BA4" w14:textId="77777777" w:rsidR="0073020D" w:rsidRDefault="0073020D" w:rsidP="0073020D">
      <w:pPr>
        <w:rPr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06"/>
        <w:gridCol w:w="3126"/>
      </w:tblGrid>
      <w:tr w:rsidR="0073020D" w14:paraId="21C41435" w14:textId="77777777" w:rsidTr="0073020D">
        <w:tc>
          <w:tcPr>
            <w:tcW w:w="3166" w:type="dxa"/>
          </w:tcPr>
          <w:p w14:paraId="491E67C6" w14:textId="29C0DFFE" w:rsidR="0073020D" w:rsidRDefault="0073020D" w:rsidP="0073020D">
            <w:pPr>
              <w:rPr>
                <w:sz w:val="24"/>
                <w:szCs w:val="24"/>
                <w:lang w:eastAsia="bg-BG"/>
              </w:rPr>
            </w:pPr>
            <w:r>
              <w:t>Предпочитан термин</w:t>
            </w:r>
          </w:p>
        </w:tc>
        <w:tc>
          <w:tcPr>
            <w:tcW w:w="3167" w:type="dxa"/>
          </w:tcPr>
          <w:p w14:paraId="2E7FEB86" w14:textId="675DD97B" w:rsidR="0073020D" w:rsidRDefault="0073020D" w:rsidP="0073020D">
            <w:pPr>
              <w:rPr>
                <w:sz w:val="24"/>
                <w:szCs w:val="24"/>
                <w:lang w:eastAsia="bg-BG"/>
              </w:rPr>
            </w:pPr>
            <w:r>
              <w:t>Плацебо (</w:t>
            </w:r>
            <w:r>
              <w:rPr>
                <w:lang w:val="en-US"/>
              </w:rPr>
              <w:t>n</w:t>
            </w:r>
            <w:r>
              <w:t>= 240)</w:t>
            </w:r>
          </w:p>
        </w:tc>
        <w:tc>
          <w:tcPr>
            <w:tcW w:w="3167" w:type="dxa"/>
          </w:tcPr>
          <w:p w14:paraId="7C7B504A" w14:textId="166D2518" w:rsidR="0073020D" w:rsidRDefault="0073020D" w:rsidP="0073020D">
            <w:pPr>
              <w:rPr>
                <w:sz w:val="24"/>
                <w:szCs w:val="24"/>
                <w:lang w:eastAsia="bg-BG"/>
              </w:rPr>
            </w:pPr>
            <w:r>
              <w:t xml:space="preserve">Левоцетиризин 5 </w:t>
            </w:r>
            <w:r>
              <w:rPr>
                <w:lang w:val="en-US"/>
              </w:rPr>
              <w:t xml:space="preserve">mg </w:t>
            </w:r>
            <w:r>
              <w:t>(</w:t>
            </w:r>
            <w:r>
              <w:rPr>
                <w:lang w:val="en-US"/>
              </w:rPr>
              <w:t>n=</w:t>
            </w:r>
            <w:r>
              <w:t xml:space="preserve"> 243)</w:t>
            </w:r>
          </w:p>
        </w:tc>
      </w:tr>
      <w:tr w:rsidR="0073020D" w14:paraId="17F0209E" w14:textId="77777777" w:rsidTr="0073020D">
        <w:tc>
          <w:tcPr>
            <w:tcW w:w="3166" w:type="dxa"/>
          </w:tcPr>
          <w:p w14:paraId="7A47E953" w14:textId="7434C249" w:rsidR="0073020D" w:rsidRDefault="0073020D" w:rsidP="0073020D">
            <w:pPr>
              <w:rPr>
                <w:sz w:val="24"/>
                <w:szCs w:val="24"/>
                <w:lang w:eastAsia="bg-BG"/>
              </w:rPr>
            </w:pPr>
            <w:r>
              <w:t>Главоболие</w:t>
            </w:r>
          </w:p>
        </w:tc>
        <w:tc>
          <w:tcPr>
            <w:tcW w:w="3167" w:type="dxa"/>
          </w:tcPr>
          <w:p w14:paraId="33CF1E92" w14:textId="270E700B" w:rsidR="0073020D" w:rsidRDefault="0073020D" w:rsidP="0073020D">
            <w:pPr>
              <w:rPr>
                <w:sz w:val="24"/>
                <w:szCs w:val="24"/>
                <w:lang w:eastAsia="bg-BG"/>
              </w:rPr>
            </w:pPr>
            <w:r>
              <w:t>5 (2,1%)</w:t>
            </w:r>
          </w:p>
        </w:tc>
        <w:tc>
          <w:tcPr>
            <w:tcW w:w="3167" w:type="dxa"/>
          </w:tcPr>
          <w:p w14:paraId="2BD4A5FA" w14:textId="6FED23D8" w:rsidR="0073020D" w:rsidRDefault="0073020D" w:rsidP="0073020D">
            <w:pPr>
              <w:rPr>
                <w:sz w:val="24"/>
                <w:szCs w:val="24"/>
                <w:lang w:eastAsia="bg-BG"/>
              </w:rPr>
            </w:pPr>
            <w:r>
              <w:t>2 (0,8%)</w:t>
            </w:r>
          </w:p>
        </w:tc>
      </w:tr>
      <w:tr w:rsidR="0073020D" w14:paraId="4C71E6F1" w14:textId="77777777" w:rsidTr="0073020D">
        <w:tc>
          <w:tcPr>
            <w:tcW w:w="3166" w:type="dxa"/>
          </w:tcPr>
          <w:p w14:paraId="72201B19" w14:textId="77850B1A" w:rsidR="0073020D" w:rsidRDefault="0073020D" w:rsidP="0073020D">
            <w:pPr>
              <w:rPr>
                <w:sz w:val="24"/>
                <w:szCs w:val="24"/>
                <w:lang w:eastAsia="bg-BG"/>
              </w:rPr>
            </w:pPr>
            <w:r>
              <w:t>Сънливост</w:t>
            </w:r>
          </w:p>
        </w:tc>
        <w:tc>
          <w:tcPr>
            <w:tcW w:w="3167" w:type="dxa"/>
          </w:tcPr>
          <w:p w14:paraId="54BC75C8" w14:textId="4607EB8A" w:rsidR="0073020D" w:rsidRDefault="0073020D" w:rsidP="0073020D">
            <w:pPr>
              <w:rPr>
                <w:sz w:val="24"/>
                <w:szCs w:val="24"/>
                <w:lang w:eastAsia="bg-BG"/>
              </w:rPr>
            </w:pPr>
            <w:r>
              <w:t>1 (0,4%)</w:t>
            </w:r>
          </w:p>
        </w:tc>
        <w:tc>
          <w:tcPr>
            <w:tcW w:w="3167" w:type="dxa"/>
          </w:tcPr>
          <w:p w14:paraId="5CFF627B" w14:textId="38E3FA27" w:rsidR="0073020D" w:rsidRDefault="0073020D" w:rsidP="0073020D">
            <w:pPr>
              <w:rPr>
                <w:sz w:val="24"/>
                <w:szCs w:val="24"/>
                <w:lang w:eastAsia="bg-BG"/>
              </w:rPr>
            </w:pPr>
            <w:r>
              <w:t>7 (2,9%)</w:t>
            </w:r>
          </w:p>
        </w:tc>
      </w:tr>
    </w:tbl>
    <w:p w14:paraId="21F740A7" w14:textId="77777777" w:rsidR="0073020D" w:rsidRDefault="0073020D" w:rsidP="0073020D">
      <w:pPr>
        <w:rPr>
          <w:sz w:val="24"/>
          <w:szCs w:val="24"/>
          <w:lang w:eastAsia="bg-BG"/>
        </w:rPr>
      </w:pPr>
    </w:p>
    <w:p w14:paraId="5153DE72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Независимо че в точки 4.2 и 4.4 се споменава за клинични данни при деца на възраст от 6 месеца до 12 години, няма достатъчно данни в подкрепа на употребата на този продукт при бебета и кърмачета на възраст под 2 години.</w:t>
      </w:r>
    </w:p>
    <w:p w14:paraId="3300D760" w14:textId="77777777" w:rsidR="0073020D" w:rsidRPr="0073020D" w:rsidRDefault="0073020D" w:rsidP="0073020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9899A0D" w14:textId="0E10BBC9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u w:val="single"/>
          <w:lang w:eastAsia="bg-BG"/>
        </w:rPr>
        <w:t>Пост-маркетингов опит</w:t>
      </w:r>
    </w:p>
    <w:p w14:paraId="4EE7A802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Нежеланите реакции от пост-маркетингов опит са по системо-органен клас и по честота.</w:t>
      </w:r>
    </w:p>
    <w:p w14:paraId="282532EA" w14:textId="77777777" w:rsidR="0073020D" w:rsidRPr="0073020D" w:rsidRDefault="0073020D" w:rsidP="007302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Честотата на нежеланите лекарствени реакции се определя както следва: много чести (≥ 1/10), чести (≥ 1/100 до &lt; 1/10), нечести (≥ 1/1 000 до &lt; 1/100), редки (≥ 1/10 000 до &lt; 1/1 000), много редки (&lt; 1/10 000), с неизвестна честота (от наличните данни не може да бъде направена оценка).</w:t>
      </w:r>
    </w:p>
    <w:p w14:paraId="3502760E" w14:textId="77777777" w:rsidR="0073020D" w:rsidRDefault="0073020D" w:rsidP="0073020D">
      <w:pPr>
        <w:rPr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73020D" w14:paraId="62B2951D" w14:textId="77777777" w:rsidTr="007634E4">
        <w:tc>
          <w:tcPr>
            <w:tcW w:w="4750" w:type="dxa"/>
            <w:vAlign w:val="bottom"/>
          </w:tcPr>
          <w:p w14:paraId="282C6BC3" w14:textId="5F95099A" w:rsidR="0073020D" w:rsidRPr="0073020D" w:rsidRDefault="0073020D" w:rsidP="0073020D">
            <w:pPr>
              <w:rPr>
                <w:lang w:eastAsia="bg-BG"/>
              </w:rPr>
            </w:pPr>
            <w:r w:rsidRPr="0073020D">
              <w:rPr>
                <w:b/>
                <w:bCs/>
              </w:rPr>
              <w:t xml:space="preserve">Системо-органен клас по </w:t>
            </w:r>
            <w:r w:rsidRPr="0073020D">
              <w:rPr>
                <w:b/>
                <w:bCs/>
                <w:lang w:val="en-US"/>
              </w:rPr>
              <w:t>MedDRA</w:t>
            </w:r>
          </w:p>
        </w:tc>
        <w:tc>
          <w:tcPr>
            <w:tcW w:w="4750" w:type="dxa"/>
            <w:vAlign w:val="bottom"/>
          </w:tcPr>
          <w:p w14:paraId="4B2EEFCE" w14:textId="739E3089" w:rsidR="0073020D" w:rsidRPr="0073020D" w:rsidRDefault="0073020D" w:rsidP="0073020D">
            <w:pPr>
              <w:rPr>
                <w:lang w:eastAsia="bg-BG"/>
              </w:rPr>
            </w:pPr>
            <w:r w:rsidRPr="0073020D">
              <w:t>Нежелани реакции</w:t>
            </w:r>
          </w:p>
        </w:tc>
      </w:tr>
      <w:tr w:rsidR="0073020D" w14:paraId="1BEF979B" w14:textId="77777777" w:rsidTr="007634E4">
        <w:tc>
          <w:tcPr>
            <w:tcW w:w="4750" w:type="dxa"/>
            <w:vAlign w:val="bottom"/>
          </w:tcPr>
          <w:p w14:paraId="780F6D39" w14:textId="16B8DE93" w:rsidR="0073020D" w:rsidRPr="0073020D" w:rsidRDefault="0073020D" w:rsidP="0073020D">
            <w:pPr>
              <w:rPr>
                <w:lang w:eastAsia="bg-BG"/>
              </w:rPr>
            </w:pPr>
            <w:r w:rsidRPr="0073020D">
              <w:rPr>
                <w:b/>
                <w:bCs/>
              </w:rPr>
              <w:t>Нарушения на имунната система</w:t>
            </w:r>
          </w:p>
        </w:tc>
        <w:tc>
          <w:tcPr>
            <w:tcW w:w="4750" w:type="dxa"/>
          </w:tcPr>
          <w:p w14:paraId="02DE0EEF" w14:textId="77777777" w:rsidR="0073020D" w:rsidRPr="0073020D" w:rsidRDefault="0073020D" w:rsidP="0073020D">
            <w:pPr>
              <w:rPr>
                <w:lang w:eastAsia="bg-BG"/>
              </w:rPr>
            </w:pPr>
          </w:p>
        </w:tc>
      </w:tr>
      <w:tr w:rsidR="0073020D" w14:paraId="68959819" w14:textId="77777777" w:rsidTr="007634E4">
        <w:tc>
          <w:tcPr>
            <w:tcW w:w="4750" w:type="dxa"/>
          </w:tcPr>
          <w:p w14:paraId="5197D24D" w14:textId="4D3F68F8" w:rsidR="0073020D" w:rsidRPr="0073020D" w:rsidRDefault="0073020D" w:rsidP="0073020D">
            <w:pPr>
              <w:rPr>
                <w:lang w:eastAsia="bg-BG"/>
              </w:rPr>
            </w:pPr>
            <w:r w:rsidRPr="0073020D">
              <w:t>С неизвестна честота:</w:t>
            </w:r>
          </w:p>
        </w:tc>
        <w:tc>
          <w:tcPr>
            <w:tcW w:w="4750" w:type="dxa"/>
            <w:vAlign w:val="bottom"/>
          </w:tcPr>
          <w:p w14:paraId="486BBF45" w14:textId="14AADB72" w:rsidR="0073020D" w:rsidRPr="0073020D" w:rsidRDefault="0073020D" w:rsidP="0073020D">
            <w:pPr>
              <w:rPr>
                <w:lang w:eastAsia="bg-BG"/>
              </w:rPr>
            </w:pPr>
            <w:r w:rsidRPr="0073020D">
              <w:t>Свръхчувствителност, включително (анафилаксия)</w:t>
            </w:r>
          </w:p>
        </w:tc>
      </w:tr>
      <w:tr w:rsidR="0073020D" w14:paraId="3D8FEA7D" w14:textId="77777777" w:rsidTr="007634E4">
        <w:tc>
          <w:tcPr>
            <w:tcW w:w="4750" w:type="dxa"/>
            <w:vAlign w:val="bottom"/>
          </w:tcPr>
          <w:p w14:paraId="4DF8F5B6" w14:textId="79B166B9" w:rsidR="0073020D" w:rsidRPr="0073020D" w:rsidRDefault="0073020D" w:rsidP="0073020D">
            <w:pPr>
              <w:rPr>
                <w:lang w:eastAsia="bg-BG"/>
              </w:rPr>
            </w:pPr>
            <w:r w:rsidRPr="0073020D">
              <w:rPr>
                <w:b/>
                <w:bCs/>
              </w:rPr>
              <w:t>Нарушения на метаболизма и хранененето</w:t>
            </w:r>
          </w:p>
        </w:tc>
        <w:tc>
          <w:tcPr>
            <w:tcW w:w="4750" w:type="dxa"/>
          </w:tcPr>
          <w:p w14:paraId="62F71FE8" w14:textId="77777777" w:rsidR="0073020D" w:rsidRPr="0073020D" w:rsidRDefault="0073020D" w:rsidP="0073020D">
            <w:pPr>
              <w:rPr>
                <w:lang w:eastAsia="bg-BG"/>
              </w:rPr>
            </w:pPr>
          </w:p>
        </w:tc>
      </w:tr>
      <w:tr w:rsidR="0073020D" w14:paraId="0EAD028E" w14:textId="77777777" w:rsidTr="007634E4">
        <w:tc>
          <w:tcPr>
            <w:tcW w:w="4750" w:type="dxa"/>
            <w:vAlign w:val="bottom"/>
          </w:tcPr>
          <w:p w14:paraId="552383C4" w14:textId="25BEBDE5" w:rsidR="0073020D" w:rsidRPr="0073020D" w:rsidRDefault="0073020D" w:rsidP="0073020D">
            <w:pPr>
              <w:rPr>
                <w:lang w:eastAsia="bg-BG"/>
              </w:rPr>
            </w:pPr>
            <w:r w:rsidRPr="0073020D">
              <w:t>С неизвестна честота:</w:t>
            </w:r>
          </w:p>
        </w:tc>
        <w:tc>
          <w:tcPr>
            <w:tcW w:w="4750" w:type="dxa"/>
            <w:vAlign w:val="bottom"/>
          </w:tcPr>
          <w:p w14:paraId="4E82E58C" w14:textId="2187C93E" w:rsidR="0073020D" w:rsidRPr="0073020D" w:rsidRDefault="0073020D" w:rsidP="0073020D">
            <w:pPr>
              <w:rPr>
                <w:lang w:eastAsia="bg-BG"/>
              </w:rPr>
            </w:pPr>
            <w:r w:rsidRPr="0073020D">
              <w:t>Увеличен апетит</w:t>
            </w:r>
          </w:p>
        </w:tc>
      </w:tr>
      <w:tr w:rsidR="0073020D" w14:paraId="58060794" w14:textId="77777777" w:rsidTr="007634E4">
        <w:tc>
          <w:tcPr>
            <w:tcW w:w="4750" w:type="dxa"/>
            <w:vAlign w:val="bottom"/>
          </w:tcPr>
          <w:p w14:paraId="1E47BB22" w14:textId="71401B33" w:rsidR="0073020D" w:rsidRPr="0073020D" w:rsidRDefault="0073020D" w:rsidP="0073020D">
            <w:pPr>
              <w:rPr>
                <w:lang w:eastAsia="bg-BG"/>
              </w:rPr>
            </w:pPr>
            <w:r w:rsidRPr="0073020D">
              <w:rPr>
                <w:b/>
                <w:bCs/>
              </w:rPr>
              <w:t>Психични нарушения</w:t>
            </w:r>
          </w:p>
        </w:tc>
        <w:tc>
          <w:tcPr>
            <w:tcW w:w="4750" w:type="dxa"/>
          </w:tcPr>
          <w:p w14:paraId="40E2CE02" w14:textId="77777777" w:rsidR="0073020D" w:rsidRPr="0073020D" w:rsidRDefault="0073020D" w:rsidP="0073020D">
            <w:pPr>
              <w:rPr>
                <w:lang w:eastAsia="bg-BG"/>
              </w:rPr>
            </w:pPr>
          </w:p>
        </w:tc>
      </w:tr>
      <w:tr w:rsidR="0073020D" w14:paraId="17F1803E" w14:textId="77777777" w:rsidTr="007634E4">
        <w:tc>
          <w:tcPr>
            <w:tcW w:w="4750" w:type="dxa"/>
          </w:tcPr>
          <w:p w14:paraId="7A5DA555" w14:textId="43605EE6" w:rsidR="0073020D" w:rsidRPr="0073020D" w:rsidRDefault="0073020D" w:rsidP="0073020D">
            <w:pPr>
              <w:rPr>
                <w:lang w:eastAsia="bg-BG"/>
              </w:rPr>
            </w:pPr>
            <w:r w:rsidRPr="0073020D">
              <w:t>С неизвестна честота:</w:t>
            </w:r>
          </w:p>
        </w:tc>
        <w:tc>
          <w:tcPr>
            <w:tcW w:w="4750" w:type="dxa"/>
            <w:vAlign w:val="bottom"/>
          </w:tcPr>
          <w:p w14:paraId="759CB5A5" w14:textId="632582A2" w:rsidR="0073020D" w:rsidRPr="0073020D" w:rsidRDefault="0073020D" w:rsidP="0073020D">
            <w:pPr>
              <w:rPr>
                <w:lang w:eastAsia="bg-BG"/>
              </w:rPr>
            </w:pPr>
            <w:r w:rsidRPr="0073020D">
              <w:t>Агресия, възбуда, халюцинации, депресия,</w:t>
            </w:r>
            <w:r w:rsidRPr="0073020D">
              <w:rPr>
                <w:u w:val="single"/>
              </w:rPr>
              <w:t xml:space="preserve"> </w:t>
            </w:r>
            <w:r w:rsidRPr="0073020D">
              <w:t>безсъние, суицидни желания, кошмари</w:t>
            </w:r>
          </w:p>
        </w:tc>
      </w:tr>
      <w:tr w:rsidR="0073020D" w14:paraId="00244301" w14:textId="77777777" w:rsidTr="007634E4">
        <w:tc>
          <w:tcPr>
            <w:tcW w:w="4750" w:type="dxa"/>
            <w:vAlign w:val="bottom"/>
          </w:tcPr>
          <w:p w14:paraId="26D18365" w14:textId="31115BF7" w:rsidR="0073020D" w:rsidRPr="0073020D" w:rsidRDefault="0073020D" w:rsidP="0073020D">
            <w:pPr>
              <w:rPr>
                <w:lang w:eastAsia="bg-BG"/>
              </w:rPr>
            </w:pPr>
            <w:r w:rsidRPr="0073020D">
              <w:rPr>
                <w:b/>
                <w:bCs/>
              </w:rPr>
              <w:t>Нарушения на нервната система</w:t>
            </w:r>
          </w:p>
        </w:tc>
        <w:tc>
          <w:tcPr>
            <w:tcW w:w="4750" w:type="dxa"/>
          </w:tcPr>
          <w:p w14:paraId="4EAA8E5C" w14:textId="77777777" w:rsidR="0073020D" w:rsidRPr="0073020D" w:rsidRDefault="0073020D" w:rsidP="0073020D">
            <w:pPr>
              <w:rPr>
                <w:lang w:eastAsia="bg-BG"/>
              </w:rPr>
            </w:pPr>
          </w:p>
        </w:tc>
      </w:tr>
      <w:tr w:rsidR="0073020D" w14:paraId="26987AA6" w14:textId="77777777" w:rsidTr="007634E4">
        <w:tc>
          <w:tcPr>
            <w:tcW w:w="4750" w:type="dxa"/>
          </w:tcPr>
          <w:p w14:paraId="0A2B4034" w14:textId="0201E7C7" w:rsidR="0073020D" w:rsidRPr="0073020D" w:rsidRDefault="0073020D" w:rsidP="0073020D">
            <w:pPr>
              <w:rPr>
                <w:lang w:eastAsia="bg-BG"/>
              </w:rPr>
            </w:pPr>
            <w:r w:rsidRPr="0073020D">
              <w:t>С неизвестна честота:</w:t>
            </w:r>
          </w:p>
        </w:tc>
        <w:tc>
          <w:tcPr>
            <w:tcW w:w="4750" w:type="dxa"/>
            <w:vAlign w:val="bottom"/>
          </w:tcPr>
          <w:p w14:paraId="384ABF45" w14:textId="1E2576FD" w:rsidR="0073020D" w:rsidRPr="0073020D" w:rsidRDefault="0073020D" w:rsidP="0073020D">
            <w:pPr>
              <w:rPr>
                <w:lang w:eastAsia="bg-BG"/>
              </w:rPr>
            </w:pPr>
            <w:r w:rsidRPr="0073020D">
              <w:t xml:space="preserve">Конвулсия, парастезия, замаяност, слабост, </w:t>
            </w:r>
            <w:r w:rsidRPr="0073020D">
              <w:rPr>
                <w:u w:val="single"/>
              </w:rPr>
              <w:t>тремор, дисгезия</w:t>
            </w:r>
          </w:p>
        </w:tc>
      </w:tr>
      <w:tr w:rsidR="0073020D" w14:paraId="41B3D911" w14:textId="77777777" w:rsidTr="007634E4">
        <w:tc>
          <w:tcPr>
            <w:tcW w:w="4750" w:type="dxa"/>
            <w:vAlign w:val="bottom"/>
          </w:tcPr>
          <w:p w14:paraId="42A5EC86" w14:textId="1E529C82" w:rsidR="0073020D" w:rsidRPr="0073020D" w:rsidRDefault="0073020D" w:rsidP="0073020D">
            <w:pPr>
              <w:rPr>
                <w:lang w:eastAsia="bg-BG"/>
              </w:rPr>
            </w:pPr>
            <w:r w:rsidRPr="0073020D">
              <w:rPr>
                <w:b/>
                <w:bCs/>
              </w:rPr>
              <w:t>Нарушения на очите</w:t>
            </w:r>
          </w:p>
        </w:tc>
        <w:tc>
          <w:tcPr>
            <w:tcW w:w="4750" w:type="dxa"/>
          </w:tcPr>
          <w:p w14:paraId="726FAFB0" w14:textId="77777777" w:rsidR="0073020D" w:rsidRPr="0073020D" w:rsidRDefault="0073020D" w:rsidP="0073020D">
            <w:pPr>
              <w:rPr>
                <w:lang w:eastAsia="bg-BG"/>
              </w:rPr>
            </w:pPr>
          </w:p>
        </w:tc>
      </w:tr>
      <w:tr w:rsidR="0073020D" w14:paraId="3DDA7EA2" w14:textId="77777777" w:rsidTr="00225967">
        <w:tc>
          <w:tcPr>
            <w:tcW w:w="4750" w:type="dxa"/>
          </w:tcPr>
          <w:p w14:paraId="2B9B2AD5" w14:textId="19698848" w:rsidR="0073020D" w:rsidRPr="0073020D" w:rsidRDefault="0073020D" w:rsidP="0073020D">
            <w:pPr>
              <w:rPr>
                <w:lang w:eastAsia="bg-BG"/>
              </w:rPr>
            </w:pPr>
            <w:r w:rsidRPr="0073020D">
              <w:t>С неизвестна честота:</w:t>
            </w:r>
          </w:p>
        </w:tc>
        <w:tc>
          <w:tcPr>
            <w:tcW w:w="4750" w:type="dxa"/>
            <w:vAlign w:val="bottom"/>
          </w:tcPr>
          <w:p w14:paraId="7AC6F60E" w14:textId="009DE171" w:rsidR="0073020D" w:rsidRPr="0073020D" w:rsidRDefault="0073020D" w:rsidP="0073020D">
            <w:pPr>
              <w:rPr>
                <w:lang w:eastAsia="bg-BG"/>
              </w:rPr>
            </w:pPr>
            <w:r w:rsidRPr="0073020D">
              <w:t>Зрителни смущения,замъглено виждане, окулогирация</w:t>
            </w:r>
          </w:p>
        </w:tc>
      </w:tr>
      <w:tr w:rsidR="0073020D" w14:paraId="341E7DD0" w14:textId="77777777" w:rsidTr="00225967">
        <w:tc>
          <w:tcPr>
            <w:tcW w:w="4750" w:type="dxa"/>
            <w:vAlign w:val="bottom"/>
          </w:tcPr>
          <w:p w14:paraId="0238D6F6" w14:textId="43DE50C4" w:rsidR="0073020D" w:rsidRPr="0073020D" w:rsidRDefault="0073020D" w:rsidP="0073020D">
            <w:pPr>
              <w:rPr>
                <w:lang w:eastAsia="bg-BG"/>
              </w:rPr>
            </w:pPr>
            <w:r w:rsidRPr="0073020D">
              <w:rPr>
                <w:b/>
                <w:bCs/>
              </w:rPr>
              <w:t>Нарушения на ухото и лабиринта</w:t>
            </w:r>
          </w:p>
        </w:tc>
        <w:tc>
          <w:tcPr>
            <w:tcW w:w="4750" w:type="dxa"/>
          </w:tcPr>
          <w:p w14:paraId="599B4121" w14:textId="77777777" w:rsidR="0073020D" w:rsidRPr="0073020D" w:rsidRDefault="0073020D" w:rsidP="0073020D">
            <w:pPr>
              <w:rPr>
                <w:lang w:eastAsia="bg-BG"/>
              </w:rPr>
            </w:pPr>
          </w:p>
        </w:tc>
      </w:tr>
      <w:tr w:rsidR="0073020D" w14:paraId="4D4F9CF3" w14:textId="77777777" w:rsidTr="00225967">
        <w:tc>
          <w:tcPr>
            <w:tcW w:w="4750" w:type="dxa"/>
            <w:vAlign w:val="bottom"/>
          </w:tcPr>
          <w:p w14:paraId="10CD517B" w14:textId="42CD4931" w:rsidR="0073020D" w:rsidRPr="0073020D" w:rsidRDefault="0073020D" w:rsidP="0073020D">
            <w:pPr>
              <w:rPr>
                <w:lang w:eastAsia="bg-BG"/>
              </w:rPr>
            </w:pPr>
            <w:r w:rsidRPr="0073020D">
              <w:t>С неизвестна честота:</w:t>
            </w:r>
          </w:p>
        </w:tc>
        <w:tc>
          <w:tcPr>
            <w:tcW w:w="4750" w:type="dxa"/>
            <w:vAlign w:val="bottom"/>
          </w:tcPr>
          <w:p w14:paraId="2FBBA903" w14:textId="587DC7DF" w:rsidR="0073020D" w:rsidRPr="0073020D" w:rsidRDefault="0073020D" w:rsidP="0073020D">
            <w:pPr>
              <w:rPr>
                <w:lang w:eastAsia="bg-BG"/>
              </w:rPr>
            </w:pPr>
            <w:r w:rsidRPr="0073020D">
              <w:t>Вертиго</w:t>
            </w:r>
          </w:p>
        </w:tc>
      </w:tr>
      <w:tr w:rsidR="0073020D" w14:paraId="4F6FEC7A" w14:textId="77777777" w:rsidTr="00225967">
        <w:tc>
          <w:tcPr>
            <w:tcW w:w="4750" w:type="dxa"/>
            <w:vAlign w:val="bottom"/>
          </w:tcPr>
          <w:p w14:paraId="0244ED59" w14:textId="6C69A581" w:rsidR="0073020D" w:rsidRPr="0073020D" w:rsidRDefault="0073020D" w:rsidP="0073020D">
            <w:pPr>
              <w:rPr>
                <w:lang w:eastAsia="bg-BG"/>
              </w:rPr>
            </w:pPr>
            <w:r w:rsidRPr="0073020D">
              <w:rPr>
                <w:b/>
                <w:bCs/>
              </w:rPr>
              <w:lastRenderedPageBreak/>
              <w:t>Сърдечни нарушения</w:t>
            </w:r>
          </w:p>
        </w:tc>
        <w:tc>
          <w:tcPr>
            <w:tcW w:w="4750" w:type="dxa"/>
          </w:tcPr>
          <w:p w14:paraId="2952255B" w14:textId="77777777" w:rsidR="0073020D" w:rsidRPr="0073020D" w:rsidRDefault="0073020D" w:rsidP="0073020D">
            <w:pPr>
              <w:rPr>
                <w:lang w:eastAsia="bg-BG"/>
              </w:rPr>
            </w:pPr>
          </w:p>
        </w:tc>
      </w:tr>
      <w:tr w:rsidR="0073020D" w14:paraId="319199AD" w14:textId="77777777" w:rsidTr="00225967">
        <w:tc>
          <w:tcPr>
            <w:tcW w:w="4750" w:type="dxa"/>
            <w:vAlign w:val="bottom"/>
          </w:tcPr>
          <w:p w14:paraId="13CFDBB1" w14:textId="2BFF2A7E" w:rsidR="0073020D" w:rsidRPr="0073020D" w:rsidRDefault="0073020D" w:rsidP="0073020D">
            <w:pPr>
              <w:rPr>
                <w:lang w:eastAsia="bg-BG"/>
              </w:rPr>
            </w:pPr>
            <w:r w:rsidRPr="0073020D">
              <w:t>С неизвестна честота:</w:t>
            </w:r>
          </w:p>
        </w:tc>
        <w:tc>
          <w:tcPr>
            <w:tcW w:w="4750" w:type="dxa"/>
            <w:vAlign w:val="bottom"/>
          </w:tcPr>
          <w:p w14:paraId="282BC0D6" w14:textId="770DFB83" w:rsidR="0073020D" w:rsidRPr="0073020D" w:rsidRDefault="0073020D" w:rsidP="0073020D">
            <w:pPr>
              <w:rPr>
                <w:lang w:eastAsia="bg-BG"/>
              </w:rPr>
            </w:pPr>
            <w:r w:rsidRPr="0073020D">
              <w:t>Палпитации, тахикардия</w:t>
            </w:r>
          </w:p>
        </w:tc>
      </w:tr>
      <w:tr w:rsidR="0073020D" w14:paraId="6FA21D0C" w14:textId="77777777" w:rsidTr="00225967">
        <w:tc>
          <w:tcPr>
            <w:tcW w:w="4750" w:type="dxa"/>
            <w:vAlign w:val="bottom"/>
          </w:tcPr>
          <w:p w14:paraId="39C143B6" w14:textId="6E76C553" w:rsidR="0073020D" w:rsidRPr="0073020D" w:rsidRDefault="0073020D" w:rsidP="0073020D">
            <w:pPr>
              <w:rPr>
                <w:lang w:eastAsia="bg-BG"/>
              </w:rPr>
            </w:pPr>
            <w:r w:rsidRPr="0073020D">
              <w:rPr>
                <w:b/>
                <w:bCs/>
              </w:rPr>
              <w:t>Респираторни, гръдни и медиастинални нарушения:</w:t>
            </w:r>
          </w:p>
        </w:tc>
        <w:tc>
          <w:tcPr>
            <w:tcW w:w="4750" w:type="dxa"/>
          </w:tcPr>
          <w:p w14:paraId="464F69FE" w14:textId="77777777" w:rsidR="0073020D" w:rsidRPr="0073020D" w:rsidRDefault="0073020D" w:rsidP="0073020D">
            <w:pPr>
              <w:rPr>
                <w:lang w:eastAsia="bg-BG"/>
              </w:rPr>
            </w:pPr>
          </w:p>
        </w:tc>
      </w:tr>
      <w:tr w:rsidR="0073020D" w14:paraId="567F74E1" w14:textId="77777777" w:rsidTr="00225967">
        <w:tc>
          <w:tcPr>
            <w:tcW w:w="4750" w:type="dxa"/>
            <w:vAlign w:val="bottom"/>
          </w:tcPr>
          <w:p w14:paraId="39414527" w14:textId="5D7D015A" w:rsidR="0073020D" w:rsidRPr="0073020D" w:rsidRDefault="0073020D" w:rsidP="0073020D">
            <w:pPr>
              <w:rPr>
                <w:lang w:eastAsia="bg-BG"/>
              </w:rPr>
            </w:pPr>
            <w:r w:rsidRPr="0073020D">
              <w:t>С неизвестна честота:</w:t>
            </w:r>
          </w:p>
        </w:tc>
        <w:tc>
          <w:tcPr>
            <w:tcW w:w="4750" w:type="dxa"/>
            <w:vAlign w:val="bottom"/>
          </w:tcPr>
          <w:p w14:paraId="1806C34F" w14:textId="1FA9D1CF" w:rsidR="0073020D" w:rsidRPr="0073020D" w:rsidRDefault="0073020D" w:rsidP="0073020D">
            <w:pPr>
              <w:rPr>
                <w:lang w:eastAsia="bg-BG"/>
              </w:rPr>
            </w:pPr>
            <w:r w:rsidRPr="0073020D">
              <w:t>Диспнея</w:t>
            </w:r>
          </w:p>
        </w:tc>
      </w:tr>
      <w:tr w:rsidR="0073020D" w14:paraId="2212AECF" w14:textId="77777777" w:rsidTr="00225967">
        <w:tc>
          <w:tcPr>
            <w:tcW w:w="4750" w:type="dxa"/>
            <w:vAlign w:val="bottom"/>
          </w:tcPr>
          <w:p w14:paraId="72B3CB01" w14:textId="50E2AC31" w:rsidR="0073020D" w:rsidRPr="0073020D" w:rsidRDefault="0073020D" w:rsidP="0073020D">
            <w:pPr>
              <w:rPr>
                <w:lang w:eastAsia="bg-BG"/>
              </w:rPr>
            </w:pPr>
            <w:r w:rsidRPr="0073020D">
              <w:rPr>
                <w:b/>
                <w:bCs/>
              </w:rPr>
              <w:t>Стомашно-чревни нарушения:</w:t>
            </w:r>
          </w:p>
        </w:tc>
        <w:tc>
          <w:tcPr>
            <w:tcW w:w="4750" w:type="dxa"/>
          </w:tcPr>
          <w:p w14:paraId="767FDB73" w14:textId="77777777" w:rsidR="0073020D" w:rsidRPr="0073020D" w:rsidRDefault="0073020D" w:rsidP="0073020D">
            <w:pPr>
              <w:rPr>
                <w:lang w:eastAsia="bg-BG"/>
              </w:rPr>
            </w:pPr>
          </w:p>
        </w:tc>
      </w:tr>
      <w:tr w:rsidR="0073020D" w14:paraId="5630E827" w14:textId="77777777" w:rsidTr="00225967">
        <w:tc>
          <w:tcPr>
            <w:tcW w:w="4750" w:type="dxa"/>
            <w:vAlign w:val="bottom"/>
          </w:tcPr>
          <w:p w14:paraId="41C9018F" w14:textId="22F4C445" w:rsidR="0073020D" w:rsidRPr="0073020D" w:rsidRDefault="0073020D" w:rsidP="0073020D">
            <w:pPr>
              <w:rPr>
                <w:lang w:eastAsia="bg-BG"/>
              </w:rPr>
            </w:pPr>
            <w:r w:rsidRPr="0073020D">
              <w:t>С неизвестна честота:</w:t>
            </w:r>
          </w:p>
        </w:tc>
        <w:tc>
          <w:tcPr>
            <w:tcW w:w="4750" w:type="dxa"/>
            <w:vAlign w:val="bottom"/>
          </w:tcPr>
          <w:p w14:paraId="574D93EE" w14:textId="231A5732" w:rsidR="0073020D" w:rsidRPr="0073020D" w:rsidRDefault="0073020D" w:rsidP="0073020D">
            <w:pPr>
              <w:rPr>
                <w:lang w:eastAsia="bg-BG"/>
              </w:rPr>
            </w:pPr>
            <w:r w:rsidRPr="0073020D">
              <w:t>Гадене, повръщане, диария</w:t>
            </w:r>
          </w:p>
        </w:tc>
      </w:tr>
      <w:tr w:rsidR="0073020D" w14:paraId="3EE7D397" w14:textId="77777777" w:rsidTr="00225967">
        <w:tc>
          <w:tcPr>
            <w:tcW w:w="4750" w:type="dxa"/>
            <w:vAlign w:val="bottom"/>
          </w:tcPr>
          <w:p w14:paraId="2D470014" w14:textId="448FE19F" w:rsidR="0073020D" w:rsidRPr="0073020D" w:rsidRDefault="0073020D" w:rsidP="0073020D">
            <w:pPr>
              <w:rPr>
                <w:lang w:eastAsia="bg-BG"/>
              </w:rPr>
            </w:pPr>
            <w:r w:rsidRPr="0073020D">
              <w:rPr>
                <w:b/>
                <w:bCs/>
              </w:rPr>
              <w:t>Хепато-билиарни нарушения</w:t>
            </w:r>
          </w:p>
        </w:tc>
        <w:tc>
          <w:tcPr>
            <w:tcW w:w="4750" w:type="dxa"/>
          </w:tcPr>
          <w:p w14:paraId="17DAC5ED" w14:textId="77777777" w:rsidR="0073020D" w:rsidRPr="0073020D" w:rsidRDefault="0073020D" w:rsidP="0073020D">
            <w:pPr>
              <w:rPr>
                <w:lang w:eastAsia="bg-BG"/>
              </w:rPr>
            </w:pPr>
          </w:p>
        </w:tc>
      </w:tr>
      <w:tr w:rsidR="0073020D" w14:paraId="3F620C47" w14:textId="77777777" w:rsidTr="00225967">
        <w:tc>
          <w:tcPr>
            <w:tcW w:w="4750" w:type="dxa"/>
            <w:vAlign w:val="bottom"/>
          </w:tcPr>
          <w:p w14:paraId="5EAD0E10" w14:textId="5ECF5D0A" w:rsidR="0073020D" w:rsidRPr="0073020D" w:rsidRDefault="0073020D" w:rsidP="0073020D">
            <w:pPr>
              <w:rPr>
                <w:lang w:eastAsia="bg-BG"/>
              </w:rPr>
            </w:pPr>
            <w:r w:rsidRPr="0073020D">
              <w:t>С неизвестна честота:</w:t>
            </w:r>
          </w:p>
        </w:tc>
        <w:tc>
          <w:tcPr>
            <w:tcW w:w="4750" w:type="dxa"/>
            <w:vAlign w:val="bottom"/>
          </w:tcPr>
          <w:p w14:paraId="30015D38" w14:textId="54311F06" w:rsidR="0073020D" w:rsidRPr="0073020D" w:rsidRDefault="0073020D" w:rsidP="0073020D">
            <w:pPr>
              <w:rPr>
                <w:lang w:eastAsia="bg-BG"/>
              </w:rPr>
            </w:pPr>
            <w:r w:rsidRPr="0073020D">
              <w:t>Хепатит</w:t>
            </w:r>
          </w:p>
        </w:tc>
      </w:tr>
      <w:tr w:rsidR="0073020D" w14:paraId="28B6654F" w14:textId="77777777" w:rsidTr="00225967">
        <w:tc>
          <w:tcPr>
            <w:tcW w:w="4750" w:type="dxa"/>
            <w:vAlign w:val="bottom"/>
          </w:tcPr>
          <w:p w14:paraId="2F7DDEF4" w14:textId="7B801393" w:rsidR="0073020D" w:rsidRPr="0073020D" w:rsidRDefault="0073020D" w:rsidP="0073020D">
            <w:pPr>
              <w:rPr>
                <w:lang w:eastAsia="bg-BG"/>
              </w:rPr>
            </w:pPr>
            <w:r w:rsidRPr="0073020D">
              <w:rPr>
                <w:b/>
                <w:bCs/>
              </w:rPr>
              <w:t>Нарушения на бъбреците и пикочните пътища</w:t>
            </w:r>
          </w:p>
        </w:tc>
        <w:tc>
          <w:tcPr>
            <w:tcW w:w="4750" w:type="dxa"/>
          </w:tcPr>
          <w:p w14:paraId="0ADF0458" w14:textId="77777777" w:rsidR="0073020D" w:rsidRPr="0073020D" w:rsidRDefault="0073020D" w:rsidP="0073020D">
            <w:pPr>
              <w:rPr>
                <w:lang w:eastAsia="bg-BG"/>
              </w:rPr>
            </w:pPr>
          </w:p>
        </w:tc>
      </w:tr>
      <w:tr w:rsidR="0073020D" w14:paraId="6329F67D" w14:textId="77777777" w:rsidTr="00225967">
        <w:tc>
          <w:tcPr>
            <w:tcW w:w="4750" w:type="dxa"/>
            <w:vAlign w:val="bottom"/>
          </w:tcPr>
          <w:p w14:paraId="78594A28" w14:textId="7B7BEBE7" w:rsidR="0073020D" w:rsidRPr="0073020D" w:rsidRDefault="0073020D" w:rsidP="0073020D">
            <w:pPr>
              <w:rPr>
                <w:lang w:eastAsia="bg-BG"/>
              </w:rPr>
            </w:pPr>
            <w:r w:rsidRPr="0073020D">
              <w:t>С неизвестна честота:</w:t>
            </w:r>
          </w:p>
        </w:tc>
        <w:tc>
          <w:tcPr>
            <w:tcW w:w="4750" w:type="dxa"/>
            <w:vAlign w:val="bottom"/>
          </w:tcPr>
          <w:p w14:paraId="147EE528" w14:textId="5C1606B6" w:rsidR="0073020D" w:rsidRPr="0073020D" w:rsidRDefault="0073020D" w:rsidP="0073020D">
            <w:pPr>
              <w:rPr>
                <w:lang w:eastAsia="bg-BG"/>
              </w:rPr>
            </w:pPr>
            <w:r w:rsidRPr="0073020D">
              <w:t>Дизурия, задръжка на урина</w:t>
            </w:r>
          </w:p>
        </w:tc>
      </w:tr>
      <w:tr w:rsidR="0073020D" w14:paraId="0B7FAF5D" w14:textId="77777777" w:rsidTr="00225967">
        <w:tc>
          <w:tcPr>
            <w:tcW w:w="4750" w:type="dxa"/>
            <w:vAlign w:val="bottom"/>
          </w:tcPr>
          <w:p w14:paraId="5BE1F3C6" w14:textId="540C4F74" w:rsidR="0073020D" w:rsidRPr="0073020D" w:rsidRDefault="0073020D" w:rsidP="0073020D">
            <w:pPr>
              <w:rPr>
                <w:lang w:eastAsia="bg-BG"/>
              </w:rPr>
            </w:pPr>
            <w:r w:rsidRPr="0073020D">
              <w:rPr>
                <w:b/>
                <w:bCs/>
              </w:rPr>
              <w:t>Нарушения на кожата и подкожната тъкан</w:t>
            </w:r>
          </w:p>
        </w:tc>
        <w:tc>
          <w:tcPr>
            <w:tcW w:w="4750" w:type="dxa"/>
          </w:tcPr>
          <w:p w14:paraId="0651CF05" w14:textId="77777777" w:rsidR="0073020D" w:rsidRPr="0073020D" w:rsidRDefault="0073020D" w:rsidP="0073020D">
            <w:pPr>
              <w:rPr>
                <w:lang w:eastAsia="bg-BG"/>
              </w:rPr>
            </w:pPr>
          </w:p>
        </w:tc>
      </w:tr>
      <w:tr w:rsidR="0073020D" w14:paraId="6C78FB99" w14:textId="77777777" w:rsidTr="00225967">
        <w:tc>
          <w:tcPr>
            <w:tcW w:w="4750" w:type="dxa"/>
          </w:tcPr>
          <w:p w14:paraId="3C772D45" w14:textId="7750FF16" w:rsidR="0073020D" w:rsidRPr="0073020D" w:rsidRDefault="0073020D" w:rsidP="0073020D">
            <w:pPr>
              <w:rPr>
                <w:lang w:eastAsia="bg-BG"/>
              </w:rPr>
            </w:pPr>
            <w:r w:rsidRPr="0073020D">
              <w:t>С неизвестна честота:</w:t>
            </w:r>
          </w:p>
        </w:tc>
        <w:tc>
          <w:tcPr>
            <w:tcW w:w="4750" w:type="dxa"/>
            <w:vAlign w:val="bottom"/>
          </w:tcPr>
          <w:p w14:paraId="43108988" w14:textId="7956E90C" w:rsidR="0073020D" w:rsidRPr="0073020D" w:rsidRDefault="0073020D" w:rsidP="0073020D">
            <w:pPr>
              <w:rPr>
                <w:lang w:eastAsia="bg-BG"/>
              </w:rPr>
            </w:pPr>
            <w:r w:rsidRPr="0073020D">
              <w:t>Ангионевротичен оток, фиксиран лекарствен обрив, сърбеж, обрив, уртикария</w:t>
            </w:r>
          </w:p>
        </w:tc>
      </w:tr>
      <w:tr w:rsidR="0073020D" w14:paraId="582D0855" w14:textId="77777777" w:rsidTr="00225967">
        <w:tc>
          <w:tcPr>
            <w:tcW w:w="4750" w:type="dxa"/>
            <w:vAlign w:val="bottom"/>
          </w:tcPr>
          <w:p w14:paraId="78590A93" w14:textId="16376D85" w:rsidR="0073020D" w:rsidRPr="0073020D" w:rsidRDefault="0073020D" w:rsidP="0073020D">
            <w:pPr>
              <w:rPr>
                <w:lang w:eastAsia="bg-BG"/>
              </w:rPr>
            </w:pPr>
            <w:r w:rsidRPr="0073020D">
              <w:rPr>
                <w:b/>
                <w:bCs/>
              </w:rPr>
              <w:t>Нарушения на мускулно-скелетната система и съединителната тъкан</w:t>
            </w:r>
          </w:p>
        </w:tc>
        <w:tc>
          <w:tcPr>
            <w:tcW w:w="4750" w:type="dxa"/>
            <w:vAlign w:val="bottom"/>
          </w:tcPr>
          <w:p w14:paraId="0AF79C1F" w14:textId="77777777" w:rsidR="0073020D" w:rsidRPr="0073020D" w:rsidRDefault="0073020D" w:rsidP="0073020D">
            <w:pPr>
              <w:rPr>
                <w:lang w:eastAsia="bg-BG"/>
              </w:rPr>
            </w:pPr>
          </w:p>
        </w:tc>
      </w:tr>
      <w:tr w:rsidR="0073020D" w14:paraId="1CD80507" w14:textId="77777777" w:rsidTr="00225967">
        <w:tc>
          <w:tcPr>
            <w:tcW w:w="4750" w:type="dxa"/>
            <w:vAlign w:val="bottom"/>
          </w:tcPr>
          <w:p w14:paraId="52A59220" w14:textId="67713A0A" w:rsidR="0073020D" w:rsidRPr="0073020D" w:rsidRDefault="0073020D" w:rsidP="0073020D">
            <w:pPr>
              <w:rPr>
                <w:lang w:eastAsia="bg-BG"/>
              </w:rPr>
            </w:pPr>
            <w:r w:rsidRPr="0073020D">
              <w:t>С неизвестна честота:</w:t>
            </w:r>
          </w:p>
        </w:tc>
        <w:tc>
          <w:tcPr>
            <w:tcW w:w="4750" w:type="dxa"/>
            <w:vAlign w:val="bottom"/>
          </w:tcPr>
          <w:p w14:paraId="34E3A905" w14:textId="7DCC90B5" w:rsidR="0073020D" w:rsidRPr="0073020D" w:rsidRDefault="0073020D" w:rsidP="0073020D">
            <w:pPr>
              <w:rPr>
                <w:lang w:eastAsia="bg-BG"/>
              </w:rPr>
            </w:pPr>
            <w:r w:rsidRPr="0073020D">
              <w:t>Миалгия, артралгия</w:t>
            </w:r>
          </w:p>
        </w:tc>
      </w:tr>
      <w:tr w:rsidR="0073020D" w14:paraId="0227161F" w14:textId="77777777" w:rsidTr="00225967">
        <w:tc>
          <w:tcPr>
            <w:tcW w:w="4750" w:type="dxa"/>
            <w:vAlign w:val="bottom"/>
          </w:tcPr>
          <w:p w14:paraId="264599B6" w14:textId="2BD8725B" w:rsidR="0073020D" w:rsidRPr="0073020D" w:rsidRDefault="0073020D" w:rsidP="0073020D">
            <w:pPr>
              <w:rPr>
                <w:lang w:eastAsia="bg-BG"/>
              </w:rPr>
            </w:pPr>
            <w:r w:rsidRPr="0073020D">
              <w:rPr>
                <w:b/>
                <w:bCs/>
              </w:rPr>
              <w:t>Общи нарушения и ефекти на мястото на приложение</w:t>
            </w:r>
          </w:p>
        </w:tc>
        <w:tc>
          <w:tcPr>
            <w:tcW w:w="4750" w:type="dxa"/>
            <w:vAlign w:val="bottom"/>
          </w:tcPr>
          <w:p w14:paraId="5726AF7C" w14:textId="77777777" w:rsidR="0073020D" w:rsidRPr="0073020D" w:rsidRDefault="0073020D" w:rsidP="0073020D">
            <w:pPr>
              <w:rPr>
                <w:lang w:eastAsia="bg-BG"/>
              </w:rPr>
            </w:pPr>
          </w:p>
        </w:tc>
      </w:tr>
      <w:tr w:rsidR="0073020D" w14:paraId="06FF4ACA" w14:textId="77777777" w:rsidTr="00225967">
        <w:tc>
          <w:tcPr>
            <w:tcW w:w="4750" w:type="dxa"/>
            <w:vAlign w:val="bottom"/>
          </w:tcPr>
          <w:p w14:paraId="30885038" w14:textId="29A7D79D" w:rsidR="0073020D" w:rsidRPr="0073020D" w:rsidRDefault="0073020D" w:rsidP="0073020D">
            <w:pPr>
              <w:rPr>
                <w:lang w:eastAsia="bg-BG"/>
              </w:rPr>
            </w:pPr>
            <w:r w:rsidRPr="0073020D">
              <w:t>С неизвестна честота:</w:t>
            </w:r>
          </w:p>
        </w:tc>
        <w:tc>
          <w:tcPr>
            <w:tcW w:w="4750" w:type="dxa"/>
            <w:vAlign w:val="bottom"/>
          </w:tcPr>
          <w:p w14:paraId="787A4D95" w14:textId="2707719C" w:rsidR="0073020D" w:rsidRPr="0073020D" w:rsidRDefault="0073020D" w:rsidP="0073020D">
            <w:pPr>
              <w:rPr>
                <w:lang w:eastAsia="bg-BG"/>
              </w:rPr>
            </w:pPr>
            <w:r w:rsidRPr="0073020D">
              <w:t>Оток</w:t>
            </w:r>
          </w:p>
        </w:tc>
      </w:tr>
      <w:tr w:rsidR="0073020D" w14:paraId="24C6E942" w14:textId="77777777" w:rsidTr="00225967">
        <w:tc>
          <w:tcPr>
            <w:tcW w:w="4750" w:type="dxa"/>
            <w:vAlign w:val="bottom"/>
          </w:tcPr>
          <w:p w14:paraId="0AE4CC07" w14:textId="639E43C3" w:rsidR="0073020D" w:rsidRPr="0073020D" w:rsidRDefault="0073020D" w:rsidP="0073020D">
            <w:pPr>
              <w:rPr>
                <w:lang w:eastAsia="bg-BG"/>
              </w:rPr>
            </w:pPr>
            <w:r w:rsidRPr="0073020D">
              <w:rPr>
                <w:b/>
                <w:bCs/>
              </w:rPr>
              <w:t>Изследвания</w:t>
            </w:r>
          </w:p>
        </w:tc>
        <w:tc>
          <w:tcPr>
            <w:tcW w:w="4750" w:type="dxa"/>
          </w:tcPr>
          <w:p w14:paraId="0673D534" w14:textId="77777777" w:rsidR="0073020D" w:rsidRPr="0073020D" w:rsidRDefault="0073020D" w:rsidP="0073020D">
            <w:pPr>
              <w:rPr>
                <w:lang w:eastAsia="bg-BG"/>
              </w:rPr>
            </w:pPr>
          </w:p>
        </w:tc>
      </w:tr>
      <w:tr w:rsidR="0073020D" w14:paraId="22646347" w14:textId="77777777" w:rsidTr="00225967">
        <w:tc>
          <w:tcPr>
            <w:tcW w:w="4750" w:type="dxa"/>
          </w:tcPr>
          <w:p w14:paraId="7DEF59BF" w14:textId="499A84BA" w:rsidR="0073020D" w:rsidRPr="0073020D" w:rsidRDefault="0073020D" w:rsidP="0073020D">
            <w:pPr>
              <w:rPr>
                <w:lang w:eastAsia="bg-BG"/>
              </w:rPr>
            </w:pPr>
            <w:r w:rsidRPr="0073020D">
              <w:t>С неизвестна честота</w:t>
            </w:r>
          </w:p>
        </w:tc>
        <w:tc>
          <w:tcPr>
            <w:tcW w:w="4750" w:type="dxa"/>
            <w:vAlign w:val="bottom"/>
          </w:tcPr>
          <w:p w14:paraId="6252ED3F" w14:textId="47E2BB32" w:rsidR="0073020D" w:rsidRPr="0073020D" w:rsidRDefault="0073020D" w:rsidP="0073020D">
            <w:pPr>
              <w:rPr>
                <w:lang w:eastAsia="bg-BG"/>
              </w:rPr>
            </w:pPr>
            <w:r w:rsidRPr="0073020D">
              <w:t>Повишаване на телесното тегло, отклонения в лабораторни изследвания на чернодробната функция</w:t>
            </w:r>
          </w:p>
        </w:tc>
      </w:tr>
    </w:tbl>
    <w:p w14:paraId="1E30B711" w14:textId="77777777" w:rsidR="0073020D" w:rsidRDefault="0073020D" w:rsidP="0073020D">
      <w:pPr>
        <w:rPr>
          <w:sz w:val="24"/>
          <w:szCs w:val="24"/>
          <w:lang w:eastAsia="bg-BG"/>
        </w:rPr>
      </w:pPr>
    </w:p>
    <w:p w14:paraId="5DE7EDEA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u w:val="single"/>
          <w:lang w:eastAsia="bg-BG"/>
        </w:rPr>
        <w:t>Описание на избрани нежелани реакции</w:t>
      </w:r>
    </w:p>
    <w:p w14:paraId="259F0858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При прекратяване на приема на левоцетиризин се съобщава пруритус.</w:t>
      </w:r>
    </w:p>
    <w:p w14:paraId="3F653B16" w14:textId="77777777" w:rsidR="0073020D" w:rsidRPr="0073020D" w:rsidRDefault="0073020D" w:rsidP="0073020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10FE5BE" w14:textId="1A1554DC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39ED98B1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 ул.,Дамян Груев” № 8,1303 София, Тел.: +35 928903417, уебсайт: </w:t>
      </w:r>
      <w:r w:rsidRPr="0073020D">
        <w:rPr>
          <w:rFonts w:eastAsia="Times New Roman" w:cs="Arial"/>
          <w:color w:val="000000"/>
          <w:u w:val="single"/>
          <w:lang w:val="en-US"/>
        </w:rPr>
        <w:t>ww.bda.bg.</w:t>
      </w:r>
    </w:p>
    <w:p w14:paraId="353BE1DC" w14:textId="77777777" w:rsidR="0073020D" w:rsidRPr="0073020D" w:rsidRDefault="0073020D" w:rsidP="0073020D"/>
    <w:p w14:paraId="378A0F20" w14:textId="65582394" w:rsidR="001D095A" w:rsidRDefault="002C50EE" w:rsidP="00340E8D">
      <w:pPr>
        <w:pStyle w:val="Heading2"/>
      </w:pPr>
      <w:r>
        <w:t>4.9. Предозиране</w:t>
      </w:r>
    </w:p>
    <w:p w14:paraId="3A8607DD" w14:textId="77777777" w:rsidR="0073020D" w:rsidRDefault="0073020D" w:rsidP="0073020D"/>
    <w:p w14:paraId="749B42A4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u w:val="single"/>
          <w:lang w:eastAsia="bg-BG"/>
        </w:rPr>
        <w:t>Симптоми</w:t>
      </w:r>
    </w:p>
    <w:p w14:paraId="03587402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Симптомите на предозиране могат да включват сънливост при възрастни. При деца първоначално може да се наблюдава възбудимост и безпокойство, последвано от сънливост.</w:t>
      </w:r>
    </w:p>
    <w:p w14:paraId="4BC36ECC" w14:textId="77777777" w:rsidR="0073020D" w:rsidRPr="0073020D" w:rsidRDefault="0073020D" w:rsidP="0073020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3672FE3" w14:textId="510F1C74" w:rsidR="0073020D" w:rsidRPr="0073020D" w:rsidRDefault="0073020D" w:rsidP="0073020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73020D">
        <w:rPr>
          <w:rFonts w:eastAsia="Times New Roman" w:cs="Arial"/>
          <w:color w:val="000000"/>
          <w:u w:val="single"/>
          <w:lang w:eastAsia="bg-BG"/>
        </w:rPr>
        <w:t>Действия при предозиране</w:t>
      </w:r>
    </w:p>
    <w:p w14:paraId="58A51C63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lastRenderedPageBreak/>
        <w:t>Няма специфичен антидот срещу левоцетиризин.</w:t>
      </w:r>
    </w:p>
    <w:p w14:paraId="513EE4CB" w14:textId="77777777" w:rsidR="0073020D" w:rsidRPr="0073020D" w:rsidRDefault="0073020D" w:rsidP="0073020D">
      <w:pPr>
        <w:spacing w:line="240" w:lineRule="auto"/>
        <w:rPr>
          <w:rFonts w:eastAsia="Times New Roman" w:cs="Arial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В случай на предозиране се препоръчва симптоматично или поддържащо лечение. Непосредствено след поглъщането може да се обмисли стомашна промивка.</w:t>
      </w:r>
    </w:p>
    <w:p w14:paraId="6943BF1A" w14:textId="1E3BDDF5" w:rsidR="0073020D" w:rsidRPr="0073020D" w:rsidRDefault="0073020D" w:rsidP="0073020D">
      <w:pPr>
        <w:rPr>
          <w:rFonts w:eastAsia="Times New Roman" w:cs="Arial"/>
          <w:color w:val="000000"/>
          <w:lang w:eastAsia="bg-BG"/>
        </w:rPr>
      </w:pPr>
      <w:r w:rsidRPr="0073020D">
        <w:rPr>
          <w:rFonts w:eastAsia="Times New Roman" w:cs="Arial"/>
          <w:color w:val="000000"/>
          <w:lang w:eastAsia="bg-BG"/>
        </w:rPr>
        <w:t>Левоцетиризин не се отстранява ефикасно с хемодиализа.</w:t>
      </w:r>
    </w:p>
    <w:p w14:paraId="259354DD" w14:textId="77777777" w:rsidR="0073020D" w:rsidRPr="0073020D" w:rsidRDefault="0073020D" w:rsidP="0073020D">
      <w:pPr>
        <w:rPr>
          <w:lang w:eastAsia="bg-BG"/>
        </w:rPr>
      </w:pPr>
    </w:p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38E92AEC" w:rsidR="00F62E44" w:rsidRDefault="002C50EE" w:rsidP="00387A66">
      <w:pPr>
        <w:pStyle w:val="Heading2"/>
      </w:pPr>
      <w:r>
        <w:t>5.1. Фармакодинамични свойства</w:t>
      </w:r>
    </w:p>
    <w:p w14:paraId="62876BE9" w14:textId="77777777" w:rsidR="0073020D" w:rsidRDefault="0073020D" w:rsidP="0073020D"/>
    <w:p w14:paraId="16DEA0D7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 xml:space="preserve">Фармакотерапевтична група: антихистамин за системна употреба, пиперазиново производно. АТС код: </w:t>
      </w:r>
      <w:r w:rsidRPr="00FA2B37">
        <w:rPr>
          <w:rFonts w:eastAsia="Times New Roman" w:cs="Arial"/>
          <w:color w:val="000000"/>
          <w:lang w:val="en-US"/>
        </w:rPr>
        <w:t>R06AE09.</w:t>
      </w:r>
    </w:p>
    <w:p w14:paraId="5F7F3606" w14:textId="77777777" w:rsidR="00FA2B37" w:rsidRDefault="00FA2B37" w:rsidP="00FA2B3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5CD2581" w14:textId="62367DA6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5A24B80D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 xml:space="preserve">Левоцетиризин, </w:t>
      </w:r>
      <w:r w:rsidRPr="00FA2B37">
        <w:rPr>
          <w:rFonts w:eastAsia="Times New Roman" w:cs="Arial"/>
          <w:color w:val="000000"/>
          <w:lang w:val="en-US"/>
        </w:rPr>
        <w:t xml:space="preserve">(R) </w:t>
      </w:r>
      <w:r w:rsidRPr="00FA2B37">
        <w:rPr>
          <w:rFonts w:eastAsia="Times New Roman" w:cs="Arial"/>
          <w:color w:val="000000"/>
          <w:lang w:eastAsia="bg-BG"/>
        </w:rPr>
        <w:t>енантиомерът на цетиризин, е мощен и селективен антагонист на периферните Н1- рецептори.</w:t>
      </w:r>
    </w:p>
    <w:p w14:paraId="4DB5C408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 xml:space="preserve">Проучванията върху свързването показват, че левоцетиризин има висок афинитет към човешки </w:t>
      </w:r>
      <w:r w:rsidRPr="00FA2B37">
        <w:rPr>
          <w:rFonts w:eastAsia="Times New Roman" w:cs="Arial"/>
          <w:color w:val="000000"/>
          <w:lang w:val="en-US"/>
        </w:rPr>
        <w:t>Hl</w:t>
      </w:r>
      <w:r w:rsidRPr="00FA2B37">
        <w:rPr>
          <w:rFonts w:eastAsia="Times New Roman" w:cs="Arial"/>
          <w:color w:val="000000"/>
          <w:lang w:eastAsia="bg-BG"/>
        </w:rPr>
        <w:t xml:space="preserve">-рецептори </w:t>
      </w:r>
      <w:r w:rsidRPr="00FA2B37">
        <w:rPr>
          <w:rFonts w:eastAsia="Times New Roman" w:cs="Arial"/>
          <w:color w:val="000000"/>
          <w:lang w:val="en-US"/>
        </w:rPr>
        <w:t xml:space="preserve">(Ki </w:t>
      </w:r>
      <w:r w:rsidRPr="00FA2B37">
        <w:rPr>
          <w:rFonts w:eastAsia="Times New Roman" w:cs="Arial"/>
          <w:color w:val="000000"/>
          <w:lang w:eastAsia="bg-BG"/>
        </w:rPr>
        <w:t xml:space="preserve">= 3,2 </w:t>
      </w:r>
      <w:r w:rsidRPr="00FA2B37">
        <w:rPr>
          <w:rFonts w:eastAsia="Times New Roman" w:cs="Arial"/>
          <w:color w:val="000000"/>
          <w:lang w:val="en-US"/>
        </w:rPr>
        <w:t xml:space="preserve">nmol/1). </w:t>
      </w:r>
      <w:r w:rsidRPr="00FA2B37">
        <w:rPr>
          <w:rFonts w:eastAsia="Times New Roman" w:cs="Arial"/>
          <w:color w:val="000000"/>
          <w:lang w:eastAsia="bg-BG"/>
        </w:rPr>
        <w:t xml:space="preserve">Левоцетиризин има афинитет 2-кратно по-висок от този на цетиризин </w:t>
      </w:r>
      <w:r w:rsidRPr="00FA2B37">
        <w:rPr>
          <w:rFonts w:eastAsia="Times New Roman" w:cs="Arial"/>
          <w:color w:val="000000"/>
          <w:lang w:val="en-US"/>
        </w:rPr>
        <w:t xml:space="preserve">(Ki </w:t>
      </w:r>
      <w:r w:rsidRPr="00FA2B37">
        <w:rPr>
          <w:rFonts w:eastAsia="Times New Roman" w:cs="Arial"/>
          <w:color w:val="000000"/>
          <w:lang w:eastAsia="bg-BG"/>
        </w:rPr>
        <w:t xml:space="preserve">= 6,3 </w:t>
      </w:r>
      <w:r w:rsidRPr="00FA2B37">
        <w:rPr>
          <w:rFonts w:eastAsia="Times New Roman" w:cs="Arial"/>
          <w:color w:val="000000"/>
          <w:lang w:val="en-US"/>
        </w:rPr>
        <w:t xml:space="preserve">nmol/1). </w:t>
      </w:r>
      <w:r w:rsidRPr="00FA2B37">
        <w:rPr>
          <w:rFonts w:eastAsia="Times New Roman" w:cs="Arial"/>
          <w:color w:val="000000"/>
          <w:lang w:eastAsia="bg-BG"/>
        </w:rPr>
        <w:t xml:space="preserve">Левоцетиризин се отделя от </w:t>
      </w:r>
      <w:r w:rsidRPr="00FA2B37">
        <w:rPr>
          <w:rFonts w:eastAsia="Times New Roman" w:cs="Arial"/>
          <w:color w:val="000000"/>
          <w:lang w:val="en-US"/>
        </w:rPr>
        <w:t>H1</w:t>
      </w:r>
      <w:r w:rsidRPr="00FA2B37">
        <w:rPr>
          <w:rFonts w:eastAsia="Times New Roman" w:cs="Arial"/>
          <w:color w:val="000000"/>
          <w:lang w:eastAsia="bg-BG"/>
        </w:rPr>
        <w:t>-рецепторите с време на полуживот от 115 ± 38 минути. След еднократно приложение, левоцетиризин заема 90% от рецепторите на 4 час и 57% на 24 час.</w:t>
      </w:r>
    </w:p>
    <w:p w14:paraId="2C84B260" w14:textId="77777777" w:rsidR="00FA2B37" w:rsidRDefault="00FA2B37" w:rsidP="00FA2B3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12E43AB" w14:textId="2E487386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u w:val="single"/>
          <w:lang w:eastAsia="bg-BG"/>
        </w:rPr>
        <w:t>Фармакодинамични ефекти</w:t>
      </w:r>
    </w:p>
    <w:p w14:paraId="76E6CC03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>Фармакодинамичните проучвания на здрави доброволци показват, че при половин доза, левоцетиризин има сравнима с цетиризин активност, както върху кожата, така и в носа. Фармакодинамичната активност на левоцетиризин е проучена в рандомизирани, контролирани изпитвания.</w:t>
      </w:r>
    </w:p>
    <w:p w14:paraId="33B7E3E5" w14:textId="77777777" w:rsidR="00FA2B37" w:rsidRDefault="00FA2B37" w:rsidP="00FA2B3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F2D8794" w14:textId="79BBC66B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 xml:space="preserve">В изпитване за сравняване ефекта на левоцетиризин 5 </w:t>
      </w:r>
      <w:r w:rsidRPr="00FA2B37">
        <w:rPr>
          <w:rFonts w:eastAsia="Times New Roman" w:cs="Arial"/>
          <w:color w:val="000000"/>
          <w:lang w:val="en-US"/>
        </w:rPr>
        <w:t xml:space="preserve">mg, </w:t>
      </w:r>
      <w:r w:rsidRPr="00FA2B37">
        <w:rPr>
          <w:rFonts w:eastAsia="Times New Roman" w:cs="Arial"/>
          <w:color w:val="000000"/>
          <w:lang w:eastAsia="bg-BG"/>
        </w:rPr>
        <w:t xml:space="preserve">дезлоратидин 5 </w:t>
      </w:r>
      <w:r w:rsidRPr="00FA2B37">
        <w:rPr>
          <w:rFonts w:eastAsia="Times New Roman" w:cs="Arial"/>
          <w:color w:val="000000"/>
          <w:lang w:val="en-US"/>
        </w:rPr>
        <w:t xml:space="preserve">mg </w:t>
      </w:r>
      <w:r w:rsidRPr="00FA2B37">
        <w:rPr>
          <w:rFonts w:eastAsia="Times New Roman" w:cs="Arial"/>
          <w:color w:val="000000"/>
          <w:lang w:eastAsia="bg-BG"/>
        </w:rPr>
        <w:t xml:space="preserve">и плацебо при хистамин-индуцирани папула и еритема, лечението с левоцетиризин води до значимо понижение на формирането на папула и еритема, което е най-изразено в първите 12 часа и продължава 24 часа, (р&lt;0,001) в сравнение с плацебо </w:t>
      </w:r>
      <w:r w:rsidRPr="00FA2B37">
        <w:rPr>
          <w:rFonts w:eastAsia="Times New Roman" w:cs="Arial"/>
          <w:i/>
          <w:iCs/>
          <w:color w:val="000000"/>
          <w:lang w:eastAsia="bg-BG"/>
        </w:rPr>
        <w:t>и</w:t>
      </w:r>
      <w:r w:rsidRPr="00FA2B37">
        <w:rPr>
          <w:rFonts w:eastAsia="Times New Roman" w:cs="Arial"/>
          <w:color w:val="000000"/>
          <w:lang w:eastAsia="bg-BG"/>
        </w:rPr>
        <w:t xml:space="preserve"> дезлоратидин.</w:t>
      </w:r>
    </w:p>
    <w:p w14:paraId="32748DA7" w14:textId="77777777" w:rsidR="00FA2B37" w:rsidRDefault="00FA2B37" w:rsidP="00FA2B3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B6EF3D" w14:textId="30AE86C2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 xml:space="preserve">Началото на действието на левоцетиризин 5 </w:t>
      </w:r>
      <w:r w:rsidRPr="00FA2B37">
        <w:rPr>
          <w:rFonts w:eastAsia="Times New Roman" w:cs="Arial"/>
          <w:color w:val="000000"/>
          <w:lang w:val="en-US"/>
        </w:rPr>
        <w:t xml:space="preserve">mg </w:t>
      </w:r>
      <w:r w:rsidRPr="00FA2B37">
        <w:rPr>
          <w:rFonts w:eastAsia="Times New Roman" w:cs="Arial"/>
          <w:color w:val="000000"/>
          <w:lang w:eastAsia="bg-BG"/>
        </w:rPr>
        <w:t>при контролиране на полен-индуцирани симптоми е установено на първия час след приема на лекарството в плацебо-контролирани изпитвания с модела на алергенно натоварващата камера.</w:t>
      </w:r>
    </w:p>
    <w:p w14:paraId="74429BF2" w14:textId="77777777" w:rsidR="00FA2B37" w:rsidRDefault="00FA2B37" w:rsidP="00FA2B37">
      <w:pPr>
        <w:spacing w:line="240" w:lineRule="auto"/>
        <w:rPr>
          <w:rFonts w:eastAsia="Times New Roman" w:cs="Arial"/>
          <w:i/>
          <w:iCs/>
          <w:color w:val="000000"/>
          <w:lang w:val="en-US"/>
        </w:rPr>
      </w:pPr>
    </w:p>
    <w:p w14:paraId="6504D305" w14:textId="3C6B1CF4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i/>
          <w:iCs/>
          <w:color w:val="000000"/>
          <w:lang w:val="en-US"/>
        </w:rPr>
        <w:t>In vitro</w:t>
      </w:r>
      <w:r w:rsidRPr="00FA2B37">
        <w:rPr>
          <w:rFonts w:eastAsia="Times New Roman" w:cs="Arial"/>
          <w:color w:val="000000"/>
          <w:lang w:val="en-US"/>
        </w:rPr>
        <w:t xml:space="preserve"> </w:t>
      </w:r>
      <w:r w:rsidRPr="00FA2B37">
        <w:rPr>
          <w:rFonts w:eastAsia="Times New Roman" w:cs="Arial"/>
          <w:color w:val="000000"/>
          <w:lang w:eastAsia="bg-BG"/>
        </w:rPr>
        <w:t xml:space="preserve">проучванията (камера на Бойден и техники с клетъчни слоеве) показват, че левоцетиризин потиска еотаксин-индуцираното еозинофилно трансендотелиално мигриране през дермалните и белодробни клетки. Фармакодинамично експериментално проучване </w:t>
      </w:r>
      <w:r w:rsidRPr="00FA2B37">
        <w:rPr>
          <w:rFonts w:eastAsia="Times New Roman" w:cs="Arial"/>
          <w:i/>
          <w:iCs/>
          <w:color w:val="000000"/>
          <w:lang w:val="en-US"/>
        </w:rPr>
        <w:t xml:space="preserve">in vivo </w:t>
      </w:r>
      <w:r w:rsidRPr="00FA2B37">
        <w:rPr>
          <w:rFonts w:eastAsia="Times New Roman" w:cs="Arial"/>
          <w:color w:val="000000"/>
          <w:lang w:eastAsia="bg-BG"/>
        </w:rPr>
        <w:t xml:space="preserve">(кожно-камерна техника) показва три основни инхибиторни ефекта на левоцетиризин 5 </w:t>
      </w:r>
      <w:r w:rsidRPr="00FA2B37">
        <w:rPr>
          <w:rFonts w:eastAsia="Times New Roman" w:cs="Arial"/>
          <w:color w:val="000000"/>
          <w:lang w:val="en-US"/>
        </w:rPr>
        <w:t xml:space="preserve">mg </w:t>
      </w:r>
      <w:r w:rsidRPr="00FA2B37">
        <w:rPr>
          <w:rFonts w:eastAsia="Times New Roman" w:cs="Arial"/>
          <w:color w:val="000000"/>
          <w:lang w:eastAsia="bg-BG"/>
        </w:rPr>
        <w:t xml:space="preserve">през първите 6 часа от полен-индуцирана реакция, в сравнение с плацебо при 14 възрастни пациенти: потискане на </w:t>
      </w:r>
      <w:r w:rsidRPr="00FA2B37">
        <w:rPr>
          <w:rFonts w:eastAsia="Times New Roman" w:cs="Arial"/>
          <w:color w:val="000000"/>
          <w:lang w:val="en-US"/>
        </w:rPr>
        <w:t xml:space="preserve">VCAM-1 </w:t>
      </w:r>
      <w:r w:rsidRPr="00FA2B37">
        <w:rPr>
          <w:rFonts w:eastAsia="Times New Roman" w:cs="Arial"/>
          <w:color w:val="000000"/>
          <w:lang w:eastAsia="bg-BG"/>
        </w:rPr>
        <w:t>освобождаването, модулиране на съдовия пермеабилитет и понижение на еозинофилното участие.</w:t>
      </w:r>
    </w:p>
    <w:p w14:paraId="660EB48A" w14:textId="77777777" w:rsidR="00FA2B37" w:rsidRDefault="00FA2B37" w:rsidP="00FA2B3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5205B2F" w14:textId="3A6594EA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u w:val="single"/>
          <w:lang w:eastAsia="bg-BG"/>
        </w:rPr>
        <w:t>Клинична ефикасност и безопасност</w:t>
      </w:r>
    </w:p>
    <w:p w14:paraId="4556D0EC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>Ефикасността и безопасността на левоцетиризин е установена в няколко двойно-слепи, плацебо-контролирани проучвания, проведени с възрастни пациенти, страдащи от сезонен алергичен ринит, целогодишен алергичен ринит или персистиращ алергичен ринит.</w:t>
      </w:r>
    </w:p>
    <w:p w14:paraId="2E99C614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lastRenderedPageBreak/>
        <w:t>Установено е, че левоцетиризин значително подобрява симптоматиката при алергичен ринит, включително назалната обструкция в някои от проучванията.</w:t>
      </w:r>
    </w:p>
    <w:p w14:paraId="3C4079F2" w14:textId="77777777" w:rsidR="00FA2B37" w:rsidRDefault="00FA2B37" w:rsidP="00FA2B3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C50A6A9" w14:textId="5D3102AC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 xml:space="preserve">Шестмесечно клинично проучване при 551 възрастни пациенти (включително 276 пациенти, лекувани с левоцетиризин), страдащи от персистиращ алергичен ринит (симптомите се проявяват поне 4 дни седмично в продължение на поне 4 последователни седмици) и сенсибилизирани към домашен прах и тревни полени, показа, че левоцетиризин 5 </w:t>
      </w:r>
      <w:r w:rsidRPr="00FA2B37">
        <w:rPr>
          <w:rFonts w:eastAsia="Times New Roman" w:cs="Arial"/>
          <w:color w:val="000000"/>
          <w:lang w:val="en-US"/>
        </w:rPr>
        <w:t xml:space="preserve">mg </w:t>
      </w:r>
      <w:r w:rsidRPr="00FA2B37">
        <w:rPr>
          <w:rFonts w:eastAsia="Times New Roman" w:cs="Arial"/>
          <w:color w:val="000000"/>
          <w:lang w:eastAsia="bg-BG"/>
        </w:rPr>
        <w:t>е значително по-ефикасен клинично и статистически от плацебо при облекчаване на тоталния симптомен резултат на алергичен ринит по време на цялото изпитване, без каквато и да е тахифилаксия. Левоцетиризин значително подобрява качеството на живот на пациентите през целия период на проучването.</w:t>
      </w:r>
    </w:p>
    <w:p w14:paraId="720A4CE6" w14:textId="77777777" w:rsidR="00FA2B37" w:rsidRDefault="00FA2B37" w:rsidP="00FA2B37">
      <w:pPr>
        <w:rPr>
          <w:rFonts w:eastAsia="Times New Roman" w:cs="Arial"/>
          <w:color w:val="000000"/>
          <w:lang w:eastAsia="bg-BG"/>
        </w:rPr>
      </w:pPr>
    </w:p>
    <w:p w14:paraId="3E5066CF" w14:textId="77777777" w:rsidR="00FA2B37" w:rsidRPr="00FA2B37" w:rsidRDefault="00FA2B37" w:rsidP="00FA2B37">
      <w:pPr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 xml:space="preserve">В плацебо-контролирано клинично изпитване при 166 пациенти с хронична идиопатична уртикария, 85 пациенти са лекувани с плацебо, а 81 пациенти с левоцетиризин 5 </w:t>
      </w:r>
      <w:r w:rsidRPr="00FA2B37">
        <w:rPr>
          <w:rFonts w:eastAsia="Times New Roman" w:cs="Arial"/>
          <w:color w:val="000000"/>
          <w:lang w:val="en-US"/>
        </w:rPr>
        <w:t xml:space="preserve">mg </w:t>
      </w:r>
      <w:r w:rsidRPr="00FA2B37">
        <w:rPr>
          <w:rFonts w:eastAsia="Times New Roman" w:cs="Arial"/>
          <w:color w:val="000000"/>
          <w:lang w:eastAsia="bg-BG"/>
        </w:rPr>
        <w:t>един път дневно в продължение на шест седмици. Лечението с левоцетиризин води до значимо понижение в тежестта на сърбежа през първата седмица и за целия период на лечение в сравнение с плацебо. Левоцетиризин води и до по-изразено подобрение на качеството на живот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FA2B37">
        <w:rPr>
          <w:rFonts w:eastAsia="Times New Roman" w:cs="Arial"/>
          <w:color w:val="000000"/>
          <w:lang w:eastAsia="bg-BG"/>
        </w:rPr>
        <w:t>свързано със здравето на пациентите, оценено по индекс на Дерматологичното качество на живот в сравнение с плацебо.</w:t>
      </w:r>
    </w:p>
    <w:p w14:paraId="43850496" w14:textId="77777777" w:rsidR="00FA2B37" w:rsidRDefault="00FA2B37" w:rsidP="00FA2B3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D769931" w14:textId="619F9E33" w:rsidR="00FA2B37" w:rsidRDefault="00FA2B37" w:rsidP="00FA2B37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 xml:space="preserve">Хроничната идиопатична уртикария е проучвана като модел на уртикариални състояния. </w:t>
      </w:r>
    </w:p>
    <w:p w14:paraId="2D84FA4D" w14:textId="49DFF76B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>Тъй като освобождаването на хистамин е причинно-следствения фактор за появата на уртикариални заболявания, се очаква левоцетиризин да е ефикасен за облекчаване на симптоматиката на други уртикариални състояния, в допълнение на хроничната идиопатична уртикария.</w:t>
      </w:r>
    </w:p>
    <w:p w14:paraId="1F9BE08C" w14:textId="77777777" w:rsidR="00FA2B37" w:rsidRDefault="00FA2B37" w:rsidP="00FA2B3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183336A" w14:textId="602C53E8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 xml:space="preserve">В ЕКГ не се установяват значими промени в </w:t>
      </w:r>
      <w:r w:rsidRPr="00FA2B37">
        <w:rPr>
          <w:rFonts w:eastAsia="Times New Roman" w:cs="Arial"/>
          <w:color w:val="000000"/>
          <w:lang w:val="en-US"/>
        </w:rPr>
        <w:t xml:space="preserve">QT </w:t>
      </w:r>
      <w:r w:rsidRPr="00FA2B37">
        <w:rPr>
          <w:rFonts w:eastAsia="Times New Roman" w:cs="Arial"/>
          <w:color w:val="000000"/>
          <w:lang w:eastAsia="bg-BG"/>
        </w:rPr>
        <w:t>интервала в резултат на левоцетиризин.</w:t>
      </w:r>
    </w:p>
    <w:p w14:paraId="5E438AAF" w14:textId="77777777" w:rsidR="00FA2B37" w:rsidRDefault="00FA2B37" w:rsidP="00FA2B3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1584260" w14:textId="60635868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31F720B0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>Безопасност и ефикасност на левоцетиризин таблетки при деца са били изследвани в две плацебо контролирани проучвания, включващи пациенти на възраст от 6 до 12 години, с диагноза сезонен и съответно целогодишен алергичен ринит. И в двете изпитвания, левоцетиризин значително подобрява симптомите и подобрява качеството на живот.</w:t>
      </w:r>
    </w:p>
    <w:p w14:paraId="70ADC22C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>Клиничната безопасност при деца под 6 годишна възраст, е била установена в няколко кратко</w:t>
      </w:r>
      <w:r w:rsidRPr="00FA2B37">
        <w:rPr>
          <w:rFonts w:eastAsia="Times New Roman" w:cs="Arial"/>
          <w:color w:val="000000"/>
          <w:lang w:eastAsia="bg-BG"/>
        </w:rPr>
        <w:softHyphen/>
        <w:t>срочни и продължителни терапевтични проучвания:</w:t>
      </w:r>
    </w:p>
    <w:p w14:paraId="5AB0FEB0" w14:textId="77777777" w:rsidR="00FA2B37" w:rsidRPr="00FA2B37" w:rsidRDefault="00FA2B37" w:rsidP="00FA2B37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 xml:space="preserve">едно клинично проучване, в което 29 деца на възраст от 2 до 6 години с алергичен ринит са били лекувани с левоцетиризин 1,25 </w:t>
      </w:r>
      <w:r w:rsidRPr="00FA2B37">
        <w:rPr>
          <w:rFonts w:eastAsia="Times New Roman" w:cs="Arial"/>
          <w:color w:val="000000"/>
          <w:lang w:val="en-US"/>
        </w:rPr>
        <w:t xml:space="preserve">mg </w:t>
      </w:r>
      <w:r w:rsidRPr="00FA2B37">
        <w:rPr>
          <w:rFonts w:eastAsia="Times New Roman" w:cs="Arial"/>
          <w:color w:val="000000"/>
          <w:lang w:eastAsia="bg-BG"/>
        </w:rPr>
        <w:t>два пъти дневно за 4 седмици.</w:t>
      </w:r>
    </w:p>
    <w:p w14:paraId="37A3C258" w14:textId="77777777" w:rsidR="00FA2B37" w:rsidRPr="00FA2B37" w:rsidRDefault="00FA2B37" w:rsidP="00FA2B37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 xml:space="preserve">едно клинично проучване, в което 114 деца на възраст от 1 до 5 години с алергичен ринит или хронична идиопатична уртикария са били лекувани с левоцетиризин 1,25 </w:t>
      </w:r>
      <w:r w:rsidRPr="00FA2B37">
        <w:rPr>
          <w:rFonts w:eastAsia="Times New Roman" w:cs="Arial"/>
          <w:color w:val="000000"/>
          <w:lang w:val="en-US"/>
        </w:rPr>
        <w:t xml:space="preserve">mg </w:t>
      </w:r>
      <w:r w:rsidRPr="00FA2B37">
        <w:rPr>
          <w:rFonts w:eastAsia="Times New Roman" w:cs="Arial"/>
          <w:color w:val="000000"/>
          <w:lang w:eastAsia="bg-BG"/>
        </w:rPr>
        <w:t>два пъти дневно за 2 седмици.</w:t>
      </w:r>
    </w:p>
    <w:p w14:paraId="194193ED" w14:textId="77777777" w:rsidR="00FA2B37" w:rsidRPr="00FA2B37" w:rsidRDefault="00FA2B37" w:rsidP="00FA2B37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 xml:space="preserve">едно клинично проучване, в което 45 деца на възраст от 6 до 11 месеца с алергичен ринит или хронична идиопатична уртиракария са били лекувани с левоцетиризин 1,25 </w:t>
      </w:r>
      <w:r w:rsidRPr="00FA2B37">
        <w:rPr>
          <w:rFonts w:eastAsia="Times New Roman" w:cs="Arial"/>
          <w:color w:val="000000"/>
          <w:lang w:val="en-US"/>
        </w:rPr>
        <w:t xml:space="preserve">mg </w:t>
      </w:r>
      <w:r w:rsidRPr="00FA2B37">
        <w:rPr>
          <w:rFonts w:eastAsia="Times New Roman" w:cs="Arial"/>
          <w:color w:val="000000"/>
          <w:lang w:eastAsia="bg-BG"/>
        </w:rPr>
        <w:t>веднъж дневно за 2 седмици.</w:t>
      </w:r>
    </w:p>
    <w:p w14:paraId="0D04DFE5" w14:textId="4181525D" w:rsidR="00FA2B37" w:rsidRPr="00FA2B37" w:rsidRDefault="00FA2B37" w:rsidP="00FA2B37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>едно продължително (18 месеца) клинично изпитване с 225 атопични пациенти лекувани с левоцетиризин на възраст от 12 до 24 месеца при включването.</w:t>
      </w:r>
    </w:p>
    <w:p w14:paraId="0F0DFE28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>Профилът на безопасност е подобен на този, наблюдаван при краткосрочни клинични проучвания при деца на възраст от 1 до 5 години.</w:t>
      </w:r>
    </w:p>
    <w:p w14:paraId="4339004A" w14:textId="26DBED38" w:rsidR="0073020D" w:rsidRPr="00FA2B37" w:rsidRDefault="0073020D" w:rsidP="00FA2B37">
      <w:pPr>
        <w:rPr>
          <w:rFonts w:eastAsia="Times New Roman" w:cs="Arial"/>
          <w:color w:val="000000"/>
          <w:lang w:eastAsia="bg-BG"/>
        </w:rPr>
      </w:pPr>
    </w:p>
    <w:p w14:paraId="201318EE" w14:textId="77777777" w:rsidR="00FA2B37" w:rsidRPr="0073020D" w:rsidRDefault="00FA2B37" w:rsidP="00FA2B37"/>
    <w:p w14:paraId="544FFDAF" w14:textId="64206E42" w:rsidR="00F62E44" w:rsidRDefault="002C50EE" w:rsidP="00387A66">
      <w:pPr>
        <w:pStyle w:val="Heading2"/>
      </w:pPr>
      <w:r>
        <w:lastRenderedPageBreak/>
        <w:t>5.2. Фармакокинетични свойства</w:t>
      </w:r>
    </w:p>
    <w:p w14:paraId="11C83D11" w14:textId="77777777" w:rsidR="00FA2B37" w:rsidRDefault="00FA2B37" w:rsidP="00FA2B37"/>
    <w:p w14:paraId="6D429601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>Фармакокинетиката на левоцетиризин е линейна, независеща от дозата и времето, с ниска индивидуална вариабилност. Фармакокинетичният профил е един и същ, независимо от това дали се прилага като единичен енантиомер или като цетиризин. В процесите на абсорбция и елиминиране не настъпва хирално преобразуване.</w:t>
      </w:r>
    </w:p>
    <w:p w14:paraId="48BC857A" w14:textId="77777777" w:rsidR="00FA2B37" w:rsidRDefault="00FA2B37" w:rsidP="00FA2B3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E81A012" w14:textId="2B6B26CE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u w:val="single"/>
          <w:lang w:eastAsia="bg-BG"/>
        </w:rPr>
        <w:t>Абсорбция:</w:t>
      </w:r>
    </w:p>
    <w:p w14:paraId="3DE6A82F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 xml:space="preserve">След перорално приложение левоцетиризин се абсорбира бързо и екстензивно. При възрастни максимална плазмена концентрация се постига 0,9 часа след приложение. Устойчиво равновесие се установяват след два дни. Пиковите концентрация след приемане на единична доза от 5 </w:t>
      </w:r>
      <w:r w:rsidRPr="00FA2B37">
        <w:rPr>
          <w:rFonts w:eastAsia="Times New Roman" w:cs="Arial"/>
          <w:color w:val="000000"/>
          <w:lang w:val="en-US"/>
        </w:rPr>
        <w:t xml:space="preserve">mg </w:t>
      </w:r>
      <w:r w:rsidRPr="00FA2B37">
        <w:rPr>
          <w:rFonts w:eastAsia="Times New Roman" w:cs="Arial"/>
          <w:color w:val="000000"/>
          <w:lang w:eastAsia="bg-BG"/>
        </w:rPr>
        <w:t xml:space="preserve">или при повторен прием са съответно 270 </w:t>
      </w:r>
      <w:r w:rsidRPr="00FA2B37">
        <w:rPr>
          <w:rFonts w:eastAsia="Times New Roman" w:cs="Arial"/>
          <w:color w:val="000000"/>
          <w:lang w:val="en-US"/>
        </w:rPr>
        <w:t xml:space="preserve">ng/ml </w:t>
      </w:r>
      <w:r w:rsidRPr="00FA2B37">
        <w:rPr>
          <w:rFonts w:eastAsia="Times New Roman" w:cs="Arial"/>
          <w:color w:val="000000"/>
          <w:lang w:eastAsia="bg-BG"/>
        </w:rPr>
        <w:t xml:space="preserve">и 308 </w:t>
      </w:r>
      <w:r w:rsidRPr="00FA2B37">
        <w:rPr>
          <w:rFonts w:eastAsia="Times New Roman" w:cs="Arial"/>
          <w:color w:val="000000"/>
          <w:lang w:val="en-US"/>
        </w:rPr>
        <w:t xml:space="preserve">ng/ml. </w:t>
      </w:r>
      <w:r w:rsidRPr="00FA2B37">
        <w:rPr>
          <w:rFonts w:eastAsia="Times New Roman" w:cs="Arial"/>
          <w:color w:val="000000"/>
          <w:lang w:eastAsia="bg-BG"/>
        </w:rPr>
        <w:t>Степента на абсорбция не зависи от дозата и не се променя от приема на храна, но пиковата концентрация е по-ниска и се достига след по-дълго време..</w:t>
      </w:r>
    </w:p>
    <w:p w14:paraId="18F46575" w14:textId="77777777" w:rsidR="00FA2B37" w:rsidRDefault="00FA2B37" w:rsidP="00FA2B3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4CEDE27" w14:textId="03596E98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u w:val="single"/>
          <w:lang w:eastAsia="bg-BG"/>
        </w:rPr>
        <w:t>Разпределение:</w:t>
      </w:r>
    </w:p>
    <w:p w14:paraId="1F2D5829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>Няма данни за тъканното разпределение нито за преминаването на левоцетиризин през кръвно- мозъчната бариера при хора. При плъхове и кучета най-високите тьканни нива са установени в черния дроб и бъбреците, а най-ниските в ЦНС.</w:t>
      </w:r>
    </w:p>
    <w:p w14:paraId="299BD624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 xml:space="preserve">При хора, 90% от левоцетиризин се свързва с плазмените протеини. Разпределението на левоцетиризин е ограничено, като обемът на разпределение е 0,4 </w:t>
      </w:r>
      <w:r w:rsidRPr="00FA2B37">
        <w:rPr>
          <w:rFonts w:eastAsia="Times New Roman" w:cs="Arial"/>
          <w:color w:val="000000"/>
          <w:lang w:val="en-US"/>
        </w:rPr>
        <w:t>l/kg.</w:t>
      </w:r>
    </w:p>
    <w:p w14:paraId="56806708" w14:textId="77777777" w:rsidR="00FA2B37" w:rsidRDefault="00FA2B37" w:rsidP="00FA2B3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A72F439" w14:textId="72E501BB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u w:val="single"/>
          <w:lang w:eastAsia="bg-BG"/>
        </w:rPr>
        <w:t>Биотрансформация:</w:t>
      </w:r>
    </w:p>
    <w:p w14:paraId="339A386D" w14:textId="77777777" w:rsidR="00FA2B37" w:rsidRPr="00FA2B37" w:rsidRDefault="00FA2B37" w:rsidP="00FA2B37">
      <w:pPr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>Степента на метаболизиране на левоцетиризин при хора е по-малк от 14% от дозата</w:t>
      </w:r>
      <w:r w:rsidRPr="00FA2B37">
        <w:rPr>
          <w:rFonts w:eastAsia="Times New Roman" w:cs="Arial"/>
          <w:color w:val="000000"/>
          <w:lang w:val="en-US"/>
        </w:rPr>
        <w:t xml:space="preserve"> </w:t>
      </w:r>
      <w:r w:rsidRPr="00FA2B37">
        <w:rPr>
          <w:rFonts w:eastAsia="Times New Roman" w:cs="Arial"/>
          <w:color w:val="000000"/>
          <w:lang w:eastAsia="bg-BG"/>
        </w:rPr>
        <w:t>и поради това се очаква разликите, дължащи се на генетичен полиморфизъм или едновременно приложение на ензимни инхибитори са пренебрежими. Метаболитните пътища включват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FA2B37">
        <w:rPr>
          <w:rFonts w:eastAsia="Times New Roman" w:cs="Arial"/>
          <w:color w:val="000000"/>
          <w:lang w:eastAsia="bg-BG"/>
        </w:rPr>
        <w:t xml:space="preserve">ароматна оксидация, </w:t>
      </w:r>
      <w:r w:rsidRPr="00FA2B37">
        <w:rPr>
          <w:rFonts w:eastAsia="Times New Roman" w:cs="Arial"/>
          <w:color w:val="000000"/>
          <w:lang w:val="en-US"/>
        </w:rPr>
        <w:t xml:space="preserve">N- </w:t>
      </w:r>
      <w:r w:rsidRPr="00FA2B37">
        <w:rPr>
          <w:rFonts w:eastAsia="Times New Roman" w:cs="Arial"/>
          <w:color w:val="000000"/>
          <w:lang w:eastAsia="bg-BG"/>
        </w:rPr>
        <w:t xml:space="preserve">и О-деалкилиране и конюгиране с таурин. Пътищата на деалкилиране са първично медиирани чрез </w:t>
      </w:r>
      <w:r w:rsidRPr="00FA2B37">
        <w:rPr>
          <w:rFonts w:eastAsia="Times New Roman" w:cs="Arial"/>
          <w:color w:val="000000"/>
          <w:lang w:val="en-US"/>
        </w:rPr>
        <w:t xml:space="preserve">CYP </w:t>
      </w:r>
      <w:r w:rsidRPr="00FA2B37">
        <w:rPr>
          <w:rFonts w:eastAsia="Times New Roman" w:cs="Arial"/>
          <w:color w:val="000000"/>
          <w:lang w:eastAsia="bg-BG"/>
        </w:rPr>
        <w:t xml:space="preserve">ЗА4, докато ароматното оксидиране включва множествени и/или недефинирани </w:t>
      </w:r>
      <w:r w:rsidRPr="00FA2B37">
        <w:rPr>
          <w:rFonts w:eastAsia="Times New Roman" w:cs="Arial"/>
          <w:color w:val="000000"/>
          <w:lang w:val="en-US"/>
        </w:rPr>
        <w:t xml:space="preserve">CYP </w:t>
      </w:r>
      <w:r w:rsidRPr="00FA2B37">
        <w:rPr>
          <w:rFonts w:eastAsia="Times New Roman" w:cs="Arial"/>
          <w:color w:val="000000"/>
          <w:lang w:eastAsia="bg-BG"/>
        </w:rPr>
        <w:t xml:space="preserve">изоформи. Левоцетиризин не оказва ефект върху активността на </w:t>
      </w:r>
      <w:r w:rsidRPr="00FA2B37">
        <w:rPr>
          <w:rFonts w:eastAsia="Times New Roman" w:cs="Arial"/>
          <w:color w:val="000000"/>
          <w:lang w:val="en-US"/>
        </w:rPr>
        <w:t xml:space="preserve">CYP </w:t>
      </w:r>
      <w:r w:rsidRPr="00FA2B37">
        <w:rPr>
          <w:rFonts w:eastAsia="Times New Roman" w:cs="Arial"/>
          <w:color w:val="000000"/>
          <w:lang w:eastAsia="bg-BG"/>
        </w:rPr>
        <w:t xml:space="preserve">изоензимите 1А2,2С9,2С19, </w:t>
      </w:r>
      <w:r w:rsidRPr="00FA2B37">
        <w:rPr>
          <w:rFonts w:eastAsia="Times New Roman" w:cs="Arial"/>
          <w:color w:val="000000"/>
          <w:lang w:val="en-US"/>
        </w:rPr>
        <w:t>2D6,</w:t>
      </w:r>
      <w:r w:rsidRPr="00FA2B37">
        <w:rPr>
          <w:rFonts w:eastAsia="Times New Roman" w:cs="Arial"/>
          <w:color w:val="000000"/>
          <w:lang w:eastAsia="bg-BG"/>
        </w:rPr>
        <w:t xml:space="preserve">2Е1 и ЗА4 в концентрации, значително над пиковите концентрации, достигнати след перорално приложение на 5 </w:t>
      </w:r>
      <w:r w:rsidRPr="00FA2B37">
        <w:rPr>
          <w:rFonts w:eastAsia="Times New Roman" w:cs="Arial"/>
          <w:color w:val="000000"/>
          <w:lang w:val="en-US"/>
        </w:rPr>
        <w:t xml:space="preserve">mg </w:t>
      </w:r>
      <w:r w:rsidRPr="00FA2B37">
        <w:rPr>
          <w:rFonts w:eastAsia="Times New Roman" w:cs="Arial"/>
          <w:color w:val="000000"/>
          <w:lang w:eastAsia="bg-BG"/>
        </w:rPr>
        <w:t>доза.</w:t>
      </w:r>
    </w:p>
    <w:p w14:paraId="3E736D5D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>Поради ниската степен на метаболизъм и липсата на метаболитен инхибиращ потенциал, взаимодействието на левоцетиризин с други вещества, или обратното, е малко вероятно.</w:t>
      </w:r>
    </w:p>
    <w:p w14:paraId="3AEA10B4" w14:textId="77777777" w:rsidR="00FA2B37" w:rsidRDefault="00FA2B37" w:rsidP="00FA2B3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D37525D" w14:textId="0BEA69D0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u w:val="single"/>
          <w:lang w:eastAsia="bg-BG"/>
        </w:rPr>
        <w:t>Елиминиране:</w:t>
      </w:r>
    </w:p>
    <w:p w14:paraId="7E5FA1DB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 xml:space="preserve">Плазменият полуживот при възрастни е 7,9 ±1,9 часа. Плазменият полуживот е по-къс при малки деца. Средният апарентен тотален телесен клирънс при възрастни е 0,63 </w:t>
      </w:r>
      <w:r w:rsidRPr="00FA2B37">
        <w:rPr>
          <w:rFonts w:eastAsia="Times New Roman" w:cs="Arial"/>
          <w:color w:val="000000"/>
          <w:lang w:val="en-US"/>
        </w:rPr>
        <w:t xml:space="preserve">ml/min/kg. </w:t>
      </w:r>
      <w:r w:rsidRPr="00FA2B37">
        <w:rPr>
          <w:rFonts w:eastAsia="Times New Roman" w:cs="Arial"/>
          <w:color w:val="000000"/>
          <w:lang w:eastAsia="bg-BG"/>
        </w:rPr>
        <w:t>Главният път на отделяне на левоцетиризин и метаболитите му е урината е средно 85,4% от приетата доза. Елиминирането с изпражненията представлява само 12,9 % от дозата. Левоцетиризин се елиминира както чрез гломерулна филтрация така и чрез активна тубулна секреция.</w:t>
      </w:r>
    </w:p>
    <w:p w14:paraId="5E7F023F" w14:textId="77777777" w:rsidR="00FA2B37" w:rsidRDefault="00FA2B37" w:rsidP="00FA2B3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5D15A4D" w14:textId="408F8F73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u w:val="single"/>
          <w:lang w:eastAsia="bg-BG"/>
        </w:rPr>
        <w:t>Специални популации</w:t>
      </w:r>
    </w:p>
    <w:p w14:paraId="3B820CAC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i/>
          <w:iCs/>
          <w:color w:val="000000"/>
          <w:u w:val="single"/>
          <w:lang w:eastAsia="bg-BG"/>
        </w:rPr>
        <w:t>Бъбречно увреждане</w:t>
      </w:r>
    </w:p>
    <w:p w14:paraId="072CEE04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 xml:space="preserve">Апарентният телесен клирънс на левоцетиризин е свързан с креатининовия клирънс. Поради това, е препоръчително пациентите с умерено до тежко бъбречно увреждане да коригират интервалите на дозиране на левоцетиризин, в съответствие с креатининовия клирънс. При пациенти с анурия и в краен стадий на бъбречна недостатъчност общият телесен клирънс спада приблизително с 80% в сравнение със здрави индивиди. </w:t>
      </w:r>
      <w:r w:rsidRPr="00FA2B37">
        <w:rPr>
          <w:rFonts w:eastAsia="Times New Roman" w:cs="Arial"/>
          <w:color w:val="000000"/>
          <w:lang w:eastAsia="bg-BG"/>
        </w:rPr>
        <w:lastRenderedPageBreak/>
        <w:t>Количеството левоцетиризин елиминирано със стандартна 4-часова хемодиализна процедура е &lt;10%.</w:t>
      </w:r>
    </w:p>
    <w:p w14:paraId="376FCE39" w14:textId="77777777" w:rsidR="00FA2B37" w:rsidRDefault="00FA2B37" w:rsidP="00FA2B3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1B3C686" w14:textId="49861210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48D3EFED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 xml:space="preserve">Данни от педиатрично фармакокинетично проучване с перорално приложение на единична доза от 5 </w:t>
      </w:r>
      <w:r w:rsidRPr="00FA2B37">
        <w:rPr>
          <w:rFonts w:eastAsia="Times New Roman" w:cs="Arial"/>
          <w:color w:val="000000"/>
          <w:lang w:val="en-US"/>
        </w:rPr>
        <w:t xml:space="preserve">mg </w:t>
      </w:r>
      <w:r w:rsidRPr="00FA2B37">
        <w:rPr>
          <w:rFonts w:eastAsia="Times New Roman" w:cs="Arial"/>
          <w:color w:val="000000"/>
          <w:lang w:eastAsia="bg-BG"/>
        </w:rPr>
        <w:t xml:space="preserve">левоцитиризин при 14 деца на възраст от 6 до 11 години с телесно тегло между 20 </w:t>
      </w:r>
      <w:r w:rsidRPr="00FA2B37">
        <w:rPr>
          <w:rFonts w:eastAsia="Times New Roman" w:cs="Arial"/>
          <w:color w:val="000000"/>
          <w:lang w:val="en-US"/>
        </w:rPr>
        <w:t xml:space="preserve">kg </w:t>
      </w:r>
      <w:r w:rsidRPr="00FA2B37">
        <w:rPr>
          <w:rFonts w:eastAsia="Times New Roman" w:cs="Arial"/>
          <w:color w:val="000000"/>
          <w:lang w:eastAsia="bg-BG"/>
        </w:rPr>
        <w:t xml:space="preserve">и 40 </w:t>
      </w:r>
      <w:r w:rsidRPr="00FA2B37">
        <w:rPr>
          <w:rFonts w:eastAsia="Times New Roman" w:cs="Arial"/>
          <w:color w:val="000000"/>
          <w:lang w:val="en-US"/>
        </w:rPr>
        <w:t xml:space="preserve">kg, </w:t>
      </w:r>
      <w:r w:rsidRPr="00FA2B37">
        <w:rPr>
          <w:rFonts w:eastAsia="Times New Roman" w:cs="Arial"/>
          <w:color w:val="000000"/>
          <w:lang w:eastAsia="bg-BG"/>
        </w:rPr>
        <w:t xml:space="preserve">показват че стойностите на </w:t>
      </w:r>
      <w:proofErr w:type="spellStart"/>
      <w:r w:rsidRPr="00FA2B37">
        <w:rPr>
          <w:rFonts w:eastAsia="Times New Roman" w:cs="Arial"/>
          <w:color w:val="000000"/>
          <w:lang w:val="en-US"/>
        </w:rPr>
        <w:t>C</w:t>
      </w:r>
      <w:r w:rsidRPr="00FA2B37">
        <w:rPr>
          <w:rFonts w:eastAsia="Times New Roman" w:cs="Arial"/>
          <w:color w:val="000000"/>
          <w:vertAlign w:val="subscript"/>
          <w:lang w:val="en-US"/>
        </w:rPr>
        <w:t>max</w:t>
      </w:r>
      <w:proofErr w:type="spellEnd"/>
      <w:r w:rsidRPr="00FA2B37">
        <w:rPr>
          <w:rFonts w:eastAsia="Times New Roman" w:cs="Arial"/>
          <w:color w:val="000000"/>
          <w:lang w:val="en-US"/>
        </w:rPr>
        <w:t xml:space="preserve"> and AUC </w:t>
      </w:r>
      <w:r w:rsidRPr="00FA2B37">
        <w:rPr>
          <w:rFonts w:eastAsia="Times New Roman" w:cs="Arial"/>
          <w:color w:val="000000"/>
          <w:lang w:eastAsia="bg-BG"/>
        </w:rPr>
        <w:t xml:space="preserve">са около 2 пъти по-високи от наблюдаваните при здрави възрастни пациенти в кръстосано-сравнително проучване. Средната стойност на </w:t>
      </w:r>
      <w:proofErr w:type="spellStart"/>
      <w:r w:rsidRPr="00FA2B37">
        <w:rPr>
          <w:rFonts w:eastAsia="Times New Roman" w:cs="Arial"/>
          <w:color w:val="000000"/>
          <w:lang w:val="en-US"/>
        </w:rPr>
        <w:t>C</w:t>
      </w:r>
      <w:r w:rsidRPr="00FA2B37">
        <w:rPr>
          <w:rFonts w:eastAsia="Times New Roman" w:cs="Arial"/>
          <w:color w:val="000000"/>
          <w:vertAlign w:val="subscript"/>
          <w:lang w:val="en-US"/>
        </w:rPr>
        <w:t>max</w:t>
      </w:r>
      <w:proofErr w:type="spellEnd"/>
      <w:r w:rsidRPr="00FA2B37">
        <w:rPr>
          <w:rFonts w:eastAsia="Times New Roman" w:cs="Arial"/>
          <w:color w:val="000000"/>
          <w:lang w:val="en-US"/>
        </w:rPr>
        <w:t xml:space="preserve"> </w:t>
      </w:r>
      <w:r w:rsidRPr="00FA2B37">
        <w:rPr>
          <w:rFonts w:eastAsia="Times New Roman" w:cs="Arial"/>
          <w:color w:val="000000"/>
          <w:lang w:eastAsia="bg-BG"/>
        </w:rPr>
        <w:t xml:space="preserve">е 450 </w:t>
      </w:r>
      <w:r w:rsidRPr="00FA2B37">
        <w:rPr>
          <w:rFonts w:eastAsia="Times New Roman" w:cs="Arial"/>
          <w:color w:val="000000"/>
          <w:lang w:val="en-US"/>
        </w:rPr>
        <w:t xml:space="preserve">ng/ml </w:t>
      </w:r>
      <w:r w:rsidRPr="00FA2B37">
        <w:rPr>
          <w:rFonts w:eastAsia="Times New Roman" w:cs="Arial"/>
          <w:color w:val="000000"/>
          <w:lang w:eastAsia="bg-BG"/>
        </w:rPr>
        <w:t xml:space="preserve">се проявяват в средното време от 1,2 часа, тегловно нормализирания общ телесен клирънс е 30% по-голям, а полуживотът е 24% по-кратък в тази педиатрична популация сравнение с възрастни. Не са провеждани специални фармакокинетични проучвания при деца на възраст под 6 години. Ретроспективният популационен фармакокинетичен анализ е проведен с 323 пациенти (181 деца на възраст от 1 до 5 години, 18 деца на възраст от 6 до 11 години и 124 възрастни на възраст от 18 до 55 години), които са получавали еднократни или многократни дози левоцетиризин, вариращи от 1,25 </w:t>
      </w:r>
      <w:r w:rsidRPr="00FA2B37">
        <w:rPr>
          <w:rFonts w:eastAsia="Times New Roman" w:cs="Arial"/>
          <w:color w:val="000000"/>
          <w:lang w:val="en-US"/>
        </w:rPr>
        <w:t xml:space="preserve">mg </w:t>
      </w:r>
      <w:r w:rsidRPr="00FA2B37">
        <w:rPr>
          <w:rFonts w:eastAsia="Times New Roman" w:cs="Arial"/>
          <w:color w:val="000000"/>
          <w:lang w:eastAsia="bg-BG"/>
        </w:rPr>
        <w:t xml:space="preserve">до 30 </w:t>
      </w:r>
      <w:r w:rsidRPr="00FA2B37">
        <w:rPr>
          <w:rFonts w:eastAsia="Times New Roman" w:cs="Arial"/>
          <w:color w:val="000000"/>
          <w:lang w:val="en-US"/>
        </w:rPr>
        <w:t xml:space="preserve">mg. </w:t>
      </w:r>
      <w:r w:rsidRPr="00FA2B37">
        <w:rPr>
          <w:rFonts w:eastAsia="Times New Roman" w:cs="Arial"/>
          <w:color w:val="000000"/>
          <w:lang w:eastAsia="bg-BG"/>
        </w:rPr>
        <w:t xml:space="preserve">Данните, получени от този анализ показват, че приложението на 1,25 </w:t>
      </w:r>
      <w:r w:rsidRPr="00FA2B37">
        <w:rPr>
          <w:rFonts w:eastAsia="Times New Roman" w:cs="Arial"/>
          <w:color w:val="000000"/>
          <w:lang w:val="en-US"/>
        </w:rPr>
        <w:t xml:space="preserve">mg </w:t>
      </w:r>
      <w:r w:rsidRPr="00FA2B37">
        <w:rPr>
          <w:rFonts w:eastAsia="Times New Roman" w:cs="Arial"/>
          <w:color w:val="000000"/>
          <w:lang w:eastAsia="bg-BG"/>
        </w:rPr>
        <w:t xml:space="preserve">веднъж дневно при деца на възраст от 6 месеца до 5 години се очаква да доведе до плазмени концентрации, сходни с тези на възрастни пациенти, получаващи 5 </w:t>
      </w:r>
      <w:r w:rsidRPr="00FA2B37">
        <w:rPr>
          <w:rFonts w:eastAsia="Times New Roman" w:cs="Arial"/>
          <w:color w:val="000000"/>
          <w:lang w:val="en-US"/>
        </w:rPr>
        <w:t xml:space="preserve">mg </w:t>
      </w:r>
      <w:r w:rsidRPr="00FA2B37">
        <w:rPr>
          <w:rFonts w:eastAsia="Times New Roman" w:cs="Arial"/>
          <w:color w:val="000000"/>
          <w:lang w:eastAsia="bg-BG"/>
        </w:rPr>
        <w:t>веднъж дневно.</w:t>
      </w:r>
    </w:p>
    <w:p w14:paraId="61DA6753" w14:textId="77777777" w:rsidR="00FA2B37" w:rsidRDefault="00FA2B37" w:rsidP="00FA2B3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5A82A7F" w14:textId="57473573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i/>
          <w:iCs/>
          <w:color w:val="000000"/>
          <w:lang w:eastAsia="bg-BG"/>
        </w:rPr>
        <w:t>Старческа възраст</w:t>
      </w:r>
    </w:p>
    <w:p w14:paraId="1F7303FC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 xml:space="preserve">Съществуват ограничени фармакокинетични данни при пациенти в старческа възраст. След веднъж дневно многократно перорално приложение на 30 </w:t>
      </w:r>
      <w:r w:rsidRPr="00FA2B37">
        <w:rPr>
          <w:rFonts w:eastAsia="Times New Roman" w:cs="Arial"/>
          <w:color w:val="000000"/>
          <w:lang w:val="en-US"/>
        </w:rPr>
        <w:t xml:space="preserve">mg </w:t>
      </w:r>
      <w:r w:rsidRPr="00FA2B37">
        <w:rPr>
          <w:rFonts w:eastAsia="Times New Roman" w:cs="Arial"/>
          <w:color w:val="000000"/>
          <w:lang w:eastAsia="bg-BG"/>
        </w:rPr>
        <w:t>левоцетиризин за 6 дни при 9 пациенти в старческа възраст (на възраст 65 - 74 години), общият телесен клирънс е около 33% по-нисък в сравнение с този при по-млади възрастни. Разпределението на рацемата цетиризин показва зависимост от бъбречната функция, а не от възрастта. Този извод е приложим и за левоцетиризин, тъй като както левоцетиризин така и цетиризин се екскретират предимно с урината. Поради това дозата на левоцетиризин трябва да се коригира в съответствие с бъбречната функция при пациенти в старческа възраст.</w:t>
      </w:r>
    </w:p>
    <w:p w14:paraId="216D728C" w14:textId="77777777" w:rsidR="00FA2B37" w:rsidRDefault="00FA2B37" w:rsidP="00FA2B3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A6C96B8" w14:textId="12BAC03C" w:rsidR="00FA2B37" w:rsidRPr="00FA2B37" w:rsidRDefault="00FA2B37" w:rsidP="00FA2B37">
      <w:pPr>
        <w:spacing w:line="240" w:lineRule="auto"/>
        <w:rPr>
          <w:rFonts w:eastAsia="Times New Roman" w:cs="Arial"/>
          <w:i/>
          <w:iCs/>
          <w:lang w:eastAsia="bg-BG"/>
        </w:rPr>
      </w:pPr>
      <w:r w:rsidRPr="00FA2B37">
        <w:rPr>
          <w:rFonts w:eastAsia="Times New Roman" w:cs="Arial"/>
          <w:i/>
          <w:iCs/>
          <w:color w:val="000000"/>
          <w:lang w:eastAsia="bg-BG"/>
        </w:rPr>
        <w:t>Пол</w:t>
      </w:r>
    </w:p>
    <w:p w14:paraId="750C69EC" w14:textId="77777777" w:rsidR="00FA2B37" w:rsidRPr="00FA2B37" w:rsidRDefault="00FA2B37" w:rsidP="00FA2B37">
      <w:pPr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 xml:space="preserve">Фармакокинетичните резултати на 77 пациенти (40 мъже, 37 жени) са оценени за евентуална зависимост от пола. Времето на полуживот е малко по-кратко при жените </w:t>
      </w:r>
      <w:r w:rsidRPr="00FA2B37">
        <w:rPr>
          <w:rFonts w:eastAsia="Times New Roman" w:cs="Arial"/>
          <w:color w:val="000000"/>
          <w:lang w:val="en-US"/>
        </w:rPr>
        <w:t>(7,08</w:t>
      </w:r>
      <w:r w:rsidRPr="00FA2B37">
        <w:rPr>
          <w:rFonts w:eastAsia="Times New Roman" w:cs="Arial"/>
          <w:color w:val="000000"/>
          <w:lang w:eastAsia="bg-BG"/>
        </w:rPr>
        <w:t xml:space="preserve"> ± 1,72 ч.) отколкото при мъжете (8,62 ± 1,84 ч.), но коригираният спрямо телесното тего перорален клирънс при жени (0,67 ±0,16 </w:t>
      </w:r>
      <w:r w:rsidRPr="00FA2B37">
        <w:rPr>
          <w:rFonts w:eastAsia="Times New Roman" w:cs="Arial"/>
          <w:color w:val="000000"/>
          <w:lang w:val="en-US"/>
        </w:rPr>
        <w:t xml:space="preserve">ml/min/kg) </w:t>
      </w:r>
      <w:r w:rsidRPr="00FA2B37">
        <w:rPr>
          <w:rFonts w:eastAsia="Times New Roman" w:cs="Arial"/>
          <w:color w:val="000000"/>
          <w:lang w:eastAsia="bg-BG"/>
        </w:rPr>
        <w:t>се явява съпоставим с този при мъжете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FA2B37">
        <w:rPr>
          <w:rFonts w:eastAsia="Times New Roman" w:cs="Arial"/>
          <w:color w:val="000000"/>
          <w:lang w:eastAsia="bg-BG"/>
        </w:rPr>
        <w:t xml:space="preserve">(0,59 ± 0,12 </w:t>
      </w:r>
      <w:r w:rsidRPr="00FA2B37">
        <w:rPr>
          <w:rFonts w:eastAsia="Times New Roman" w:cs="Arial"/>
          <w:color w:val="000000"/>
          <w:lang w:val="en-US"/>
        </w:rPr>
        <w:t xml:space="preserve">ml/min/kg). </w:t>
      </w:r>
      <w:r w:rsidRPr="00FA2B37">
        <w:rPr>
          <w:rFonts w:eastAsia="Times New Roman" w:cs="Arial"/>
          <w:color w:val="000000"/>
          <w:lang w:eastAsia="bg-BG"/>
        </w:rPr>
        <w:t>Същите дневни дози и дозови интервали са приложими за мъже и жени с нормална бъбречна функция.</w:t>
      </w:r>
    </w:p>
    <w:p w14:paraId="3B739302" w14:textId="77777777" w:rsidR="00FA2B37" w:rsidRDefault="00FA2B37" w:rsidP="00FA2B3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8487E96" w14:textId="1F69DDED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i/>
          <w:iCs/>
          <w:color w:val="000000"/>
          <w:lang w:eastAsia="bg-BG"/>
        </w:rPr>
        <w:t>Раса</w:t>
      </w:r>
    </w:p>
    <w:p w14:paraId="102D4A70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>Влиянието на расата върху левоцетиризин не е проучена. Тъй като левоцетиризин се екскретира предимно чрез бъбреците, а няма значими расови различия в креатининовия клирънс, фармакокинетичните характеристики на левоцетиризин не се очаква да бъдат различни в различните раси. Не са наблюдавани свързани с расата разлики в кинетиката на рацемата цетиризин.</w:t>
      </w:r>
    </w:p>
    <w:p w14:paraId="0DC7C866" w14:textId="77777777" w:rsidR="00FA2B37" w:rsidRDefault="00FA2B37" w:rsidP="00FA2B3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48D6D99" w14:textId="5BDB7942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i/>
          <w:iCs/>
          <w:color w:val="000000"/>
          <w:lang w:eastAsia="bg-BG"/>
        </w:rPr>
        <w:t>Чернодробно увреждане</w:t>
      </w:r>
    </w:p>
    <w:p w14:paraId="30B2684A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 xml:space="preserve">Не е изпитвана фармакокинетиката на левоцетиризин при пациенти с чернодробно увреждане. Пациентите с хронични заболявалия на черния дроб (хепатоцелуларна, холестатична и билиарна цироза), приемащи еднократна доза 10 или 20 </w:t>
      </w:r>
      <w:r w:rsidRPr="00FA2B37">
        <w:rPr>
          <w:rFonts w:eastAsia="Times New Roman" w:cs="Arial"/>
          <w:color w:val="000000"/>
          <w:lang w:val="en-US"/>
        </w:rPr>
        <w:t xml:space="preserve">mg </w:t>
      </w:r>
      <w:r w:rsidRPr="00FA2B37">
        <w:rPr>
          <w:rFonts w:eastAsia="Times New Roman" w:cs="Arial"/>
          <w:color w:val="000000"/>
          <w:lang w:eastAsia="bg-BG"/>
        </w:rPr>
        <w:t xml:space="preserve">от </w:t>
      </w:r>
      <w:r w:rsidRPr="00FA2B37">
        <w:rPr>
          <w:rFonts w:eastAsia="Times New Roman" w:cs="Arial"/>
          <w:color w:val="000000"/>
          <w:lang w:eastAsia="bg-BG"/>
        </w:rPr>
        <w:lastRenderedPageBreak/>
        <w:t>рацемичното вещество цетиризин имат 50% увеличение на времето на полуживот, както и с 40% намаление на клирънса в сравнение със здрави индивиди.</w:t>
      </w:r>
    </w:p>
    <w:p w14:paraId="24CA607C" w14:textId="77777777" w:rsidR="00FA2B37" w:rsidRDefault="00FA2B37" w:rsidP="00FA2B3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757B354" w14:textId="445FA85A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u w:val="single"/>
          <w:lang w:eastAsia="bg-BG"/>
        </w:rPr>
        <w:t>Фармакокинетично/фармакодинамично отношение</w:t>
      </w:r>
    </w:p>
    <w:p w14:paraId="0A876C32" w14:textId="77777777" w:rsidR="00FA2B37" w:rsidRPr="00FA2B37" w:rsidRDefault="00FA2B37" w:rsidP="00FA2B37">
      <w:pPr>
        <w:spacing w:line="240" w:lineRule="auto"/>
        <w:rPr>
          <w:rFonts w:eastAsia="Times New Roman" w:cs="Arial"/>
          <w:lang w:eastAsia="bg-BG"/>
        </w:rPr>
      </w:pPr>
      <w:r w:rsidRPr="00FA2B37">
        <w:rPr>
          <w:rFonts w:eastAsia="Times New Roman" w:cs="Arial"/>
          <w:color w:val="000000"/>
          <w:lang w:eastAsia="bg-BG"/>
        </w:rPr>
        <w:t>Ефектът върху хистамин-индуцираните кожни реакции няма пряка връзка с плазмените концентраци.</w:t>
      </w:r>
    </w:p>
    <w:p w14:paraId="0C95584C" w14:textId="77777777" w:rsidR="00FA2B37" w:rsidRPr="00FA2B37" w:rsidRDefault="00FA2B37" w:rsidP="00FA2B37"/>
    <w:p w14:paraId="6925FEB0" w14:textId="4B32C19A" w:rsidR="00F62E44" w:rsidRDefault="002C50EE" w:rsidP="00387A66">
      <w:pPr>
        <w:pStyle w:val="Heading2"/>
      </w:pPr>
      <w:r>
        <w:t>5.3. Предклинични данни за безопасност</w:t>
      </w:r>
    </w:p>
    <w:p w14:paraId="08E1AC9A" w14:textId="77777777" w:rsidR="00FA2B37" w:rsidRDefault="00FA2B37" w:rsidP="00FA2B37"/>
    <w:p w14:paraId="2F8A9222" w14:textId="7897F76C" w:rsidR="00FA2B37" w:rsidRDefault="00FA2B37" w:rsidP="00FA2B37">
      <w:pPr>
        <w:rPr>
          <w:sz w:val="24"/>
          <w:szCs w:val="24"/>
          <w:lang w:eastAsia="bg-BG"/>
        </w:rPr>
      </w:pPr>
      <w:r w:rsidRPr="00FA2B37">
        <w:rPr>
          <w:lang w:eastAsia="bg-BG"/>
        </w:rPr>
        <w:t>Предклиничните данни, базирани на конвенционални проучвания за фармакологична безопасност, токсичност при многократно приложение, генотоксичност, канцерогенен потенциал, репродуктивна токсичност не показват наличие на специфични за хората рискове.</w:t>
      </w:r>
    </w:p>
    <w:p w14:paraId="70ABBB78" w14:textId="77777777" w:rsidR="00FA2B37" w:rsidRPr="00FA2B37" w:rsidRDefault="00FA2B37" w:rsidP="00FA2B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7049A8" w14:textId="6CD46E4B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0A6C79D4" w14:textId="77777777" w:rsidR="00FA2B37" w:rsidRDefault="00FA2B37" w:rsidP="00FA2B37"/>
    <w:p w14:paraId="4D59F461" w14:textId="77777777" w:rsidR="00FA2B37" w:rsidRDefault="00FA2B37" w:rsidP="00FA2B37">
      <w:r>
        <w:t xml:space="preserve">Zentiva k.s., </w:t>
      </w:r>
    </w:p>
    <w:p w14:paraId="35373EEA" w14:textId="77777777" w:rsidR="00FA2B37" w:rsidRDefault="00FA2B37" w:rsidP="00FA2B37">
      <w:pPr>
        <w:rPr>
          <w:lang w:eastAsia="bg-BG"/>
        </w:rPr>
      </w:pPr>
      <w:r>
        <w:t xml:space="preserve">U Kabelovny </w:t>
      </w:r>
      <w:r>
        <w:rPr>
          <w:lang w:eastAsia="bg-BG"/>
        </w:rPr>
        <w:t xml:space="preserve">130, </w:t>
      </w:r>
    </w:p>
    <w:p w14:paraId="685ACA53" w14:textId="77777777" w:rsidR="00FA2B37" w:rsidRDefault="00FA2B37" w:rsidP="00FA2B37">
      <w:r>
        <w:t xml:space="preserve">Dolni Mecholupy, </w:t>
      </w:r>
    </w:p>
    <w:p w14:paraId="64EA2FAC" w14:textId="77777777" w:rsidR="00FA2B37" w:rsidRDefault="00FA2B37" w:rsidP="00FA2B37">
      <w:r>
        <w:t xml:space="preserve">102 37 Prague 10, </w:t>
      </w:r>
    </w:p>
    <w:p w14:paraId="1E8BF87A" w14:textId="7E10C889" w:rsidR="00FA2B37" w:rsidRPr="00FA2B37" w:rsidRDefault="00FA2B37" w:rsidP="00FA2B37">
      <w:r>
        <w:rPr>
          <w:lang w:eastAsia="bg-BG"/>
        </w:rPr>
        <w:t>Чешка република</w:t>
      </w:r>
    </w:p>
    <w:p w14:paraId="0A53321D" w14:textId="74FBD4FB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70EC67AD" w14:textId="77777777" w:rsidR="00FA2B37" w:rsidRDefault="00FA2B37" w:rsidP="00FA2B37"/>
    <w:p w14:paraId="463488A5" w14:textId="5AA78A0A" w:rsidR="00FA2B37" w:rsidRPr="00FA2B37" w:rsidRDefault="00FA2B37" w:rsidP="00FA2B37">
      <w:r>
        <w:rPr>
          <w:lang w:val="en-US"/>
        </w:rPr>
        <w:t xml:space="preserve">Per. </w:t>
      </w:r>
      <w:r>
        <w:t>№20110752</w:t>
      </w:r>
    </w:p>
    <w:p w14:paraId="7C2688F5" w14:textId="6D610EDF" w:rsidR="00F62E44" w:rsidRDefault="00F62E44" w:rsidP="00F62E44"/>
    <w:p w14:paraId="00481C21" w14:textId="753A12CC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7379CA08" w14:textId="77777777" w:rsidR="00FA2B37" w:rsidRDefault="00FA2B37" w:rsidP="00FA2B37"/>
    <w:p w14:paraId="5200CDC9" w14:textId="05007A45" w:rsidR="00FA2B37" w:rsidRPr="00FA2B37" w:rsidRDefault="00FA2B37" w:rsidP="00FA2B37">
      <w:pPr>
        <w:rPr>
          <w:sz w:val="24"/>
          <w:szCs w:val="24"/>
          <w:lang w:eastAsia="bg-BG"/>
        </w:rPr>
      </w:pPr>
      <w:r w:rsidRPr="00FA2B37">
        <w:rPr>
          <w:lang w:eastAsia="bg-BG"/>
        </w:rPr>
        <w:t>Дата на първо разрешаване за употреба: 20.12.2011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187BA833" w:rsidR="00BB22B4" w:rsidRPr="00BB22B4" w:rsidRDefault="00FA2B37" w:rsidP="00FA2B37">
      <w:r>
        <w:t>04.06.2019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718F3"/>
    <w:multiLevelType w:val="hybridMultilevel"/>
    <w:tmpl w:val="CEF875D2"/>
    <w:lvl w:ilvl="0" w:tplc="94DE99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3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2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5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9"/>
  </w:num>
  <w:num w:numId="31" w16cid:durableId="1053964910">
    <w:abstractNumId w:val="5"/>
  </w:num>
  <w:num w:numId="32" w16cid:durableId="2073575793">
    <w:abstractNumId w:val="37"/>
  </w:num>
  <w:num w:numId="33" w16cid:durableId="1566643170">
    <w:abstractNumId w:val="31"/>
  </w:num>
  <w:num w:numId="34" w16cid:durableId="2060787732">
    <w:abstractNumId w:val="36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8"/>
  </w:num>
  <w:num w:numId="39" w16cid:durableId="934825996">
    <w:abstractNumId w:val="13"/>
  </w:num>
  <w:num w:numId="40" w16cid:durableId="212114311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3020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A2B37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4032</Words>
  <Characters>22989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2023-06-01T20:18:00Z</dcterms:created>
  <dcterms:modified xsi:type="dcterms:W3CDTF">2023-06-01T20:18:00Z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