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0308FB46" w:rsidR="009F77A4" w:rsidRDefault="00DD466D" w:rsidP="00387A66">
      <w:pPr>
        <w:pStyle w:val="Heading1"/>
      </w:pPr>
      <w:r>
        <w:t>1.ИМЕ НА ЛЕКАРСТВЕНИЯ ПРОДУКТ</w:t>
      </w:r>
    </w:p>
    <w:p w14:paraId="7AE044E7" w14:textId="77777777" w:rsidR="00D3514C" w:rsidRDefault="00D3514C" w:rsidP="00D3514C"/>
    <w:p w14:paraId="2B4F2517" w14:textId="77777777" w:rsidR="00D3514C" w:rsidRPr="00D3514C" w:rsidRDefault="00D3514C" w:rsidP="00D3514C">
      <w:pPr>
        <w:rPr>
          <w:sz w:val="24"/>
          <w:szCs w:val="24"/>
          <w:lang w:val="en-US" w:eastAsia="bg-BG"/>
        </w:rPr>
      </w:pPr>
      <w:r w:rsidRPr="00D3514C">
        <w:rPr>
          <w:lang w:eastAsia="bg-BG"/>
        </w:rPr>
        <w:t xml:space="preserve">Зенаро 5 </w:t>
      </w:r>
      <w:r w:rsidRPr="00D3514C">
        <w:rPr>
          <w:lang w:val="en-US"/>
        </w:rPr>
        <w:t xml:space="preserve">mg </w:t>
      </w:r>
      <w:r w:rsidRPr="00D3514C">
        <w:rPr>
          <w:lang w:eastAsia="bg-BG"/>
        </w:rPr>
        <w:t>филмирани таблетки</w:t>
      </w:r>
    </w:p>
    <w:p w14:paraId="164EAB84" w14:textId="77777777" w:rsidR="00D3514C" w:rsidRPr="00D3514C" w:rsidRDefault="00D3514C" w:rsidP="00D3514C">
      <w:pPr>
        <w:rPr>
          <w:sz w:val="24"/>
          <w:szCs w:val="24"/>
          <w:lang w:val="en-US" w:eastAsia="bg-BG"/>
        </w:rPr>
      </w:pPr>
      <w:proofErr w:type="spellStart"/>
      <w:r w:rsidRPr="00D3514C">
        <w:rPr>
          <w:lang w:val="en-US"/>
        </w:rPr>
        <w:t>Zenaro</w:t>
      </w:r>
      <w:proofErr w:type="spellEnd"/>
      <w:r w:rsidRPr="00D3514C">
        <w:rPr>
          <w:lang w:val="en-US"/>
        </w:rPr>
        <w:t xml:space="preserve"> 5mg film-coated tablets</w:t>
      </w:r>
    </w:p>
    <w:p w14:paraId="53D66FB2" w14:textId="77777777" w:rsidR="00D3514C" w:rsidRPr="00D3514C" w:rsidRDefault="00D3514C" w:rsidP="00D3514C"/>
    <w:p w14:paraId="0DF202EC" w14:textId="10882A08" w:rsidR="00F53FB7" w:rsidRDefault="00DD466D" w:rsidP="00A93499">
      <w:pPr>
        <w:pStyle w:val="Heading1"/>
      </w:pPr>
      <w:r>
        <w:t>2. КАЧЕСТВЕН И КОЛИЧЕСТВЕН СЪСТАВ</w:t>
      </w:r>
    </w:p>
    <w:p w14:paraId="4B290C5A" w14:textId="77777777" w:rsidR="00D3514C" w:rsidRDefault="00D3514C" w:rsidP="00D3514C"/>
    <w:p w14:paraId="615A737A" w14:textId="77777777" w:rsidR="00D3514C" w:rsidRPr="00D3514C" w:rsidRDefault="00D3514C" w:rsidP="00D3514C">
      <w:pPr>
        <w:rPr>
          <w:sz w:val="24"/>
          <w:szCs w:val="24"/>
          <w:lang w:eastAsia="bg-BG"/>
        </w:rPr>
      </w:pPr>
      <w:r w:rsidRPr="00D3514C">
        <w:rPr>
          <w:lang w:eastAsia="bg-BG"/>
        </w:rPr>
        <w:t xml:space="preserve">Всяка филмирана таблетка съдържа 5 </w:t>
      </w:r>
      <w:r w:rsidRPr="00D3514C">
        <w:rPr>
          <w:lang w:val="en-US"/>
        </w:rPr>
        <w:t xml:space="preserve">mg </w:t>
      </w:r>
      <w:r w:rsidRPr="00D3514C">
        <w:rPr>
          <w:lang w:eastAsia="bg-BG"/>
        </w:rPr>
        <w:t xml:space="preserve">левоцетиризинов дихидрохлорид </w:t>
      </w:r>
      <w:r w:rsidRPr="00D3514C">
        <w:rPr>
          <w:lang w:val="en-US"/>
        </w:rPr>
        <w:t>(levocetirizine dihydrochloride).</w:t>
      </w:r>
    </w:p>
    <w:p w14:paraId="660D05C8" w14:textId="77777777" w:rsidR="00D3514C" w:rsidRPr="00D3514C" w:rsidRDefault="00D3514C" w:rsidP="00D3514C">
      <w:pPr>
        <w:rPr>
          <w:sz w:val="24"/>
          <w:szCs w:val="24"/>
          <w:lang w:eastAsia="bg-BG"/>
        </w:rPr>
      </w:pPr>
      <w:r w:rsidRPr="00D3514C">
        <w:rPr>
          <w:lang w:eastAsia="bg-BG"/>
        </w:rPr>
        <w:t>Помощно вещество с известно действие:</w:t>
      </w:r>
    </w:p>
    <w:p w14:paraId="1CA3AA2B" w14:textId="77777777" w:rsidR="00D3514C" w:rsidRPr="00D3514C" w:rsidRDefault="00D3514C" w:rsidP="00D3514C">
      <w:pPr>
        <w:rPr>
          <w:sz w:val="24"/>
          <w:szCs w:val="24"/>
          <w:lang w:eastAsia="bg-BG"/>
        </w:rPr>
      </w:pPr>
      <w:r w:rsidRPr="00D3514C">
        <w:rPr>
          <w:lang w:eastAsia="bg-BG"/>
        </w:rPr>
        <w:t xml:space="preserve">Всяка филмирана таблетка съдържа 67,5 </w:t>
      </w:r>
      <w:r w:rsidRPr="00D3514C">
        <w:rPr>
          <w:lang w:val="en-US"/>
        </w:rPr>
        <w:t xml:space="preserve">mg </w:t>
      </w:r>
      <w:r w:rsidRPr="00D3514C">
        <w:rPr>
          <w:lang w:eastAsia="bg-BG"/>
        </w:rPr>
        <w:t xml:space="preserve">лактоза монохидрат и максимум 0,04 </w:t>
      </w:r>
      <w:r w:rsidRPr="00D3514C">
        <w:rPr>
          <w:lang w:val="en-US"/>
        </w:rPr>
        <w:t xml:space="preserve">mg </w:t>
      </w:r>
      <w:r w:rsidRPr="00D3514C">
        <w:rPr>
          <w:lang w:eastAsia="bg-BG"/>
        </w:rPr>
        <w:t>натрий.</w:t>
      </w:r>
    </w:p>
    <w:p w14:paraId="24AC1F7E" w14:textId="77777777" w:rsidR="00D3514C" w:rsidRPr="00D3514C" w:rsidRDefault="00D3514C" w:rsidP="00D3514C"/>
    <w:p w14:paraId="4CABB9ED" w14:textId="2740FB4D" w:rsidR="00F53FB7" w:rsidRDefault="00DD466D" w:rsidP="00A93499">
      <w:pPr>
        <w:pStyle w:val="Heading1"/>
      </w:pPr>
      <w:r>
        <w:t>3. ЛЕКАРСТВЕНА ФОРМА</w:t>
      </w:r>
    </w:p>
    <w:p w14:paraId="4F8FA1A7" w14:textId="77777777" w:rsidR="00D3514C" w:rsidRDefault="00D3514C" w:rsidP="00D3514C"/>
    <w:p w14:paraId="69FC52BC" w14:textId="77777777" w:rsidR="00D3514C" w:rsidRPr="00D3514C" w:rsidRDefault="00D3514C" w:rsidP="00D3514C">
      <w:pPr>
        <w:rPr>
          <w:sz w:val="24"/>
          <w:szCs w:val="24"/>
          <w:lang w:eastAsia="bg-BG"/>
        </w:rPr>
      </w:pPr>
      <w:r w:rsidRPr="00D3514C">
        <w:rPr>
          <w:lang w:eastAsia="bg-BG"/>
        </w:rPr>
        <w:t>Филмирана таблетка</w:t>
      </w:r>
    </w:p>
    <w:p w14:paraId="3B122FE1" w14:textId="175B5470" w:rsidR="00D3514C" w:rsidRPr="00D3514C" w:rsidRDefault="00D3514C" w:rsidP="00D3514C">
      <w:pPr>
        <w:rPr>
          <w:sz w:val="24"/>
          <w:szCs w:val="24"/>
          <w:lang w:eastAsia="bg-BG"/>
        </w:rPr>
      </w:pPr>
      <w:r w:rsidRPr="00D3514C">
        <w:rPr>
          <w:lang w:eastAsia="bg-BG"/>
        </w:rPr>
        <w:t>Почти бели, продълговати, двойно изпъкнали филмирани таблетки с изпъкнало релефно изображение “е“ върху едната страна.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0A9C51D3" w:rsidR="009F77A4" w:rsidRDefault="002C50EE" w:rsidP="00387A66">
      <w:pPr>
        <w:pStyle w:val="Heading2"/>
      </w:pPr>
      <w:r>
        <w:t>4.1. Терапевтични показания</w:t>
      </w:r>
    </w:p>
    <w:p w14:paraId="5DD6E780" w14:textId="77777777" w:rsidR="00D3514C" w:rsidRDefault="00D3514C" w:rsidP="00D3514C"/>
    <w:p w14:paraId="6A4AE319" w14:textId="7C873F4C" w:rsidR="00D3514C" w:rsidRDefault="00D3514C" w:rsidP="00D3514C">
      <w:pPr>
        <w:rPr>
          <w:lang w:eastAsia="bg-BG"/>
        </w:rPr>
      </w:pPr>
      <w:r w:rsidRPr="00D3514C">
        <w:rPr>
          <w:lang w:eastAsia="bg-BG"/>
        </w:rPr>
        <w:t>Симптоматично лечение на алергичен ринит (хроничен алергичен ринит) и уртикария при възрастни, юноши и деца на 6 и повече години.</w:t>
      </w:r>
    </w:p>
    <w:p w14:paraId="6DC5D4F4" w14:textId="77777777" w:rsidR="00D3514C" w:rsidRPr="00D3514C" w:rsidRDefault="00D3514C" w:rsidP="00D3514C">
      <w:pPr>
        <w:rPr>
          <w:sz w:val="24"/>
          <w:szCs w:val="24"/>
          <w:lang w:eastAsia="bg-BG"/>
        </w:rPr>
      </w:pPr>
    </w:p>
    <w:p w14:paraId="31744E5A" w14:textId="29FBB145" w:rsidR="009F77A4" w:rsidRDefault="002C50EE" w:rsidP="00387A66">
      <w:pPr>
        <w:pStyle w:val="Heading2"/>
      </w:pPr>
      <w:r>
        <w:t>4.2. Дозировка и начин на приложение</w:t>
      </w:r>
    </w:p>
    <w:p w14:paraId="582EBF25" w14:textId="77777777" w:rsidR="00D3514C" w:rsidRDefault="00D3514C" w:rsidP="00D3514C"/>
    <w:p w14:paraId="66F17445" w14:textId="77777777" w:rsidR="00D3514C" w:rsidRPr="00D3514C" w:rsidRDefault="00D3514C" w:rsidP="00D3514C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D3514C">
        <w:rPr>
          <w:rFonts w:eastAsia="Times New Roman"/>
          <w:u w:val="single"/>
          <w:lang w:eastAsia="bg-BG"/>
        </w:rPr>
        <w:t>Дозировка</w:t>
      </w:r>
    </w:p>
    <w:p w14:paraId="58066BAF" w14:textId="48A7AC36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Възрастни и юноши на възраст 12 и повече години:</w:t>
      </w:r>
    </w:p>
    <w:p w14:paraId="095DF2A4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Препоръчителната дневна доза е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(1 филмирана таблетка).</w:t>
      </w:r>
    </w:p>
    <w:p w14:paraId="63D6F5FC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323DCA" w14:textId="1A2DA31B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Старческа възраст:</w:t>
      </w:r>
    </w:p>
    <w:p w14:paraId="467961C6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Препоръчително е коригиране на дозата при пациенти в напреднала възраст с умерено до тежко увреждане на бъбречната функция (вж. Бъбречно увреждане по-долу).</w:t>
      </w:r>
    </w:p>
    <w:p w14:paraId="01364625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9A8B848" w14:textId="29356A28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Бъбречно увреждане:</w:t>
      </w:r>
    </w:p>
    <w:p w14:paraId="18B26359" w14:textId="77777777" w:rsidR="00D3514C" w:rsidRDefault="00D3514C" w:rsidP="00D3514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Честотата на приема трябва да се индивидуализира в съответствие с бъбречната функция. Използвайте приложената по-долу таблица за адаптиране на дозата. За да се ползва тази таблица е необходимо да се определи креатининовия клирънс на пациента </w:t>
      </w:r>
      <w:r w:rsidRPr="00D3514C">
        <w:rPr>
          <w:rFonts w:eastAsia="Times New Roman" w:cs="Arial"/>
          <w:smallCaps/>
          <w:color w:val="000000"/>
          <w:lang w:val="en-US"/>
        </w:rPr>
        <w:t>(</w:t>
      </w:r>
      <w:proofErr w:type="spellStart"/>
      <w:r w:rsidRPr="00D3514C">
        <w:rPr>
          <w:rFonts w:eastAsia="Times New Roman" w:cs="Arial"/>
          <w:smallCaps/>
          <w:color w:val="000000"/>
          <w:lang w:val="en-US"/>
        </w:rPr>
        <w:t>CLcr</w:t>
      </w:r>
      <w:proofErr w:type="spellEnd"/>
      <w:r w:rsidRPr="00D3514C">
        <w:rPr>
          <w:rFonts w:eastAsia="Times New Roman" w:cs="Arial"/>
          <w:smallCaps/>
          <w:color w:val="000000"/>
          <w:lang w:val="en-US"/>
        </w:rPr>
        <w:t xml:space="preserve">) </w:t>
      </w:r>
      <w:r w:rsidRPr="00D3514C">
        <w:rPr>
          <w:rFonts w:eastAsia="Times New Roman" w:cs="Arial"/>
          <w:smallCaps/>
          <w:color w:val="000000"/>
          <w:lang w:eastAsia="bg-BG"/>
        </w:rPr>
        <w:t>в</w:t>
      </w:r>
      <w:r w:rsidRPr="00D3514C">
        <w:rPr>
          <w:rFonts w:eastAsia="Times New Roman" w:cs="Arial"/>
          <w:color w:val="000000"/>
          <w:lang w:eastAsia="bg-BG"/>
        </w:rPr>
        <w:t xml:space="preserve"> </w:t>
      </w:r>
      <w:r w:rsidRPr="00D3514C">
        <w:rPr>
          <w:rFonts w:eastAsia="Times New Roman" w:cs="Arial"/>
          <w:color w:val="000000"/>
          <w:lang w:val="en-US"/>
        </w:rPr>
        <w:t xml:space="preserve">ml/min </w:t>
      </w:r>
      <w:r w:rsidRPr="00D3514C">
        <w:rPr>
          <w:rFonts w:eastAsia="Times New Roman" w:cs="Arial"/>
          <w:color w:val="000000"/>
          <w:lang w:eastAsia="bg-BG"/>
        </w:rPr>
        <w:t xml:space="preserve">на пациента. </w:t>
      </w:r>
      <w:proofErr w:type="spellStart"/>
      <w:r w:rsidRPr="00D3514C">
        <w:rPr>
          <w:rFonts w:eastAsia="Times New Roman" w:cs="Arial"/>
          <w:smallCaps/>
          <w:color w:val="000000"/>
          <w:lang w:val="en-US"/>
        </w:rPr>
        <w:t>CLcr</w:t>
      </w:r>
      <w:proofErr w:type="spellEnd"/>
      <w:r w:rsidRPr="00D3514C">
        <w:rPr>
          <w:rFonts w:eastAsia="Times New Roman" w:cs="Arial"/>
          <w:color w:val="000000"/>
          <w:lang w:val="en-US"/>
        </w:rPr>
        <w:t xml:space="preserve"> (ml/min) </w:t>
      </w:r>
      <w:r w:rsidRPr="00D3514C">
        <w:rPr>
          <w:rFonts w:eastAsia="Times New Roman" w:cs="Arial"/>
          <w:color w:val="000000"/>
          <w:lang w:eastAsia="bg-BG"/>
        </w:rPr>
        <w:t xml:space="preserve">може да се определи от серумния креатинин </w:t>
      </w:r>
      <w:r w:rsidRPr="00D3514C">
        <w:rPr>
          <w:rFonts w:eastAsia="Times New Roman" w:cs="Arial"/>
          <w:color w:val="000000"/>
          <w:lang w:val="en-US"/>
        </w:rPr>
        <w:t xml:space="preserve">(mg/dl) </w:t>
      </w:r>
      <w:r w:rsidRPr="00D3514C">
        <w:rPr>
          <w:rFonts w:eastAsia="Times New Roman" w:cs="Arial"/>
          <w:color w:val="000000"/>
          <w:lang w:eastAsia="bg-BG"/>
        </w:rPr>
        <w:t>с помощта на следната формула:</w:t>
      </w:r>
    </w:p>
    <w:p w14:paraId="29CB6B53" w14:textId="1053FC98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m:oMathPara>
        <m:oMath>
          <m:r>
            <m:rPr>
              <m:sty m:val="p"/>
            </m:rPr>
            <w:rPr>
              <w:rFonts w:ascii="Cambria Math" w:hAnsi="Cambria Math"/>
              <w:smallCaps/>
              <w:sz w:val="20"/>
              <w:szCs w:val="20"/>
            </w:rPr>
            <w:lastRenderedPageBreak/>
            <m:t>CLcr</m:t>
          </m:r>
          <m:r>
            <m:rPr>
              <m:sty m:val="p"/>
            </m:rPr>
            <w:rPr>
              <w:rFonts w:ascii="Cambria Math" w:hAnsi="Cambria Math"/>
              <w:smallCaps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mallCap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u w:val="single"/>
                  <w:lang w:val="en-US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u w:val="single"/>
                  <w:lang w:val="en-US"/>
                </w:rPr>
                <m:t xml:space="preserve">140 - </m:t>
              </m:r>
              <m:r>
                <w:rPr>
                  <w:rFonts w:ascii="Cambria Math" w:hAnsi="Cambria Math"/>
                  <w:sz w:val="20"/>
                  <w:szCs w:val="20"/>
                  <w:u w:val="single"/>
                </w:rPr>
                <m:t>възрастта (години)]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u w:val="single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u w:val="single"/>
                  <w:lang w:val="en-US"/>
                </w:rPr>
                <m:t xml:space="preserve">x </m:t>
              </m:r>
              <m:r>
                <w:rPr>
                  <w:rFonts w:ascii="Cambria Math" w:hAnsi="Cambria Math"/>
                  <w:sz w:val="20"/>
                  <w:szCs w:val="20"/>
                  <w:u w:val="single"/>
                </w:rPr>
                <m:t xml:space="preserve">теглото </m:t>
              </m:r>
              <m:r>
                <w:rPr>
                  <w:rFonts w:ascii="Cambria Math" w:hAnsi="Cambria Math"/>
                  <w:sz w:val="20"/>
                  <w:szCs w:val="20"/>
                  <w:u w:val="single"/>
                  <w:lang w:val="en-US"/>
                </w:rPr>
                <m:t>(kg)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u w:val="single"/>
                  <w:lang w:val="en-US"/>
                </w:rPr>
                <m:t xml:space="preserve"> (x 0.85 </m:t>
              </m:r>
              <m:r>
                <w:rPr>
                  <w:rFonts w:ascii="Cambria Math" w:hAnsi="Cambria Math"/>
                  <w:sz w:val="20"/>
                  <w:szCs w:val="20"/>
                  <w:u w:val="single"/>
                </w:rPr>
                <m:t>при жени)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72 x 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серумен креатинин 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(mg/dl)</m:t>
              </m:r>
            </m:den>
          </m:f>
        </m:oMath>
      </m:oMathPara>
    </w:p>
    <w:p w14:paraId="3F4C6C53" w14:textId="77777777" w:rsidR="00D3514C" w:rsidRDefault="00D3514C" w:rsidP="00D3514C"/>
    <w:p w14:paraId="159BC0BE" w14:textId="419EF53A" w:rsidR="00D3514C" w:rsidRDefault="00D3514C" w:rsidP="00D3514C">
      <w:r>
        <w:t>Адаптиране на лозата пои пациенти с наоушена бъбречна функция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15"/>
        <w:gridCol w:w="3128"/>
      </w:tblGrid>
      <w:tr w:rsidR="00D3514C" w14:paraId="331218DD" w14:textId="77777777" w:rsidTr="00D3514C">
        <w:tc>
          <w:tcPr>
            <w:tcW w:w="3166" w:type="dxa"/>
          </w:tcPr>
          <w:p w14:paraId="6FF245FA" w14:textId="5F7DE944" w:rsidR="00D3514C" w:rsidRPr="00D3514C" w:rsidRDefault="00D3514C" w:rsidP="00D3514C">
            <w:r w:rsidRPr="00D3514C">
              <w:t>Група</w:t>
            </w:r>
          </w:p>
        </w:tc>
        <w:tc>
          <w:tcPr>
            <w:tcW w:w="3167" w:type="dxa"/>
          </w:tcPr>
          <w:p w14:paraId="3C736FAC" w14:textId="7C6ACE69" w:rsidR="00D3514C" w:rsidRPr="00D3514C" w:rsidRDefault="00D3514C" w:rsidP="00D3514C">
            <w:r w:rsidRPr="00D3514C">
              <w:rPr>
                <w:b/>
                <w:bCs/>
              </w:rPr>
              <w:t xml:space="preserve">Креатининов клирънс </w:t>
            </w:r>
            <w:r w:rsidRPr="00D3514C">
              <w:rPr>
                <w:b/>
                <w:bCs/>
                <w:lang w:val="en-US"/>
              </w:rPr>
              <w:t>(ml/min)</w:t>
            </w:r>
          </w:p>
        </w:tc>
        <w:tc>
          <w:tcPr>
            <w:tcW w:w="3167" w:type="dxa"/>
          </w:tcPr>
          <w:p w14:paraId="338FEA09" w14:textId="287D83E3" w:rsidR="00D3514C" w:rsidRPr="00D3514C" w:rsidRDefault="00D3514C" w:rsidP="00D3514C">
            <w:r w:rsidRPr="00D3514C">
              <w:rPr>
                <w:b/>
                <w:bCs/>
              </w:rPr>
              <w:t>Дозировка и честота на приложение</w:t>
            </w:r>
          </w:p>
        </w:tc>
      </w:tr>
      <w:tr w:rsidR="00D3514C" w14:paraId="3432C472" w14:textId="77777777" w:rsidTr="00D3514C">
        <w:tc>
          <w:tcPr>
            <w:tcW w:w="3166" w:type="dxa"/>
          </w:tcPr>
          <w:p w14:paraId="58509599" w14:textId="052CF1E0" w:rsidR="00D3514C" w:rsidRPr="00D3514C" w:rsidRDefault="00D3514C" w:rsidP="00D3514C">
            <w:r w:rsidRPr="00D3514C">
              <w:t>Нормална</w:t>
            </w:r>
          </w:p>
        </w:tc>
        <w:tc>
          <w:tcPr>
            <w:tcW w:w="3167" w:type="dxa"/>
          </w:tcPr>
          <w:p w14:paraId="2687FB14" w14:textId="2847E389" w:rsidR="00D3514C" w:rsidRPr="00D3514C" w:rsidRDefault="00D3514C" w:rsidP="00D3514C">
            <w:r w:rsidRPr="00D3514C">
              <w:t>≥80</w:t>
            </w:r>
          </w:p>
        </w:tc>
        <w:tc>
          <w:tcPr>
            <w:tcW w:w="3167" w:type="dxa"/>
          </w:tcPr>
          <w:p w14:paraId="49B808B4" w14:textId="68F0CB58" w:rsidR="00D3514C" w:rsidRPr="00D3514C" w:rsidRDefault="00D3514C" w:rsidP="00D3514C">
            <w:r w:rsidRPr="00D3514C">
              <w:t xml:space="preserve">5 </w:t>
            </w:r>
            <w:r w:rsidRPr="00D3514C">
              <w:rPr>
                <w:lang w:val="en-US"/>
              </w:rPr>
              <w:t xml:space="preserve">mg </w:t>
            </w:r>
            <w:r w:rsidRPr="00D3514C">
              <w:t>един път дневно</w:t>
            </w:r>
          </w:p>
        </w:tc>
      </w:tr>
      <w:tr w:rsidR="00D3514C" w14:paraId="633B6140" w14:textId="77777777" w:rsidTr="00D3514C">
        <w:tc>
          <w:tcPr>
            <w:tcW w:w="3166" w:type="dxa"/>
          </w:tcPr>
          <w:p w14:paraId="1AA72833" w14:textId="78B5E13B" w:rsidR="00D3514C" w:rsidRPr="00D3514C" w:rsidRDefault="00D3514C" w:rsidP="00D3514C">
            <w:r w:rsidRPr="00D3514C">
              <w:t>Лека</w:t>
            </w:r>
          </w:p>
        </w:tc>
        <w:tc>
          <w:tcPr>
            <w:tcW w:w="3167" w:type="dxa"/>
          </w:tcPr>
          <w:p w14:paraId="19BDFDC1" w14:textId="748E94B5" w:rsidR="00D3514C" w:rsidRPr="00D3514C" w:rsidRDefault="00D3514C" w:rsidP="00D3514C">
            <w:r w:rsidRPr="00D3514C">
              <w:t>50-79</w:t>
            </w:r>
          </w:p>
        </w:tc>
        <w:tc>
          <w:tcPr>
            <w:tcW w:w="3167" w:type="dxa"/>
          </w:tcPr>
          <w:p w14:paraId="28BC84B2" w14:textId="1CEBE2C3" w:rsidR="00D3514C" w:rsidRPr="00D3514C" w:rsidRDefault="00D3514C" w:rsidP="00D3514C">
            <w:r w:rsidRPr="00D3514C">
              <w:t xml:space="preserve">5 </w:t>
            </w:r>
            <w:r w:rsidRPr="00D3514C">
              <w:rPr>
                <w:lang w:val="en-US"/>
              </w:rPr>
              <w:t xml:space="preserve">mg </w:t>
            </w:r>
            <w:r w:rsidRPr="00D3514C">
              <w:t>един път дневно</w:t>
            </w:r>
          </w:p>
        </w:tc>
      </w:tr>
      <w:tr w:rsidR="00D3514C" w14:paraId="0111B5AB" w14:textId="77777777" w:rsidTr="00D3514C">
        <w:tc>
          <w:tcPr>
            <w:tcW w:w="3166" w:type="dxa"/>
          </w:tcPr>
          <w:p w14:paraId="780EC41D" w14:textId="206701D2" w:rsidR="00D3514C" w:rsidRPr="00D3514C" w:rsidRDefault="00D3514C" w:rsidP="00D3514C">
            <w:r w:rsidRPr="00D3514C">
              <w:t>Умерена</w:t>
            </w:r>
          </w:p>
        </w:tc>
        <w:tc>
          <w:tcPr>
            <w:tcW w:w="3167" w:type="dxa"/>
          </w:tcPr>
          <w:p w14:paraId="69869401" w14:textId="2ABDAADC" w:rsidR="00D3514C" w:rsidRPr="00D3514C" w:rsidRDefault="00D3514C" w:rsidP="00D3514C">
            <w:r w:rsidRPr="00D3514C">
              <w:t>30-49</w:t>
            </w:r>
          </w:p>
        </w:tc>
        <w:tc>
          <w:tcPr>
            <w:tcW w:w="3167" w:type="dxa"/>
          </w:tcPr>
          <w:p w14:paraId="6AE8D3C9" w14:textId="49507E08" w:rsidR="00D3514C" w:rsidRPr="00D3514C" w:rsidRDefault="00D3514C" w:rsidP="00D3514C">
            <w:r w:rsidRPr="00D3514C">
              <w:t xml:space="preserve">5 </w:t>
            </w:r>
            <w:r w:rsidRPr="00D3514C">
              <w:rPr>
                <w:lang w:val="en-US"/>
              </w:rPr>
              <w:t xml:space="preserve">mg </w:t>
            </w:r>
            <w:r w:rsidRPr="00D3514C">
              <w:t>на всеки 2 дни</w:t>
            </w:r>
          </w:p>
        </w:tc>
      </w:tr>
      <w:tr w:rsidR="00D3514C" w14:paraId="31B0023D" w14:textId="77777777" w:rsidTr="00D3514C">
        <w:tc>
          <w:tcPr>
            <w:tcW w:w="3166" w:type="dxa"/>
          </w:tcPr>
          <w:p w14:paraId="1F73071D" w14:textId="2FFFD704" w:rsidR="00D3514C" w:rsidRPr="00D3514C" w:rsidRDefault="00D3514C" w:rsidP="00D3514C">
            <w:r w:rsidRPr="00D3514C">
              <w:t>Тежка</w:t>
            </w:r>
          </w:p>
        </w:tc>
        <w:tc>
          <w:tcPr>
            <w:tcW w:w="3167" w:type="dxa"/>
          </w:tcPr>
          <w:p w14:paraId="1AE49A89" w14:textId="04E893B1" w:rsidR="00D3514C" w:rsidRPr="00D3514C" w:rsidRDefault="00D3514C" w:rsidP="00D3514C">
            <w:r w:rsidRPr="00D3514C">
              <w:t>&lt;30</w:t>
            </w:r>
          </w:p>
        </w:tc>
        <w:tc>
          <w:tcPr>
            <w:tcW w:w="3167" w:type="dxa"/>
          </w:tcPr>
          <w:p w14:paraId="4F09452F" w14:textId="69769B9B" w:rsidR="00D3514C" w:rsidRPr="00D3514C" w:rsidRDefault="00D3514C" w:rsidP="00D3514C">
            <w:r w:rsidRPr="00D3514C">
              <w:t xml:space="preserve">5 </w:t>
            </w:r>
            <w:r w:rsidRPr="00D3514C">
              <w:rPr>
                <w:lang w:val="en-US"/>
              </w:rPr>
              <w:t xml:space="preserve">mg </w:t>
            </w:r>
            <w:r w:rsidRPr="00D3514C">
              <w:t>на всеки 3 дни</w:t>
            </w:r>
          </w:p>
        </w:tc>
      </w:tr>
      <w:tr w:rsidR="00D3514C" w14:paraId="46807698" w14:textId="77777777" w:rsidTr="00D3514C">
        <w:tc>
          <w:tcPr>
            <w:tcW w:w="3166" w:type="dxa"/>
          </w:tcPr>
          <w:p w14:paraId="0BB69A4B" w14:textId="063C6CE4" w:rsidR="00D3514C" w:rsidRPr="00D3514C" w:rsidRDefault="00D3514C" w:rsidP="00D3514C">
            <w:r w:rsidRPr="00D3514C">
              <w:t>Пациенти в краен стадий на бъбречно заболяване - Пациенти на диализа</w:t>
            </w:r>
          </w:p>
        </w:tc>
        <w:tc>
          <w:tcPr>
            <w:tcW w:w="3167" w:type="dxa"/>
          </w:tcPr>
          <w:p w14:paraId="7749DEF9" w14:textId="572A29AA" w:rsidR="00D3514C" w:rsidRPr="00D3514C" w:rsidRDefault="00D3514C" w:rsidP="00D3514C">
            <w:r w:rsidRPr="00D3514C">
              <w:t>&lt; 10</w:t>
            </w:r>
          </w:p>
        </w:tc>
        <w:tc>
          <w:tcPr>
            <w:tcW w:w="3167" w:type="dxa"/>
          </w:tcPr>
          <w:p w14:paraId="67FBEB58" w14:textId="078D3980" w:rsidR="00D3514C" w:rsidRPr="00D3514C" w:rsidRDefault="00D3514C" w:rsidP="00D3514C">
            <w:r w:rsidRPr="00D3514C">
              <w:t>Противопоказано</w:t>
            </w:r>
          </w:p>
        </w:tc>
      </w:tr>
    </w:tbl>
    <w:p w14:paraId="108E4781" w14:textId="77777777" w:rsidR="00D3514C" w:rsidRDefault="00D3514C" w:rsidP="00D3514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</w:pPr>
    </w:p>
    <w:p w14:paraId="14519D95" w14:textId="6732525A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При педиатрични пациенти с бъбречно увреждане, д</w:t>
      </w:r>
      <w:r w:rsidRPr="00D3514C">
        <w:rPr>
          <w:rFonts w:eastAsia="Times New Roman" w:cs="Arial"/>
          <w:color w:val="000000"/>
          <w:lang w:eastAsia="bg-BG"/>
        </w:rPr>
        <w:t>озата трябва да се адатира индивидуално в зависимост от бъбречния клирънс на пациента и телесната маса на пациента. Няма конкретни данни за деца с бъбречно увреждане.</w:t>
      </w:r>
    </w:p>
    <w:p w14:paraId="3921CCE2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170990" w14:textId="3D59CD32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Чернодробно увреждане:</w:t>
      </w:r>
    </w:p>
    <w:p w14:paraId="00D6A824" w14:textId="77777777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Не се налага промяна на дозата при пациенти единствено с чернодробно увреждане. При пациенти с чернодробно и бъбречно увреждане се препоръчва промяна на дозата (вж. Бъбречно увреждане по-горе).</w:t>
      </w:r>
    </w:p>
    <w:p w14:paraId="6C4DA3AC" w14:textId="77777777" w:rsidR="00D3514C" w:rsidRPr="00D3514C" w:rsidRDefault="00D3514C" w:rsidP="00D3514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5FD23DA" w14:textId="60BDCC25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B553392" w14:textId="77777777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Деца от 6 до 12 годишна възраст</w:t>
      </w:r>
    </w:p>
    <w:p w14:paraId="2EA83105" w14:textId="77777777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Препоръчаната дневна доза е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(1 филмирана таблетка).</w:t>
      </w:r>
    </w:p>
    <w:p w14:paraId="2C19124C" w14:textId="77777777" w:rsidR="00D3514C" w:rsidRPr="00D3514C" w:rsidRDefault="00D3514C" w:rsidP="00D3514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56D6383" w14:textId="798CDD77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Деца от 2 до 6 годишна възраст</w:t>
      </w:r>
    </w:p>
    <w:p w14:paraId="508F5222" w14:textId="77777777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Не е възможно адаптиране на дозата с формата филмирана таблетка. Препоръчително е използването на педиатричната форма на левоцетиризин.</w:t>
      </w:r>
    </w:p>
    <w:p w14:paraId="184A429D" w14:textId="77777777" w:rsidR="00D3514C" w:rsidRPr="00D3514C" w:rsidRDefault="00D3514C" w:rsidP="00D3514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254ECF60" w14:textId="58DFAF05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b/>
          <w:bCs/>
          <w:color w:val="000000"/>
          <w:lang w:eastAsia="bg-BG"/>
        </w:rPr>
        <w:t>Продължителност на приложението:</w:t>
      </w:r>
      <w:bookmarkEnd w:id="1"/>
    </w:p>
    <w:p w14:paraId="5B76545D" w14:textId="77777777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Периодичният алергичен ринит (симптоми, изпитвани в продължение на по-малко от четири дни в седмицата или за по-малко от четири седмици в годината) трябва да бъде лекуван в съответствие със заболяването и неговата анамнеза; може да бъде преустановено след като симптомите отзвучат и да бъде започнато отново при повторна поява на симптоми. В случай на хроничен алергичен ринит (симптоми, изпитвани в продължение на повече от четири дни в седмицата или за повече от четири седмици в годината), може да се приложи продължително лечение за периода, през който пациента е изложен на алергени.</w:t>
      </w:r>
    </w:p>
    <w:p w14:paraId="658F605B" w14:textId="77777777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Съществува клиничен опит с приложение на левоцетиризин при провеждано лечение за период от 6 месеца. При хронична уртикария и хроничен алергичен ринит, съществува клиничен опит с приложение на цетиризин (рацемат) за период до една година.</w:t>
      </w:r>
    </w:p>
    <w:p w14:paraId="7AF8D6BE" w14:textId="77777777" w:rsidR="00D3514C" w:rsidRPr="00D3514C" w:rsidRDefault="00D3514C" w:rsidP="00D3514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48706477" w14:textId="73EA34CF" w:rsidR="00D3514C" w:rsidRPr="00D3514C" w:rsidRDefault="00D3514C" w:rsidP="00D3514C">
      <w:pPr>
        <w:pStyle w:val="Heading3"/>
        <w:rPr>
          <w:rFonts w:eastAsia="Times New Roman"/>
          <w:u w:val="single"/>
          <w:lang w:eastAsia="bg-BG"/>
        </w:rPr>
      </w:pPr>
      <w:r w:rsidRPr="00D3514C">
        <w:rPr>
          <w:rFonts w:eastAsia="Times New Roman"/>
          <w:u w:val="single"/>
          <w:lang w:eastAsia="bg-BG"/>
        </w:rPr>
        <w:t>Начин на приложение</w:t>
      </w:r>
      <w:bookmarkEnd w:id="2"/>
    </w:p>
    <w:p w14:paraId="1ACB082B" w14:textId="77777777" w:rsidR="00D3514C" w:rsidRPr="00D3514C" w:rsidRDefault="00D3514C" w:rsidP="00D3514C">
      <w:pPr>
        <w:spacing w:line="240" w:lineRule="auto"/>
        <w:rPr>
          <w:rFonts w:eastAsia="Times New Roman" w:cs="Arial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Филмираната таблетка трябва да се приема през устата, да се поглъща цяла с течност и може да се приема със или без храна. Препоръчително е дневната доза да се взима в един прием.</w:t>
      </w:r>
    </w:p>
    <w:p w14:paraId="2D7FBDB1" w14:textId="77777777" w:rsidR="00D3514C" w:rsidRPr="00D3514C" w:rsidRDefault="00D3514C" w:rsidP="00D3514C"/>
    <w:p w14:paraId="5D9E65DA" w14:textId="37CC7594" w:rsidR="009F77A4" w:rsidRDefault="002C50EE" w:rsidP="00387A66">
      <w:pPr>
        <w:pStyle w:val="Heading2"/>
      </w:pPr>
      <w:r>
        <w:lastRenderedPageBreak/>
        <w:t>4.3. Противопоказания</w:t>
      </w:r>
    </w:p>
    <w:p w14:paraId="713787ED" w14:textId="77777777" w:rsidR="00D3514C" w:rsidRDefault="00D3514C" w:rsidP="00D3514C"/>
    <w:p w14:paraId="2961A728" w14:textId="77777777" w:rsidR="00D3514C" w:rsidRPr="00D3514C" w:rsidRDefault="00D3514C" w:rsidP="00D3514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Свръхчувствителност към активното вещество, към цетиризин, към хидроксизин и към други пиперазинови производни или към някои от помощните вещества изброени в точка 6.1.</w:t>
      </w:r>
    </w:p>
    <w:p w14:paraId="5C76A5D9" w14:textId="42B15DA0" w:rsidR="00D3514C" w:rsidRPr="00D3514C" w:rsidRDefault="00D3514C" w:rsidP="00D3514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Тежко бъбречно увреждане и креатининов клирънс под 10 </w:t>
      </w:r>
      <w:r w:rsidRPr="00D3514C">
        <w:rPr>
          <w:rFonts w:eastAsia="Times New Roman" w:cs="Arial"/>
          <w:color w:val="000000"/>
          <w:lang w:val="en-US"/>
        </w:rPr>
        <w:t>ml/min.</w:t>
      </w:r>
    </w:p>
    <w:p w14:paraId="4807F796" w14:textId="77777777" w:rsidR="00D3514C" w:rsidRPr="00D3514C" w:rsidRDefault="00D3514C" w:rsidP="00D3514C"/>
    <w:p w14:paraId="1C27CE53" w14:textId="39C79156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2E6E26FD" w14:textId="77777777" w:rsidR="00D3514C" w:rsidRDefault="00D3514C" w:rsidP="00D3514C"/>
    <w:p w14:paraId="5FC3C435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Препоръчва се повишено внимание при употреба с алкохол (вижте точка 4.5).</w:t>
      </w:r>
    </w:p>
    <w:p w14:paraId="744B02B0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Препоръчва се повишено внимание при пациенти с предразполагащи фактори към задържане на урината (напр. увреждане на гръбначния стълб, хиперплазия на простатата), тъй като левоцетиризин може да повиши риска от задържане на урина.</w:t>
      </w:r>
    </w:p>
    <w:p w14:paraId="26A8DDD4" w14:textId="77777777" w:rsidR="00D3514C" w:rsidRPr="00D3514C" w:rsidRDefault="00D3514C" w:rsidP="00D3514C">
      <w:pPr>
        <w:rPr>
          <w:rFonts w:cs="Arial"/>
          <w:sz w:val="24"/>
          <w:szCs w:val="24"/>
        </w:rPr>
      </w:pPr>
    </w:p>
    <w:p w14:paraId="2A0CF4C5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Препоръчва се повишено внимание при пациенти с епилепсия и пациенти с риск от конвулсии тъй като левоцетиризин може </w:t>
      </w:r>
      <w:r w:rsidRPr="00D3514C">
        <w:rPr>
          <w:rFonts w:eastAsia="Times New Roman" w:cs="Arial"/>
          <w:i/>
          <w:iCs/>
          <w:color w:val="000000"/>
          <w:lang w:eastAsia="bg-BG"/>
        </w:rPr>
        <w:t>да</w:t>
      </w:r>
      <w:r w:rsidRPr="00D3514C">
        <w:rPr>
          <w:rFonts w:eastAsia="Times New Roman" w:cs="Arial"/>
          <w:color w:val="000000"/>
          <w:lang w:eastAsia="bg-BG"/>
        </w:rPr>
        <w:t xml:space="preserve"> предизвика влошаване на пристъпите.</w:t>
      </w:r>
    </w:p>
    <w:p w14:paraId="6D553FFF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17001C" w14:textId="2BA829B8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Отговорът на кожни тестове за алергия се инхибира от антихистамини и е необходим период на изчистване (от 3 дни) преди да бъдат направени.</w:t>
      </w:r>
    </w:p>
    <w:p w14:paraId="5EC7443A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6C0424" w14:textId="7A8516C4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При прекратяване приема на левоцетиризин може да се появи пруритус, дори и ако тези симптоми не са били наблюдавани преди започване на лечението. Симптомите могат да изчезнат спонтанно. В някои случаи симптомите могат да бъдат интензивни и да изискват възстановяване на лечението. Симптомите трябва да преминат, когато лечението започне отново.</w:t>
      </w:r>
    </w:p>
    <w:p w14:paraId="6C829023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1E7CE57" w14:textId="1D915BFC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74E3C3B5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Употребата на филмирани таблетки не се препоръчва при деца на възраст под 6 години, тъй като тази форма не позволява нужното коригиране на дозата. Препоръчително е да се използва педиатрична форма на левоцетиризин.</w:t>
      </w:r>
    </w:p>
    <w:p w14:paraId="28DE0CE7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0D7EA5E" w14:textId="67E07464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Помощни вещества</w:t>
      </w:r>
    </w:p>
    <w:p w14:paraId="5646FC7A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Продуктът съдържа лактоза монохидрат; пациенти с редки наследствени форми на непоносимост към галактоза, общ лактазен дефицит или глюкозо-галактозна малабсорбция не трябва да приемат този лекарствен продукт.</w:t>
      </w:r>
    </w:p>
    <w:p w14:paraId="7C50B679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Това лекарство съдържа по-малко от 1 </w:t>
      </w:r>
      <w:r w:rsidRPr="00D3514C">
        <w:rPr>
          <w:rFonts w:eastAsia="Times New Roman" w:cs="Arial"/>
          <w:color w:val="000000"/>
          <w:lang w:val="en-US"/>
        </w:rPr>
        <w:t xml:space="preserve">mmol </w:t>
      </w:r>
      <w:r w:rsidRPr="00D3514C">
        <w:rPr>
          <w:rFonts w:eastAsia="Times New Roman" w:cs="Arial"/>
          <w:color w:val="000000"/>
          <w:lang w:eastAsia="bg-BG"/>
        </w:rPr>
        <w:t xml:space="preserve">натрий (23 </w:t>
      </w:r>
      <w:r w:rsidRPr="00D3514C">
        <w:rPr>
          <w:rFonts w:eastAsia="Times New Roman" w:cs="Arial"/>
          <w:color w:val="000000"/>
          <w:lang w:val="en-US"/>
        </w:rPr>
        <w:t xml:space="preserve">mg) </w:t>
      </w:r>
      <w:r w:rsidRPr="00D3514C">
        <w:rPr>
          <w:rFonts w:eastAsia="Times New Roman" w:cs="Arial"/>
          <w:color w:val="000000"/>
          <w:lang w:eastAsia="bg-BG"/>
        </w:rPr>
        <w:t>в таблетка, така че на практика е „без натрий“.</w:t>
      </w:r>
    </w:p>
    <w:p w14:paraId="54DF83C2" w14:textId="77777777" w:rsidR="00D3514C" w:rsidRPr="00D3514C" w:rsidRDefault="00D3514C" w:rsidP="00D3514C"/>
    <w:p w14:paraId="1DA47448" w14:textId="381F54E1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07CFD066" w14:textId="77777777" w:rsidR="00D3514C" w:rsidRDefault="00D3514C" w:rsidP="00D3514C"/>
    <w:p w14:paraId="5369E065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Не са провеждани изпитвания за установяване на лекарствени взаимодействията с левоцетиризин (включително и с </w:t>
      </w:r>
      <w:r w:rsidRPr="00D3514C">
        <w:rPr>
          <w:rFonts w:eastAsia="Times New Roman" w:cs="Arial"/>
          <w:color w:val="000000"/>
          <w:lang w:val="en-US"/>
        </w:rPr>
        <w:t xml:space="preserve">CYP3A4 </w:t>
      </w:r>
      <w:r w:rsidRPr="00D3514C">
        <w:rPr>
          <w:rFonts w:eastAsia="Times New Roman" w:cs="Arial"/>
          <w:color w:val="000000"/>
          <w:lang w:eastAsia="bg-BG"/>
        </w:rPr>
        <w:t xml:space="preserve">индуктори); проучванията с рацематното съединение цетиризин показват, че няма клинично значими нежелани взаимодействия (антипирин, азитромицин, симетидин, диазепам, еритромицин, глипизид, кетоконазол и псевдоефедрин). Леко понижение в клирънса на цетиризин (16%) се наблюдава при изпитване с многократен прием на теофилин (400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един път дневно), до като разпределението на теофилин не се променя при съпътстващото приложение на цетиризин.</w:t>
      </w:r>
    </w:p>
    <w:p w14:paraId="1FD25531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lastRenderedPageBreak/>
        <w:t xml:space="preserve">В проучване с многократно приложение на ритонавир (600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два пъти дневно) и цетиризин (10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дневно), степента на експозиция на цетиризин е била повишена с около 40%, докато диспозицията на ритонавир леко е била понижена (-11%) при съпътстващо приложение на цетиризин.</w:t>
      </w:r>
    </w:p>
    <w:p w14:paraId="631AEBC0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Степента на абсорбция при левоцитеризин не намалява при прием на храна, макар че скоростта на абсорбция се понижава.</w:t>
      </w:r>
    </w:p>
    <w:p w14:paraId="1AD3125F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При чувствителни пациенти едновременното приложение на цетиризин или левоцетиризин и алкохол или други депресанти на ЦНС може да причини допълнително понижаване на вниманието и да наруши изпълнението на дейностите.</w:t>
      </w:r>
    </w:p>
    <w:p w14:paraId="5C9BB5FD" w14:textId="77777777" w:rsidR="00D3514C" w:rsidRPr="00D3514C" w:rsidRDefault="00D3514C" w:rsidP="00D3514C"/>
    <w:p w14:paraId="48846BBA" w14:textId="2507FDE7" w:rsidR="009F77A4" w:rsidRDefault="002C50EE" w:rsidP="00387A66">
      <w:pPr>
        <w:pStyle w:val="Heading2"/>
      </w:pPr>
      <w:r>
        <w:t>4.6. Фертилитет, бременност и кърмене</w:t>
      </w:r>
    </w:p>
    <w:p w14:paraId="3B8C1A01" w14:textId="77777777" w:rsidR="00D3514C" w:rsidRDefault="00D3514C" w:rsidP="00D3514C"/>
    <w:p w14:paraId="1D4A3513" w14:textId="77777777" w:rsidR="00D3514C" w:rsidRPr="00D3514C" w:rsidRDefault="00D3514C" w:rsidP="00D3514C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D3514C">
        <w:rPr>
          <w:rFonts w:eastAsia="Times New Roman"/>
          <w:u w:val="single"/>
          <w:lang w:eastAsia="bg-BG"/>
        </w:rPr>
        <w:t>Бременност</w:t>
      </w:r>
    </w:p>
    <w:p w14:paraId="42E2E5E1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Няма или има ограничени клинични данни за употребата на левоцетиризин при бременни жени (по-малко от 300 бремености). Въпреки това за цетиризин, рацемат на левоцетиризин, множество данни (повече от 1 000 бремености) не установяват малформации или фето/неонатална токсичност.</w:t>
      </w:r>
    </w:p>
    <w:p w14:paraId="1599C9A0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Проучванията при животни не показват съществуването на директен или индиректен увреждащ ефект върху бременността, ембрионалното/феталното развитие, раждането или постнаталното развитие (вж. точка 5.3).</w:t>
      </w:r>
    </w:p>
    <w:p w14:paraId="47D8AD48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У</w:t>
      </w:r>
      <w:r w:rsidRPr="00D3514C">
        <w:rPr>
          <w:rFonts w:eastAsia="Times New Roman" w:cs="Arial"/>
          <w:color w:val="000000"/>
          <w:lang w:eastAsia="bg-BG"/>
        </w:rPr>
        <w:t xml:space="preserve"> потребата на левоцитиризин по време на бременност може да се обмисли, ако е необходимо</w:t>
      </w:r>
    </w:p>
    <w:p w14:paraId="1B3B2414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7C78CC" w14:textId="12F34F70" w:rsidR="00D3514C" w:rsidRPr="00D3514C" w:rsidRDefault="00D3514C" w:rsidP="00D3514C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D3514C">
        <w:rPr>
          <w:rFonts w:eastAsia="Times New Roman"/>
          <w:u w:val="single"/>
          <w:lang w:eastAsia="bg-BG"/>
        </w:rPr>
        <w:t>Кърмене</w:t>
      </w:r>
    </w:p>
    <w:p w14:paraId="522E04E2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Цитиризин, рацемат на левоцитиризин се отделя в човешкото мляко. Поради това, отделянето на левоцетиризин в човешкото мляко е възможно. Нежелани реакции свързани с левоцитиризин могат да се наблюдават при кърмени бебета. По тази причина, предписването на левоцетиризин при кърмещи жени трябва да бъде с повишено внимание.</w:t>
      </w:r>
    </w:p>
    <w:p w14:paraId="5F958AB4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A7E3635" w14:textId="0E7953EE" w:rsidR="00D3514C" w:rsidRPr="00D3514C" w:rsidRDefault="00D3514C" w:rsidP="00D3514C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D3514C">
        <w:rPr>
          <w:rFonts w:eastAsia="Times New Roman"/>
          <w:u w:val="single"/>
          <w:lang w:eastAsia="bg-BG"/>
        </w:rPr>
        <w:t>Фертилитет</w:t>
      </w:r>
    </w:p>
    <w:p w14:paraId="66F25C81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Няма налични данни за левоцетиризин.</w:t>
      </w:r>
    </w:p>
    <w:p w14:paraId="723C8F5B" w14:textId="77777777" w:rsidR="00D3514C" w:rsidRPr="00D3514C" w:rsidRDefault="00D3514C" w:rsidP="00D3514C"/>
    <w:p w14:paraId="321AAB00" w14:textId="3EA4494E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71CDA97C" w14:textId="77777777" w:rsidR="00D3514C" w:rsidRDefault="00D3514C" w:rsidP="00D3514C"/>
    <w:p w14:paraId="51BF864D" w14:textId="77777777" w:rsidR="00D3514C" w:rsidRPr="00D3514C" w:rsidRDefault="00D3514C" w:rsidP="00D3514C">
      <w:pPr>
        <w:rPr>
          <w:sz w:val="24"/>
          <w:szCs w:val="24"/>
          <w:lang w:eastAsia="bg-BG"/>
        </w:rPr>
      </w:pPr>
      <w:r w:rsidRPr="00D3514C">
        <w:rPr>
          <w:lang w:eastAsia="bg-BG"/>
        </w:rPr>
        <w:t>Сравнителните клинични изпитвания показват, че левоцетиризин в препоръчваната доза, не повлиява вниманието, реакцията или способността за шофиране.</w:t>
      </w:r>
    </w:p>
    <w:p w14:paraId="6A70F7A7" w14:textId="2D3D69AA" w:rsidR="00D3514C" w:rsidRDefault="00D3514C" w:rsidP="00D3514C">
      <w:pPr>
        <w:rPr>
          <w:lang w:eastAsia="bg-BG"/>
        </w:rPr>
      </w:pPr>
      <w:r w:rsidRPr="00D3514C">
        <w:rPr>
          <w:lang w:eastAsia="bg-BG"/>
        </w:rPr>
        <w:t>Независимо от това, при някои пациенти по време на лечение с левоцитеризин може да се появят сънливост, умора и астения. Поради това пациенти, които ще шофират, ще участват в потенциално рискови дейности или ще работят с машини трябва да имат предвид въздействието на лекарствения продукт.</w:t>
      </w:r>
    </w:p>
    <w:p w14:paraId="25CD6573" w14:textId="77777777" w:rsidR="00D3514C" w:rsidRPr="00D3514C" w:rsidRDefault="00D3514C" w:rsidP="00D3514C">
      <w:pPr>
        <w:rPr>
          <w:sz w:val="24"/>
          <w:szCs w:val="24"/>
          <w:lang w:eastAsia="bg-BG"/>
        </w:rPr>
      </w:pPr>
    </w:p>
    <w:p w14:paraId="136C86B8" w14:textId="3F9D0CA1" w:rsidR="009F77A4" w:rsidRDefault="002C50EE" w:rsidP="00387A66">
      <w:pPr>
        <w:pStyle w:val="Heading2"/>
      </w:pPr>
      <w:r>
        <w:t>4.8. Нежелани лекарствени реакции</w:t>
      </w:r>
    </w:p>
    <w:p w14:paraId="450B3321" w14:textId="77777777" w:rsidR="00D3514C" w:rsidRDefault="00D3514C" w:rsidP="00D3514C"/>
    <w:p w14:paraId="1F1546D0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Клинични изпитвания</w:t>
      </w:r>
    </w:p>
    <w:p w14:paraId="0E4A4FE4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Възрастни и юноши над 12 години</w:t>
      </w:r>
    </w:p>
    <w:p w14:paraId="53E790E4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В терапевтични изпитвания с мъже и жени на възраст 12 до 71 години, 15,1% от пациентите в групата на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левоцетиризин са съобщили за поне една нежелана </w:t>
      </w:r>
      <w:r w:rsidRPr="00D3514C">
        <w:rPr>
          <w:rFonts w:eastAsia="Times New Roman" w:cs="Arial"/>
          <w:color w:val="000000"/>
          <w:lang w:eastAsia="bg-BG"/>
        </w:rPr>
        <w:lastRenderedPageBreak/>
        <w:t>лекарствена реакция в сравнение с 11,3% в групата на плацебо. 91,6% от тези нежелани лекарствени реакции са леки до умерено тежки.</w:t>
      </w:r>
    </w:p>
    <w:p w14:paraId="75AE5FB7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В терапевтични изпитвания преустановяването на терапията поради нежелани лекарствени реакции е 1,0% (9/935) при левоцетиризин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и 1,8% (14/771) при плацебо.</w:t>
      </w:r>
    </w:p>
    <w:p w14:paraId="3D9AF2C1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Клиничните терапевтични изпитвания с левоцетиризин включват 935 участници, приемали лекарствения продукт в препоръчителната доза от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дневно. В тази група, се съобщава честота на нежелани лекарствени реакции, равна на 1% или повече (чести; ≥1/100 до &lt; 1/10) при приложение на левоцетиризин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или плацебо:</w:t>
      </w:r>
    </w:p>
    <w:p w14:paraId="1A34D7D7" w14:textId="77777777" w:rsidR="00D3514C" w:rsidRDefault="00D3514C" w:rsidP="00D35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06"/>
        <w:gridCol w:w="3126"/>
      </w:tblGrid>
      <w:tr w:rsidR="00D3514C" w14:paraId="1340C836" w14:textId="77777777" w:rsidTr="00D3514C">
        <w:tc>
          <w:tcPr>
            <w:tcW w:w="3166" w:type="dxa"/>
          </w:tcPr>
          <w:p w14:paraId="5549212E" w14:textId="4D91249E" w:rsidR="00D3514C" w:rsidRPr="00D3514C" w:rsidRDefault="00D3514C" w:rsidP="00D3514C">
            <w:r w:rsidRPr="00D3514C">
              <w:t>Предпочитан термин</w:t>
            </w:r>
          </w:p>
        </w:tc>
        <w:tc>
          <w:tcPr>
            <w:tcW w:w="3167" w:type="dxa"/>
          </w:tcPr>
          <w:p w14:paraId="718AC4C3" w14:textId="5436B2FD" w:rsidR="00D3514C" w:rsidRPr="00D3514C" w:rsidRDefault="00D3514C" w:rsidP="00D3514C">
            <w:r w:rsidRPr="00D3514C">
              <w:t>Плацебо</w:t>
            </w:r>
          </w:p>
        </w:tc>
        <w:tc>
          <w:tcPr>
            <w:tcW w:w="3167" w:type="dxa"/>
          </w:tcPr>
          <w:p w14:paraId="73AB71FC" w14:textId="517D7BD6" w:rsidR="00D3514C" w:rsidRPr="00D3514C" w:rsidRDefault="00D3514C" w:rsidP="00D3514C">
            <w:r w:rsidRPr="00D3514C">
              <w:t xml:space="preserve">Левоцетиризин 5 </w:t>
            </w:r>
            <w:r w:rsidRPr="00D3514C">
              <w:rPr>
                <w:lang w:val="en-US"/>
              </w:rPr>
              <w:t>mg</w:t>
            </w:r>
          </w:p>
        </w:tc>
      </w:tr>
      <w:tr w:rsidR="00D3514C" w14:paraId="73E86395" w14:textId="77777777" w:rsidTr="00D3514C">
        <w:tc>
          <w:tcPr>
            <w:tcW w:w="3166" w:type="dxa"/>
          </w:tcPr>
          <w:p w14:paraId="374D763E" w14:textId="5604981C" w:rsidR="00D3514C" w:rsidRPr="00D3514C" w:rsidRDefault="00D3514C" w:rsidP="00D3514C">
            <w:r w:rsidRPr="00D3514C">
              <w:rPr>
                <w:lang w:val="en-US"/>
              </w:rPr>
              <w:t>(WHOART)</w:t>
            </w:r>
          </w:p>
        </w:tc>
        <w:tc>
          <w:tcPr>
            <w:tcW w:w="3167" w:type="dxa"/>
          </w:tcPr>
          <w:p w14:paraId="31BDEBF6" w14:textId="094C3C12" w:rsidR="00D3514C" w:rsidRPr="00D3514C" w:rsidRDefault="00D3514C" w:rsidP="00D3514C">
            <w:r w:rsidRPr="00D3514C">
              <w:t>(</w:t>
            </w:r>
            <w:r w:rsidRPr="00D3514C">
              <w:rPr>
                <w:lang w:val="en-US"/>
              </w:rPr>
              <w:t>n</w:t>
            </w:r>
            <w:r w:rsidRPr="00D3514C">
              <w:t xml:space="preserve"> = 771)</w:t>
            </w:r>
          </w:p>
        </w:tc>
        <w:tc>
          <w:tcPr>
            <w:tcW w:w="3167" w:type="dxa"/>
          </w:tcPr>
          <w:p w14:paraId="5E120220" w14:textId="4CA94678" w:rsidR="00D3514C" w:rsidRPr="00D3514C" w:rsidRDefault="00D3514C" w:rsidP="00D3514C">
            <w:r w:rsidRPr="00D3514C">
              <w:t>(</w:t>
            </w:r>
            <w:r w:rsidRPr="00D3514C">
              <w:rPr>
                <w:lang w:val="en-US"/>
              </w:rPr>
              <w:t>n=</w:t>
            </w:r>
            <w:r w:rsidRPr="00D3514C">
              <w:t xml:space="preserve"> 935)</w:t>
            </w:r>
          </w:p>
        </w:tc>
      </w:tr>
      <w:tr w:rsidR="00D3514C" w14:paraId="6CA7CF08" w14:textId="77777777" w:rsidTr="00D3514C">
        <w:tc>
          <w:tcPr>
            <w:tcW w:w="3166" w:type="dxa"/>
          </w:tcPr>
          <w:p w14:paraId="354142CA" w14:textId="150151D2" w:rsidR="00D3514C" w:rsidRPr="00D3514C" w:rsidRDefault="00D3514C" w:rsidP="00D3514C">
            <w:r w:rsidRPr="00D3514C">
              <w:t>Главоболие</w:t>
            </w:r>
          </w:p>
        </w:tc>
        <w:tc>
          <w:tcPr>
            <w:tcW w:w="3167" w:type="dxa"/>
          </w:tcPr>
          <w:p w14:paraId="23AC1C5F" w14:textId="6EACB22A" w:rsidR="00D3514C" w:rsidRPr="00D3514C" w:rsidRDefault="00D3514C" w:rsidP="00D3514C">
            <w:r w:rsidRPr="00D3514C">
              <w:t>25 (3,2%)</w:t>
            </w:r>
          </w:p>
        </w:tc>
        <w:tc>
          <w:tcPr>
            <w:tcW w:w="3167" w:type="dxa"/>
          </w:tcPr>
          <w:p w14:paraId="1CC92BF3" w14:textId="723BDD08" w:rsidR="00D3514C" w:rsidRPr="00D3514C" w:rsidRDefault="00D3514C" w:rsidP="00D3514C">
            <w:r w:rsidRPr="00D3514C">
              <w:t>24 (2,6%)</w:t>
            </w:r>
          </w:p>
        </w:tc>
      </w:tr>
      <w:tr w:rsidR="00D3514C" w14:paraId="10B408F4" w14:textId="77777777" w:rsidTr="00D3514C">
        <w:tc>
          <w:tcPr>
            <w:tcW w:w="3166" w:type="dxa"/>
          </w:tcPr>
          <w:p w14:paraId="7CBE6A3A" w14:textId="7D9B6BC5" w:rsidR="00D3514C" w:rsidRPr="00D3514C" w:rsidRDefault="00D3514C" w:rsidP="00D3514C">
            <w:r w:rsidRPr="00D3514C">
              <w:t>Сънливост</w:t>
            </w:r>
          </w:p>
        </w:tc>
        <w:tc>
          <w:tcPr>
            <w:tcW w:w="3167" w:type="dxa"/>
          </w:tcPr>
          <w:p w14:paraId="2FFE2AE2" w14:textId="4E826C1C" w:rsidR="00D3514C" w:rsidRPr="00D3514C" w:rsidRDefault="00D3514C" w:rsidP="00D3514C">
            <w:r w:rsidRPr="00D3514C">
              <w:t>11 (1,4%)</w:t>
            </w:r>
          </w:p>
        </w:tc>
        <w:tc>
          <w:tcPr>
            <w:tcW w:w="3167" w:type="dxa"/>
          </w:tcPr>
          <w:p w14:paraId="44BFE4A9" w14:textId="7C7A5EA3" w:rsidR="00D3514C" w:rsidRPr="00D3514C" w:rsidRDefault="00D3514C" w:rsidP="00D3514C">
            <w:r w:rsidRPr="00D3514C">
              <w:t>49 (5,2%)</w:t>
            </w:r>
          </w:p>
        </w:tc>
      </w:tr>
      <w:tr w:rsidR="00D3514C" w14:paraId="3FFF1BB0" w14:textId="77777777" w:rsidTr="00D3514C">
        <w:tc>
          <w:tcPr>
            <w:tcW w:w="3166" w:type="dxa"/>
          </w:tcPr>
          <w:p w14:paraId="65C83F25" w14:textId="7D8D85B4" w:rsidR="00D3514C" w:rsidRPr="00D3514C" w:rsidRDefault="00D3514C" w:rsidP="00D3514C">
            <w:r w:rsidRPr="00D3514C">
              <w:t>Сухота в устата</w:t>
            </w:r>
          </w:p>
        </w:tc>
        <w:tc>
          <w:tcPr>
            <w:tcW w:w="3167" w:type="dxa"/>
          </w:tcPr>
          <w:p w14:paraId="4E2B6BB9" w14:textId="394F3936" w:rsidR="00D3514C" w:rsidRPr="00D3514C" w:rsidRDefault="00D3514C" w:rsidP="00D3514C">
            <w:r w:rsidRPr="00D3514C">
              <w:t>12(1,6%)</w:t>
            </w:r>
          </w:p>
        </w:tc>
        <w:tc>
          <w:tcPr>
            <w:tcW w:w="3167" w:type="dxa"/>
          </w:tcPr>
          <w:p w14:paraId="72D066A7" w14:textId="2F5298F8" w:rsidR="00D3514C" w:rsidRPr="00D3514C" w:rsidRDefault="00D3514C" w:rsidP="00D3514C">
            <w:r w:rsidRPr="00D3514C">
              <w:t>24 (2,6%)</w:t>
            </w:r>
          </w:p>
        </w:tc>
      </w:tr>
      <w:tr w:rsidR="00D3514C" w14:paraId="561F40BD" w14:textId="77777777" w:rsidTr="00D3514C">
        <w:tc>
          <w:tcPr>
            <w:tcW w:w="3166" w:type="dxa"/>
          </w:tcPr>
          <w:p w14:paraId="38D61511" w14:textId="0EC33F75" w:rsidR="00D3514C" w:rsidRPr="00D3514C" w:rsidRDefault="00D3514C" w:rsidP="00D3514C">
            <w:r w:rsidRPr="00D3514C">
              <w:t>Умора</w:t>
            </w:r>
          </w:p>
        </w:tc>
        <w:tc>
          <w:tcPr>
            <w:tcW w:w="3167" w:type="dxa"/>
          </w:tcPr>
          <w:p w14:paraId="07F2F6C2" w14:textId="73662B6A" w:rsidR="00D3514C" w:rsidRPr="00D3514C" w:rsidRDefault="00D3514C" w:rsidP="00D3514C">
            <w:r w:rsidRPr="00D3514C">
              <w:t>9(1,2%)</w:t>
            </w:r>
          </w:p>
        </w:tc>
        <w:tc>
          <w:tcPr>
            <w:tcW w:w="3167" w:type="dxa"/>
          </w:tcPr>
          <w:p w14:paraId="0EF13231" w14:textId="319C7F63" w:rsidR="00D3514C" w:rsidRPr="00D3514C" w:rsidRDefault="00D3514C" w:rsidP="00D3514C">
            <w:r w:rsidRPr="00D3514C">
              <w:t>23 (2,5%)</w:t>
            </w:r>
          </w:p>
        </w:tc>
      </w:tr>
    </w:tbl>
    <w:p w14:paraId="7BE6BFD5" w14:textId="77777777" w:rsidR="00D3514C" w:rsidRDefault="00D3514C" w:rsidP="00D3514C"/>
    <w:p w14:paraId="67AF73EA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Наблюдавани са и нечести нежелани лекарствени реакции (≥1/1 000 до &lt; 1/100) като астения или коремна болка.</w:t>
      </w:r>
    </w:p>
    <w:p w14:paraId="50FED6DC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Честотата на нежелани лекарствени реакции, изразяващи се в сънливост, умора и астения заедно, е била по-висока (8,1%) при левоцетиризин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отколкото при плацебо (3,1%).</w:t>
      </w:r>
    </w:p>
    <w:p w14:paraId="2B020C66" w14:textId="77777777" w:rsidR="00D3514C" w:rsidRPr="00D3514C" w:rsidRDefault="00D3514C" w:rsidP="00D3514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B85A39E" w14:textId="5453B98C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30E2BB3E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В две плацебо-контролирани проучвания при педиатрични пациенти на възраст от 6 - 11 месеца и на възраст от 1 година до под 6 години, 159 пациенти са били изложени на левоцетиризин в доза от 1,25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дневно в продължение на 2 седмици и 1,25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два пъти дневно. Следната честота на нежелани лекарствени реакции са докладвани с честота 1% или повече с левоцетиризин или плацебо.</w:t>
      </w:r>
    </w:p>
    <w:p w14:paraId="3E33815D" w14:textId="77777777" w:rsidR="00D3514C" w:rsidRDefault="00D3514C" w:rsidP="00D35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098"/>
        <w:gridCol w:w="3124"/>
      </w:tblGrid>
      <w:tr w:rsidR="00D3514C" w:rsidRPr="00D3514C" w14:paraId="096B770C" w14:textId="77777777" w:rsidTr="000E6BF6">
        <w:tc>
          <w:tcPr>
            <w:tcW w:w="3166" w:type="dxa"/>
            <w:vAlign w:val="bottom"/>
          </w:tcPr>
          <w:p w14:paraId="0BDC3D13" w14:textId="169C277C" w:rsidR="00D3514C" w:rsidRPr="00D3514C" w:rsidRDefault="00D3514C" w:rsidP="00D3514C">
            <w:r w:rsidRPr="00D3514C">
              <w:rPr>
                <w:b/>
                <w:bCs/>
              </w:rPr>
              <w:t>Системо-органен клас и Препоръчителен термин</w:t>
            </w:r>
          </w:p>
        </w:tc>
        <w:tc>
          <w:tcPr>
            <w:tcW w:w="3167" w:type="dxa"/>
            <w:vAlign w:val="bottom"/>
          </w:tcPr>
          <w:p w14:paraId="1B1FC890" w14:textId="7FA36BBA" w:rsidR="00D3514C" w:rsidRPr="00D3514C" w:rsidRDefault="00D3514C" w:rsidP="00D3514C">
            <w:r w:rsidRPr="00D3514C">
              <w:rPr>
                <w:b/>
                <w:bCs/>
              </w:rPr>
              <w:t>Плацебо (</w:t>
            </w:r>
            <w:r w:rsidRPr="00D3514C">
              <w:rPr>
                <w:b/>
                <w:bCs/>
                <w:lang w:val="en-US"/>
              </w:rPr>
              <w:t>n</w:t>
            </w:r>
            <w:r w:rsidRPr="00D3514C">
              <w:rPr>
                <w:b/>
                <w:bCs/>
              </w:rPr>
              <w:t>= 83)</w:t>
            </w:r>
          </w:p>
        </w:tc>
        <w:tc>
          <w:tcPr>
            <w:tcW w:w="3167" w:type="dxa"/>
            <w:vAlign w:val="bottom"/>
          </w:tcPr>
          <w:p w14:paraId="2D5DFACE" w14:textId="3B68BACD" w:rsidR="00D3514C" w:rsidRPr="00D3514C" w:rsidRDefault="00D3514C" w:rsidP="00D3514C">
            <w:r w:rsidRPr="00D3514C">
              <w:rPr>
                <w:b/>
                <w:bCs/>
              </w:rPr>
              <w:t>Левоцетиризин (</w:t>
            </w:r>
            <w:r w:rsidRPr="00D3514C">
              <w:rPr>
                <w:b/>
                <w:bCs/>
                <w:lang w:val="en-US"/>
              </w:rPr>
              <w:t>n</w:t>
            </w:r>
            <w:r w:rsidRPr="00D3514C">
              <w:rPr>
                <w:b/>
                <w:bCs/>
              </w:rPr>
              <w:t>= 159)</w:t>
            </w:r>
          </w:p>
        </w:tc>
      </w:tr>
      <w:tr w:rsidR="00D3514C" w:rsidRPr="00D3514C" w14:paraId="31729622" w14:textId="77777777" w:rsidTr="000E6BF6">
        <w:tc>
          <w:tcPr>
            <w:tcW w:w="3166" w:type="dxa"/>
            <w:vAlign w:val="bottom"/>
          </w:tcPr>
          <w:p w14:paraId="7AC2C266" w14:textId="3BD32A9B" w:rsidR="00D3514C" w:rsidRPr="00D3514C" w:rsidRDefault="00D3514C" w:rsidP="00D3514C">
            <w:r w:rsidRPr="00D3514C">
              <w:rPr>
                <w:b/>
                <w:bCs/>
              </w:rPr>
              <w:t>Стомашно-чревни нарушения</w:t>
            </w:r>
          </w:p>
        </w:tc>
        <w:tc>
          <w:tcPr>
            <w:tcW w:w="3167" w:type="dxa"/>
          </w:tcPr>
          <w:p w14:paraId="1CA8C85B" w14:textId="77777777" w:rsidR="00D3514C" w:rsidRPr="00D3514C" w:rsidRDefault="00D3514C" w:rsidP="00D3514C"/>
        </w:tc>
        <w:tc>
          <w:tcPr>
            <w:tcW w:w="3167" w:type="dxa"/>
            <w:vAlign w:val="bottom"/>
          </w:tcPr>
          <w:p w14:paraId="121B03EF" w14:textId="77777777" w:rsidR="00D3514C" w:rsidRPr="00D3514C" w:rsidRDefault="00D3514C" w:rsidP="00D3514C"/>
        </w:tc>
      </w:tr>
      <w:tr w:rsidR="00D3514C" w:rsidRPr="00D3514C" w14:paraId="1A27072E" w14:textId="77777777" w:rsidTr="00D3514C">
        <w:tc>
          <w:tcPr>
            <w:tcW w:w="3166" w:type="dxa"/>
          </w:tcPr>
          <w:p w14:paraId="13F65392" w14:textId="2F1657DF" w:rsidR="00D3514C" w:rsidRPr="00D3514C" w:rsidRDefault="00D3514C" w:rsidP="00D3514C">
            <w:r w:rsidRPr="00D3514C">
              <w:t>Разстройство</w:t>
            </w:r>
          </w:p>
        </w:tc>
        <w:tc>
          <w:tcPr>
            <w:tcW w:w="3167" w:type="dxa"/>
          </w:tcPr>
          <w:p w14:paraId="6BF0CADF" w14:textId="0735DE81" w:rsidR="00D3514C" w:rsidRPr="00D3514C" w:rsidRDefault="00D3514C" w:rsidP="00D3514C">
            <w:r w:rsidRPr="00D3514C">
              <w:t>0</w:t>
            </w:r>
          </w:p>
        </w:tc>
        <w:tc>
          <w:tcPr>
            <w:tcW w:w="3167" w:type="dxa"/>
          </w:tcPr>
          <w:p w14:paraId="0FA3CE1E" w14:textId="38A5C232" w:rsidR="00D3514C" w:rsidRPr="00D3514C" w:rsidRDefault="00D3514C" w:rsidP="00D3514C">
            <w:r w:rsidRPr="00D3514C">
              <w:t>3(1,9%)</w:t>
            </w:r>
          </w:p>
        </w:tc>
      </w:tr>
      <w:tr w:rsidR="00D3514C" w:rsidRPr="00D3514C" w14:paraId="00834F2C" w14:textId="77777777" w:rsidTr="00031E6D">
        <w:tc>
          <w:tcPr>
            <w:tcW w:w="3166" w:type="dxa"/>
            <w:vAlign w:val="bottom"/>
          </w:tcPr>
          <w:p w14:paraId="664B1E9D" w14:textId="74D9664E" w:rsidR="00D3514C" w:rsidRPr="00D3514C" w:rsidRDefault="00D3514C" w:rsidP="00D3514C">
            <w:r w:rsidRPr="00D3514C">
              <w:t>Повръщане</w:t>
            </w:r>
          </w:p>
        </w:tc>
        <w:tc>
          <w:tcPr>
            <w:tcW w:w="3167" w:type="dxa"/>
            <w:vAlign w:val="bottom"/>
          </w:tcPr>
          <w:p w14:paraId="6AE261FF" w14:textId="5336C0DC" w:rsidR="00D3514C" w:rsidRPr="00D3514C" w:rsidRDefault="00D3514C" w:rsidP="00D3514C">
            <w:r w:rsidRPr="00D3514C">
              <w:t>1 (1,2%)</w:t>
            </w:r>
          </w:p>
        </w:tc>
        <w:tc>
          <w:tcPr>
            <w:tcW w:w="3167" w:type="dxa"/>
            <w:vAlign w:val="bottom"/>
          </w:tcPr>
          <w:p w14:paraId="09D6623C" w14:textId="7691A1F1" w:rsidR="00D3514C" w:rsidRPr="00D3514C" w:rsidRDefault="00D3514C" w:rsidP="00D3514C">
            <w:r w:rsidRPr="00D3514C">
              <w:t>1 (0,6%)</w:t>
            </w:r>
          </w:p>
        </w:tc>
      </w:tr>
      <w:tr w:rsidR="00D3514C" w:rsidRPr="00D3514C" w14:paraId="54F1783F" w14:textId="77777777" w:rsidTr="00031E6D">
        <w:tc>
          <w:tcPr>
            <w:tcW w:w="3166" w:type="dxa"/>
            <w:vAlign w:val="bottom"/>
          </w:tcPr>
          <w:p w14:paraId="48810760" w14:textId="4BFE9B94" w:rsidR="00D3514C" w:rsidRPr="00D3514C" w:rsidRDefault="00D3514C" w:rsidP="00D3514C">
            <w:r w:rsidRPr="00D3514C">
              <w:t>Запек</w:t>
            </w:r>
          </w:p>
        </w:tc>
        <w:tc>
          <w:tcPr>
            <w:tcW w:w="3167" w:type="dxa"/>
            <w:vAlign w:val="bottom"/>
          </w:tcPr>
          <w:p w14:paraId="1904D727" w14:textId="01A34E84" w:rsidR="00D3514C" w:rsidRPr="00D3514C" w:rsidRDefault="00D3514C" w:rsidP="00D3514C">
            <w:r w:rsidRPr="00D3514C">
              <w:t>0</w:t>
            </w:r>
          </w:p>
        </w:tc>
        <w:tc>
          <w:tcPr>
            <w:tcW w:w="3167" w:type="dxa"/>
            <w:vAlign w:val="bottom"/>
          </w:tcPr>
          <w:p w14:paraId="69BEB9F9" w14:textId="7107D7F2" w:rsidR="00D3514C" w:rsidRPr="00D3514C" w:rsidRDefault="00D3514C" w:rsidP="00D3514C">
            <w:r w:rsidRPr="00D3514C">
              <w:t>2(1,3%)</w:t>
            </w:r>
          </w:p>
        </w:tc>
      </w:tr>
      <w:tr w:rsidR="00D3514C" w:rsidRPr="00D3514C" w14:paraId="6572D59E" w14:textId="77777777" w:rsidTr="00031E6D">
        <w:tc>
          <w:tcPr>
            <w:tcW w:w="3166" w:type="dxa"/>
            <w:vAlign w:val="bottom"/>
          </w:tcPr>
          <w:p w14:paraId="4E9EED37" w14:textId="54F44F62" w:rsidR="00D3514C" w:rsidRPr="00D3514C" w:rsidRDefault="00D3514C" w:rsidP="00D3514C">
            <w:r w:rsidRPr="00D3514C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3167" w:type="dxa"/>
          </w:tcPr>
          <w:p w14:paraId="41FF3923" w14:textId="77777777" w:rsidR="00D3514C" w:rsidRPr="00D3514C" w:rsidRDefault="00D3514C" w:rsidP="00D3514C"/>
        </w:tc>
        <w:tc>
          <w:tcPr>
            <w:tcW w:w="3167" w:type="dxa"/>
          </w:tcPr>
          <w:p w14:paraId="773FCB9A" w14:textId="77777777" w:rsidR="00D3514C" w:rsidRPr="00D3514C" w:rsidRDefault="00D3514C" w:rsidP="00D3514C"/>
        </w:tc>
      </w:tr>
      <w:tr w:rsidR="00D3514C" w:rsidRPr="00D3514C" w14:paraId="0882C95E" w14:textId="77777777" w:rsidTr="00031E6D">
        <w:tc>
          <w:tcPr>
            <w:tcW w:w="3166" w:type="dxa"/>
            <w:vAlign w:val="bottom"/>
          </w:tcPr>
          <w:p w14:paraId="017A0637" w14:textId="3B963A58" w:rsidR="00D3514C" w:rsidRPr="00D3514C" w:rsidRDefault="00D3514C" w:rsidP="00D3514C">
            <w:r w:rsidRPr="00D3514C">
              <w:t>Сънливост</w:t>
            </w:r>
          </w:p>
        </w:tc>
        <w:tc>
          <w:tcPr>
            <w:tcW w:w="3167" w:type="dxa"/>
            <w:vAlign w:val="bottom"/>
          </w:tcPr>
          <w:p w14:paraId="414D0A1A" w14:textId="0D491059" w:rsidR="00D3514C" w:rsidRPr="00D3514C" w:rsidRDefault="00D3514C" w:rsidP="00D3514C">
            <w:r w:rsidRPr="00D3514C">
              <w:t>2 (2,4%)</w:t>
            </w:r>
          </w:p>
        </w:tc>
        <w:tc>
          <w:tcPr>
            <w:tcW w:w="3167" w:type="dxa"/>
            <w:vAlign w:val="bottom"/>
          </w:tcPr>
          <w:p w14:paraId="43896209" w14:textId="4704D9A8" w:rsidR="00D3514C" w:rsidRPr="00D3514C" w:rsidRDefault="00D3514C" w:rsidP="00D3514C">
            <w:r w:rsidRPr="00D3514C">
              <w:t>3(1,9%)</w:t>
            </w:r>
          </w:p>
        </w:tc>
      </w:tr>
      <w:tr w:rsidR="00D3514C" w:rsidRPr="00D3514C" w14:paraId="39B9F61C" w14:textId="77777777" w:rsidTr="00031E6D">
        <w:tc>
          <w:tcPr>
            <w:tcW w:w="3166" w:type="dxa"/>
            <w:vAlign w:val="bottom"/>
          </w:tcPr>
          <w:p w14:paraId="1C73C350" w14:textId="201EEC22" w:rsidR="00D3514C" w:rsidRPr="00D3514C" w:rsidRDefault="00D3514C" w:rsidP="00D3514C">
            <w:r w:rsidRPr="00D3514C">
              <w:rPr>
                <w:b/>
                <w:bCs/>
              </w:rPr>
              <w:t>Психични нарушения</w:t>
            </w:r>
          </w:p>
        </w:tc>
        <w:tc>
          <w:tcPr>
            <w:tcW w:w="3167" w:type="dxa"/>
          </w:tcPr>
          <w:p w14:paraId="20189554" w14:textId="77777777" w:rsidR="00D3514C" w:rsidRPr="00D3514C" w:rsidRDefault="00D3514C" w:rsidP="00D3514C"/>
        </w:tc>
        <w:tc>
          <w:tcPr>
            <w:tcW w:w="3167" w:type="dxa"/>
          </w:tcPr>
          <w:p w14:paraId="6A257302" w14:textId="77777777" w:rsidR="00D3514C" w:rsidRPr="00D3514C" w:rsidRDefault="00D3514C" w:rsidP="00D3514C"/>
        </w:tc>
      </w:tr>
      <w:tr w:rsidR="00D3514C" w:rsidRPr="00D3514C" w14:paraId="15F48125" w14:textId="77777777" w:rsidTr="00031E6D">
        <w:tc>
          <w:tcPr>
            <w:tcW w:w="3166" w:type="dxa"/>
            <w:vAlign w:val="bottom"/>
          </w:tcPr>
          <w:p w14:paraId="2E23569B" w14:textId="5D558F9E" w:rsidR="00D3514C" w:rsidRPr="00D3514C" w:rsidRDefault="00D3514C" w:rsidP="00D3514C">
            <w:r w:rsidRPr="00D3514C">
              <w:t>Нарушения на съня</w:t>
            </w:r>
          </w:p>
        </w:tc>
        <w:tc>
          <w:tcPr>
            <w:tcW w:w="3167" w:type="dxa"/>
            <w:vAlign w:val="bottom"/>
          </w:tcPr>
          <w:p w14:paraId="1CBE4842" w14:textId="3673943D" w:rsidR="00D3514C" w:rsidRPr="00D3514C" w:rsidRDefault="00D3514C" w:rsidP="00D3514C">
            <w:r w:rsidRPr="00D3514C">
              <w:t>0</w:t>
            </w:r>
          </w:p>
        </w:tc>
        <w:tc>
          <w:tcPr>
            <w:tcW w:w="3167" w:type="dxa"/>
            <w:vAlign w:val="bottom"/>
          </w:tcPr>
          <w:p w14:paraId="4AE6DE8C" w14:textId="0B0ABAF6" w:rsidR="00D3514C" w:rsidRPr="00D3514C" w:rsidRDefault="00D3514C" w:rsidP="00D3514C">
            <w:r w:rsidRPr="00D3514C">
              <w:t>2(1,3%)</w:t>
            </w:r>
          </w:p>
        </w:tc>
      </w:tr>
    </w:tbl>
    <w:p w14:paraId="6D0F44B1" w14:textId="77777777" w:rsidR="00D3514C" w:rsidRDefault="00D3514C" w:rsidP="00D3514C"/>
    <w:p w14:paraId="4F4041A3" w14:textId="12719B7E" w:rsidR="00D3514C" w:rsidRDefault="00D3514C" w:rsidP="00D3514C">
      <w:pPr>
        <w:rPr>
          <w:lang w:eastAsia="bg-BG"/>
        </w:rPr>
      </w:pPr>
      <w:r w:rsidRPr="00D3514C">
        <w:rPr>
          <w:lang w:eastAsia="bg-BG"/>
        </w:rPr>
        <w:t xml:space="preserve">Двойно-слепи контролирани проучвания са проведени при деца на възраст от 6 до 12 години, като 243 деца, приемали, 5 </w:t>
      </w:r>
      <w:r w:rsidRPr="00D3514C">
        <w:rPr>
          <w:lang w:val="en-US"/>
        </w:rPr>
        <w:t xml:space="preserve">mg </w:t>
      </w:r>
      <w:r w:rsidRPr="00D3514C">
        <w:rPr>
          <w:lang w:eastAsia="bg-BG"/>
        </w:rPr>
        <w:t>дневно левоцетиризин за различни периоди, вариращи от по- малко от 1 седмица до 13 седмици. Следната честота на нежелани лекарствени реакции са били докладвани с честота 1% или по-голяма в групата на левоцетиризин или плацебо.</w:t>
      </w:r>
    </w:p>
    <w:p w14:paraId="37DBBA05" w14:textId="77777777" w:rsidR="00D3514C" w:rsidRDefault="00D3514C" w:rsidP="00D3514C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04"/>
        <w:gridCol w:w="3127"/>
      </w:tblGrid>
      <w:tr w:rsidR="00D3514C" w14:paraId="003EAA76" w14:textId="77777777" w:rsidTr="0043636C">
        <w:tc>
          <w:tcPr>
            <w:tcW w:w="3166" w:type="dxa"/>
            <w:vAlign w:val="bottom"/>
          </w:tcPr>
          <w:p w14:paraId="16F62C5C" w14:textId="6340B17B" w:rsidR="00D3514C" w:rsidRPr="00D3514C" w:rsidRDefault="00D3514C" w:rsidP="00D3514C">
            <w:pPr>
              <w:rPr>
                <w:lang w:eastAsia="bg-BG"/>
              </w:rPr>
            </w:pPr>
            <w:r w:rsidRPr="00D3514C">
              <w:rPr>
                <w:b/>
                <w:bCs/>
              </w:rPr>
              <w:lastRenderedPageBreak/>
              <w:t>Предпочитан термин</w:t>
            </w:r>
          </w:p>
        </w:tc>
        <w:tc>
          <w:tcPr>
            <w:tcW w:w="3167" w:type="dxa"/>
            <w:vAlign w:val="bottom"/>
          </w:tcPr>
          <w:p w14:paraId="7D107586" w14:textId="43E5A316" w:rsidR="00D3514C" w:rsidRPr="00D3514C" w:rsidRDefault="00D3514C" w:rsidP="00D3514C">
            <w:pPr>
              <w:rPr>
                <w:lang w:eastAsia="bg-BG"/>
              </w:rPr>
            </w:pPr>
            <w:r w:rsidRPr="00D3514C">
              <w:rPr>
                <w:b/>
                <w:bCs/>
              </w:rPr>
              <w:t>Плацебо (</w:t>
            </w:r>
            <w:r w:rsidRPr="00D3514C">
              <w:rPr>
                <w:b/>
                <w:bCs/>
                <w:lang w:val="en-US"/>
              </w:rPr>
              <w:t>n</w:t>
            </w:r>
            <w:r w:rsidRPr="00D3514C">
              <w:rPr>
                <w:b/>
                <w:bCs/>
              </w:rPr>
              <w:t>= 240)</w:t>
            </w:r>
          </w:p>
        </w:tc>
        <w:tc>
          <w:tcPr>
            <w:tcW w:w="3167" w:type="dxa"/>
            <w:vAlign w:val="bottom"/>
          </w:tcPr>
          <w:p w14:paraId="7B79870B" w14:textId="5BAE4FF1" w:rsidR="00D3514C" w:rsidRPr="00D3514C" w:rsidRDefault="00D3514C" w:rsidP="00D3514C">
            <w:pPr>
              <w:rPr>
                <w:lang w:eastAsia="bg-BG"/>
              </w:rPr>
            </w:pPr>
            <w:r w:rsidRPr="00D3514C">
              <w:rPr>
                <w:b/>
                <w:bCs/>
              </w:rPr>
              <w:t xml:space="preserve">Левоцетиризин 5 </w:t>
            </w:r>
            <w:r w:rsidRPr="00D3514C">
              <w:rPr>
                <w:b/>
                <w:bCs/>
                <w:lang w:val="en-US"/>
              </w:rPr>
              <w:t xml:space="preserve">mg </w:t>
            </w:r>
            <w:r w:rsidRPr="00D3514C">
              <w:rPr>
                <w:b/>
                <w:bCs/>
              </w:rPr>
              <w:t>(</w:t>
            </w:r>
            <w:r w:rsidRPr="00D3514C">
              <w:rPr>
                <w:b/>
                <w:bCs/>
                <w:lang w:val="en-US"/>
              </w:rPr>
              <w:t>n</w:t>
            </w:r>
            <w:r w:rsidRPr="00D3514C">
              <w:rPr>
                <w:b/>
                <w:bCs/>
              </w:rPr>
              <w:t xml:space="preserve"> = 243)</w:t>
            </w:r>
          </w:p>
        </w:tc>
      </w:tr>
      <w:tr w:rsidR="00D3514C" w14:paraId="4596FE7F" w14:textId="77777777" w:rsidTr="0043636C">
        <w:tc>
          <w:tcPr>
            <w:tcW w:w="3166" w:type="dxa"/>
            <w:vAlign w:val="bottom"/>
          </w:tcPr>
          <w:p w14:paraId="7F1E0EE9" w14:textId="493DBF4B" w:rsidR="00D3514C" w:rsidRPr="00D3514C" w:rsidRDefault="00D3514C" w:rsidP="00D3514C">
            <w:pPr>
              <w:rPr>
                <w:lang w:eastAsia="bg-BG"/>
              </w:rPr>
            </w:pPr>
            <w:r w:rsidRPr="00D3514C">
              <w:t>Главоболие</w:t>
            </w:r>
          </w:p>
        </w:tc>
        <w:tc>
          <w:tcPr>
            <w:tcW w:w="3167" w:type="dxa"/>
            <w:vAlign w:val="bottom"/>
          </w:tcPr>
          <w:p w14:paraId="3F2EFAA1" w14:textId="60E08BEB" w:rsidR="00D3514C" w:rsidRPr="00D3514C" w:rsidRDefault="00D3514C" w:rsidP="00D3514C">
            <w:pPr>
              <w:rPr>
                <w:lang w:eastAsia="bg-BG"/>
              </w:rPr>
            </w:pPr>
            <w:r w:rsidRPr="00D3514C">
              <w:t>5 (2,1%)</w:t>
            </w:r>
          </w:p>
        </w:tc>
        <w:tc>
          <w:tcPr>
            <w:tcW w:w="3167" w:type="dxa"/>
            <w:vAlign w:val="bottom"/>
          </w:tcPr>
          <w:p w14:paraId="0851CFA1" w14:textId="216490E3" w:rsidR="00D3514C" w:rsidRPr="00D3514C" w:rsidRDefault="00D3514C" w:rsidP="00D3514C">
            <w:pPr>
              <w:rPr>
                <w:lang w:eastAsia="bg-BG"/>
              </w:rPr>
            </w:pPr>
            <w:r w:rsidRPr="00D3514C">
              <w:t>2 (0,8%)</w:t>
            </w:r>
          </w:p>
        </w:tc>
      </w:tr>
      <w:tr w:rsidR="00D3514C" w14:paraId="49CF4EA7" w14:textId="77777777" w:rsidTr="0043636C">
        <w:tc>
          <w:tcPr>
            <w:tcW w:w="3166" w:type="dxa"/>
            <w:vAlign w:val="bottom"/>
          </w:tcPr>
          <w:p w14:paraId="4CAE3204" w14:textId="2A171820" w:rsidR="00D3514C" w:rsidRPr="00D3514C" w:rsidRDefault="00D3514C" w:rsidP="00D3514C">
            <w:pPr>
              <w:rPr>
                <w:lang w:eastAsia="bg-BG"/>
              </w:rPr>
            </w:pPr>
            <w:r w:rsidRPr="00D3514C">
              <w:t>Сънливост</w:t>
            </w:r>
          </w:p>
        </w:tc>
        <w:tc>
          <w:tcPr>
            <w:tcW w:w="3167" w:type="dxa"/>
            <w:vAlign w:val="bottom"/>
          </w:tcPr>
          <w:p w14:paraId="51C1A229" w14:textId="53055E4A" w:rsidR="00D3514C" w:rsidRPr="00D3514C" w:rsidRDefault="00D3514C" w:rsidP="00D3514C">
            <w:pPr>
              <w:rPr>
                <w:lang w:eastAsia="bg-BG"/>
              </w:rPr>
            </w:pPr>
            <w:r w:rsidRPr="00D3514C">
              <w:t>1 (0,4%)</w:t>
            </w:r>
          </w:p>
        </w:tc>
        <w:tc>
          <w:tcPr>
            <w:tcW w:w="3167" w:type="dxa"/>
            <w:vAlign w:val="bottom"/>
          </w:tcPr>
          <w:p w14:paraId="0C76EF84" w14:textId="0FFF0E7C" w:rsidR="00D3514C" w:rsidRPr="00D3514C" w:rsidRDefault="00D3514C" w:rsidP="00D3514C">
            <w:pPr>
              <w:rPr>
                <w:lang w:eastAsia="bg-BG"/>
              </w:rPr>
            </w:pPr>
            <w:r w:rsidRPr="00D3514C">
              <w:t>7 (2,9%)</w:t>
            </w:r>
          </w:p>
        </w:tc>
      </w:tr>
    </w:tbl>
    <w:p w14:paraId="4A22C60D" w14:textId="77777777" w:rsidR="00D3514C" w:rsidRDefault="00D3514C" w:rsidP="00D3514C">
      <w:pPr>
        <w:rPr>
          <w:sz w:val="24"/>
          <w:szCs w:val="24"/>
          <w:lang w:eastAsia="bg-BG"/>
        </w:rPr>
      </w:pPr>
    </w:p>
    <w:p w14:paraId="443CB253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Пост-мапкетингов опит</w:t>
      </w:r>
    </w:p>
    <w:p w14:paraId="6791F81C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Нежеланите реакции от пост-маркетингов опит са по системо-органен клас и по честота.</w:t>
      </w:r>
    </w:p>
    <w:p w14:paraId="65E841D5" w14:textId="77777777" w:rsidR="00D3514C" w:rsidRDefault="00D3514C" w:rsidP="00D3514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Честотата на нежеланите лекарствени реакции се определя както следва: много чести (≥ 1/10), чести (≥1/100 до &lt; 1/10), нечести (≥1/1 000 до &lt; 1/100), редки (≥1/10 000 до &lt; 1/1 000), много редки (&lt; 1/10 000), с неизвестна честота (от наличните данни не може да бъде направена оценка).</w:t>
      </w:r>
    </w:p>
    <w:p w14:paraId="35F09C50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094"/>
        <w:gridCol w:w="3141"/>
      </w:tblGrid>
      <w:tr w:rsidR="00D3514C" w14:paraId="0B1A95E1" w14:textId="77777777" w:rsidTr="00944093">
        <w:tc>
          <w:tcPr>
            <w:tcW w:w="6333" w:type="dxa"/>
            <w:gridSpan w:val="2"/>
            <w:vAlign w:val="bottom"/>
          </w:tcPr>
          <w:p w14:paraId="15E65588" w14:textId="0C1EF426" w:rsidR="00D3514C" w:rsidRPr="00D3514C" w:rsidRDefault="00D3514C" w:rsidP="00D3514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D3514C">
              <w:rPr>
                <w:b/>
                <w:bCs/>
              </w:rPr>
              <w:t xml:space="preserve">Системо-органен клас по </w:t>
            </w:r>
            <w:r w:rsidRPr="00D3514C">
              <w:rPr>
                <w:b/>
                <w:bCs/>
                <w:lang w:val="en-US"/>
              </w:rPr>
              <w:t>MedDRA</w:t>
            </w:r>
          </w:p>
        </w:tc>
        <w:tc>
          <w:tcPr>
            <w:tcW w:w="3167" w:type="dxa"/>
            <w:vAlign w:val="bottom"/>
          </w:tcPr>
          <w:p w14:paraId="406C0578" w14:textId="1A892036" w:rsidR="00D3514C" w:rsidRPr="00D3514C" w:rsidRDefault="00D3514C" w:rsidP="00D3514C">
            <w:pPr>
              <w:rPr>
                <w:b/>
                <w:bCs/>
                <w:sz w:val="24"/>
                <w:szCs w:val="24"/>
                <w:lang w:eastAsia="bg-BG"/>
              </w:rPr>
            </w:pPr>
            <w:r w:rsidRPr="00D3514C">
              <w:rPr>
                <w:b/>
                <w:bCs/>
              </w:rPr>
              <w:t>Нежелани реакции</w:t>
            </w:r>
          </w:p>
        </w:tc>
      </w:tr>
      <w:tr w:rsidR="00D3514C" w14:paraId="1E92EBC6" w14:textId="77777777" w:rsidTr="00AF6F44">
        <w:tc>
          <w:tcPr>
            <w:tcW w:w="3166" w:type="dxa"/>
            <w:vAlign w:val="bottom"/>
          </w:tcPr>
          <w:p w14:paraId="15F47E94" w14:textId="59B2E429" w:rsidR="00D3514C" w:rsidRPr="00D3514C" w:rsidRDefault="00D3514C" w:rsidP="00D3514C">
            <w:pPr>
              <w:rPr>
                <w:lang w:eastAsia="bg-BG"/>
              </w:rPr>
            </w:pPr>
            <w:r w:rsidRPr="00D3514C">
              <w:t>Нарушения на имунната система</w:t>
            </w:r>
          </w:p>
        </w:tc>
        <w:tc>
          <w:tcPr>
            <w:tcW w:w="3167" w:type="dxa"/>
            <w:vAlign w:val="bottom"/>
          </w:tcPr>
          <w:p w14:paraId="5FA8C330" w14:textId="3EE7E803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  <w:vAlign w:val="bottom"/>
          </w:tcPr>
          <w:p w14:paraId="6854F6F4" w14:textId="61BCA33D" w:rsidR="00D3514C" w:rsidRPr="00D3514C" w:rsidRDefault="00D3514C" w:rsidP="00D3514C">
            <w:pPr>
              <w:rPr>
                <w:lang w:eastAsia="bg-BG"/>
              </w:rPr>
            </w:pPr>
            <w:r w:rsidRPr="00D3514C">
              <w:t>Свръхчувствителност, включително (анафилаксия)</w:t>
            </w:r>
          </w:p>
        </w:tc>
      </w:tr>
      <w:tr w:rsidR="00D3514C" w14:paraId="2B9FB6EA" w14:textId="77777777" w:rsidTr="00AF6F44">
        <w:tc>
          <w:tcPr>
            <w:tcW w:w="3166" w:type="dxa"/>
            <w:vAlign w:val="bottom"/>
          </w:tcPr>
          <w:p w14:paraId="056BCB72" w14:textId="1CCF476F" w:rsidR="00D3514C" w:rsidRPr="00D3514C" w:rsidRDefault="00D3514C" w:rsidP="00D3514C">
            <w:pPr>
              <w:rPr>
                <w:lang w:eastAsia="bg-BG"/>
              </w:rPr>
            </w:pPr>
            <w:r w:rsidRPr="00D3514C">
              <w:t>Нарушения на метаболизма и храненето</w:t>
            </w:r>
          </w:p>
        </w:tc>
        <w:tc>
          <w:tcPr>
            <w:tcW w:w="3167" w:type="dxa"/>
            <w:vAlign w:val="bottom"/>
          </w:tcPr>
          <w:p w14:paraId="136896F4" w14:textId="56F432DB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</w:tcPr>
          <w:p w14:paraId="2E73CD82" w14:textId="714FEAF9" w:rsidR="00D3514C" w:rsidRPr="00D3514C" w:rsidRDefault="00D3514C" w:rsidP="00D3514C">
            <w:pPr>
              <w:rPr>
                <w:lang w:eastAsia="bg-BG"/>
              </w:rPr>
            </w:pPr>
            <w:r w:rsidRPr="00D3514C">
              <w:t>Увеличен апетит</w:t>
            </w:r>
          </w:p>
        </w:tc>
      </w:tr>
      <w:tr w:rsidR="00D3514C" w14:paraId="6C306C8E" w14:textId="77777777" w:rsidTr="00AF6F44">
        <w:tc>
          <w:tcPr>
            <w:tcW w:w="3166" w:type="dxa"/>
          </w:tcPr>
          <w:p w14:paraId="2938FBD0" w14:textId="21F6567C" w:rsidR="00D3514C" w:rsidRPr="00D3514C" w:rsidRDefault="00D3514C" w:rsidP="00D3514C">
            <w:pPr>
              <w:rPr>
                <w:lang w:eastAsia="bg-BG"/>
              </w:rPr>
            </w:pPr>
            <w:r w:rsidRPr="00D3514C">
              <w:t>Психични нарушения</w:t>
            </w:r>
          </w:p>
        </w:tc>
        <w:tc>
          <w:tcPr>
            <w:tcW w:w="3167" w:type="dxa"/>
          </w:tcPr>
          <w:p w14:paraId="0A211503" w14:textId="026088A0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  <w:vAlign w:val="bottom"/>
          </w:tcPr>
          <w:p w14:paraId="322FBB47" w14:textId="4C6610BB" w:rsidR="00D3514C" w:rsidRPr="00D3514C" w:rsidRDefault="00D3514C" w:rsidP="00D3514C">
            <w:pPr>
              <w:rPr>
                <w:lang w:eastAsia="bg-BG"/>
              </w:rPr>
            </w:pPr>
            <w:r w:rsidRPr="00D3514C">
              <w:t>Агресия, възбуда, халюцинации, депресия, безсъние, суицидни желания, кошмари</w:t>
            </w:r>
          </w:p>
        </w:tc>
      </w:tr>
      <w:tr w:rsidR="00D3514C" w14:paraId="6C77BF7A" w14:textId="77777777" w:rsidTr="00AF6F44">
        <w:tc>
          <w:tcPr>
            <w:tcW w:w="3166" w:type="dxa"/>
            <w:vAlign w:val="bottom"/>
          </w:tcPr>
          <w:p w14:paraId="18C174A8" w14:textId="029CAF08" w:rsidR="00D3514C" w:rsidRPr="00D3514C" w:rsidRDefault="00D3514C" w:rsidP="00D3514C">
            <w:pPr>
              <w:rPr>
                <w:lang w:eastAsia="bg-BG"/>
              </w:rPr>
            </w:pPr>
            <w:r w:rsidRPr="00D3514C">
              <w:t>Нарушения на нервната система</w:t>
            </w:r>
          </w:p>
        </w:tc>
        <w:tc>
          <w:tcPr>
            <w:tcW w:w="3167" w:type="dxa"/>
            <w:vAlign w:val="bottom"/>
          </w:tcPr>
          <w:p w14:paraId="50A50841" w14:textId="4FF368E6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  <w:vAlign w:val="bottom"/>
          </w:tcPr>
          <w:p w14:paraId="663A7A6E" w14:textId="480C12BA" w:rsidR="00D3514C" w:rsidRPr="00D3514C" w:rsidRDefault="00D3514C" w:rsidP="00D3514C">
            <w:pPr>
              <w:rPr>
                <w:lang w:eastAsia="bg-BG"/>
              </w:rPr>
            </w:pPr>
            <w:r w:rsidRPr="00D3514C">
              <w:t>Конвулсия, парастезия, замаяност, синкоп, тремор, дисгезия</w:t>
            </w:r>
          </w:p>
        </w:tc>
      </w:tr>
      <w:tr w:rsidR="00D3514C" w14:paraId="75BE7471" w14:textId="77777777" w:rsidTr="00AF6F44">
        <w:tc>
          <w:tcPr>
            <w:tcW w:w="3166" w:type="dxa"/>
          </w:tcPr>
          <w:p w14:paraId="48F98C47" w14:textId="12374BE1" w:rsidR="00D3514C" w:rsidRPr="00D3514C" w:rsidRDefault="00D3514C" w:rsidP="00D3514C">
            <w:pPr>
              <w:rPr>
                <w:lang w:eastAsia="bg-BG"/>
              </w:rPr>
            </w:pPr>
            <w:r w:rsidRPr="00D3514C">
              <w:t>Нарушения на очите</w:t>
            </w:r>
          </w:p>
        </w:tc>
        <w:tc>
          <w:tcPr>
            <w:tcW w:w="3167" w:type="dxa"/>
            <w:vAlign w:val="bottom"/>
          </w:tcPr>
          <w:p w14:paraId="28875B6F" w14:textId="6E66B633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  <w:vAlign w:val="bottom"/>
          </w:tcPr>
          <w:p w14:paraId="6BCB6A6B" w14:textId="7568BCF5" w:rsidR="00D3514C" w:rsidRPr="00D3514C" w:rsidRDefault="00D3514C" w:rsidP="00D3514C">
            <w:pPr>
              <w:rPr>
                <w:lang w:eastAsia="bg-BG"/>
              </w:rPr>
            </w:pPr>
            <w:r w:rsidRPr="00D3514C">
              <w:t>Зрителни смущения, замъглено виждане, окулогирация</w:t>
            </w:r>
          </w:p>
        </w:tc>
      </w:tr>
      <w:tr w:rsidR="00D3514C" w14:paraId="3E8D26DE" w14:textId="77777777" w:rsidTr="00AF6F44">
        <w:tc>
          <w:tcPr>
            <w:tcW w:w="3166" w:type="dxa"/>
            <w:vAlign w:val="bottom"/>
          </w:tcPr>
          <w:p w14:paraId="268610B5" w14:textId="4E25FBB6" w:rsidR="00D3514C" w:rsidRPr="00D3514C" w:rsidRDefault="00D3514C" w:rsidP="00D3514C">
            <w:pPr>
              <w:rPr>
                <w:lang w:eastAsia="bg-BG"/>
              </w:rPr>
            </w:pPr>
            <w:r w:rsidRPr="00D3514C">
              <w:t>Нарушения на ухото и лабиринта</w:t>
            </w:r>
          </w:p>
        </w:tc>
        <w:tc>
          <w:tcPr>
            <w:tcW w:w="3167" w:type="dxa"/>
            <w:vAlign w:val="bottom"/>
          </w:tcPr>
          <w:p w14:paraId="003BBAC3" w14:textId="223666EF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</w:tcPr>
          <w:p w14:paraId="0E787780" w14:textId="1C17B54B" w:rsidR="00D3514C" w:rsidRPr="00D3514C" w:rsidRDefault="00D3514C" w:rsidP="00D3514C">
            <w:pPr>
              <w:rPr>
                <w:lang w:eastAsia="bg-BG"/>
              </w:rPr>
            </w:pPr>
            <w:r w:rsidRPr="00D3514C">
              <w:t>Вертиго</w:t>
            </w:r>
          </w:p>
        </w:tc>
      </w:tr>
      <w:tr w:rsidR="00D3514C" w14:paraId="635B46DC" w14:textId="77777777" w:rsidTr="00AF6F44">
        <w:tc>
          <w:tcPr>
            <w:tcW w:w="3166" w:type="dxa"/>
          </w:tcPr>
          <w:p w14:paraId="4818F1CA" w14:textId="5492C940" w:rsidR="00D3514C" w:rsidRPr="00D3514C" w:rsidRDefault="00D3514C" w:rsidP="00D3514C">
            <w:pPr>
              <w:rPr>
                <w:lang w:eastAsia="bg-BG"/>
              </w:rPr>
            </w:pPr>
            <w:r w:rsidRPr="00D3514C">
              <w:t>Сърдечни нарушения</w:t>
            </w:r>
          </w:p>
        </w:tc>
        <w:tc>
          <w:tcPr>
            <w:tcW w:w="3167" w:type="dxa"/>
            <w:vAlign w:val="bottom"/>
          </w:tcPr>
          <w:p w14:paraId="0000A7F5" w14:textId="1E3F6F46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</w:tcPr>
          <w:p w14:paraId="3437FFC0" w14:textId="029C8DCD" w:rsidR="00D3514C" w:rsidRPr="00D3514C" w:rsidRDefault="00D3514C" w:rsidP="00D3514C">
            <w:pPr>
              <w:rPr>
                <w:lang w:eastAsia="bg-BG"/>
              </w:rPr>
            </w:pPr>
            <w:r w:rsidRPr="00D3514C">
              <w:t>Палпитации, тахикардия</w:t>
            </w:r>
          </w:p>
        </w:tc>
      </w:tr>
      <w:tr w:rsidR="00D3514C" w14:paraId="14AA0652" w14:textId="77777777" w:rsidTr="00AF6F44">
        <w:tc>
          <w:tcPr>
            <w:tcW w:w="3166" w:type="dxa"/>
            <w:vAlign w:val="bottom"/>
          </w:tcPr>
          <w:p w14:paraId="3FBA52F1" w14:textId="4AF89BE2" w:rsidR="00D3514C" w:rsidRPr="00D3514C" w:rsidRDefault="00D3514C" w:rsidP="00D3514C">
            <w:pPr>
              <w:rPr>
                <w:lang w:eastAsia="bg-BG"/>
              </w:rPr>
            </w:pPr>
            <w:r w:rsidRPr="00D3514C">
              <w:t>Респираторни, гръдни и медиастинални нарушения</w:t>
            </w:r>
          </w:p>
        </w:tc>
        <w:tc>
          <w:tcPr>
            <w:tcW w:w="3167" w:type="dxa"/>
            <w:vAlign w:val="bottom"/>
          </w:tcPr>
          <w:p w14:paraId="6A0CCC67" w14:textId="3E80FF9A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</w:tcPr>
          <w:p w14:paraId="080A77FE" w14:textId="75DA80E6" w:rsidR="00D3514C" w:rsidRPr="00D3514C" w:rsidRDefault="00D3514C" w:rsidP="00D3514C">
            <w:pPr>
              <w:rPr>
                <w:lang w:eastAsia="bg-BG"/>
              </w:rPr>
            </w:pPr>
            <w:r w:rsidRPr="00D3514C">
              <w:t>Диспнея</w:t>
            </w:r>
          </w:p>
        </w:tc>
      </w:tr>
      <w:tr w:rsidR="00D3514C" w14:paraId="3A1181B8" w14:textId="77777777" w:rsidTr="00AF6F44">
        <w:tc>
          <w:tcPr>
            <w:tcW w:w="3166" w:type="dxa"/>
          </w:tcPr>
          <w:p w14:paraId="59C1305C" w14:textId="5A8FDC1B" w:rsidR="00D3514C" w:rsidRPr="00D3514C" w:rsidRDefault="00D3514C" w:rsidP="00D3514C">
            <w:pPr>
              <w:rPr>
                <w:lang w:eastAsia="bg-BG"/>
              </w:rPr>
            </w:pPr>
            <w:r w:rsidRPr="00D3514C">
              <w:t>Стомашно-чревни нарушения</w:t>
            </w:r>
          </w:p>
        </w:tc>
        <w:tc>
          <w:tcPr>
            <w:tcW w:w="3167" w:type="dxa"/>
            <w:vAlign w:val="bottom"/>
          </w:tcPr>
          <w:p w14:paraId="63691894" w14:textId="5BFBEF05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</w:tcPr>
          <w:p w14:paraId="51E0D9D4" w14:textId="6B0D6C47" w:rsidR="00D3514C" w:rsidRPr="00D3514C" w:rsidRDefault="00D3514C" w:rsidP="00D3514C">
            <w:pPr>
              <w:rPr>
                <w:lang w:eastAsia="bg-BG"/>
              </w:rPr>
            </w:pPr>
            <w:r w:rsidRPr="00D3514C">
              <w:t>Гадене, повръщане диария</w:t>
            </w:r>
          </w:p>
        </w:tc>
      </w:tr>
      <w:tr w:rsidR="00D3514C" w14:paraId="494CA4C1" w14:textId="77777777" w:rsidTr="00AF6F44">
        <w:tc>
          <w:tcPr>
            <w:tcW w:w="3166" w:type="dxa"/>
          </w:tcPr>
          <w:p w14:paraId="4CAA324E" w14:textId="7CFFDB59" w:rsidR="00D3514C" w:rsidRPr="00D3514C" w:rsidRDefault="00D3514C" w:rsidP="00D3514C">
            <w:pPr>
              <w:rPr>
                <w:lang w:eastAsia="bg-BG"/>
              </w:rPr>
            </w:pPr>
            <w:r w:rsidRPr="00D3514C">
              <w:t>Хепато-билиарни нарушения</w:t>
            </w:r>
          </w:p>
        </w:tc>
        <w:tc>
          <w:tcPr>
            <w:tcW w:w="3167" w:type="dxa"/>
            <w:vAlign w:val="bottom"/>
          </w:tcPr>
          <w:p w14:paraId="3858B899" w14:textId="7E8ED366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</w:tcPr>
          <w:p w14:paraId="3EAE8C64" w14:textId="4850E9D0" w:rsidR="00D3514C" w:rsidRPr="00D3514C" w:rsidRDefault="00D3514C" w:rsidP="00D3514C">
            <w:pPr>
              <w:rPr>
                <w:lang w:eastAsia="bg-BG"/>
              </w:rPr>
            </w:pPr>
            <w:r w:rsidRPr="00D3514C">
              <w:t>Хепатит</w:t>
            </w:r>
          </w:p>
        </w:tc>
      </w:tr>
      <w:tr w:rsidR="00D3514C" w14:paraId="140A79C2" w14:textId="77777777" w:rsidTr="00AF6F44">
        <w:tc>
          <w:tcPr>
            <w:tcW w:w="3166" w:type="dxa"/>
            <w:vAlign w:val="bottom"/>
          </w:tcPr>
          <w:p w14:paraId="1C596472" w14:textId="6326B0D8" w:rsidR="00D3514C" w:rsidRPr="00D3514C" w:rsidRDefault="00D3514C" w:rsidP="00D3514C">
            <w:pPr>
              <w:rPr>
                <w:lang w:eastAsia="bg-BG"/>
              </w:rPr>
            </w:pPr>
            <w:r w:rsidRPr="00D3514C">
              <w:t>Нарушения на бъбреците и пикочните пътища</w:t>
            </w:r>
          </w:p>
        </w:tc>
        <w:tc>
          <w:tcPr>
            <w:tcW w:w="3167" w:type="dxa"/>
            <w:vAlign w:val="bottom"/>
          </w:tcPr>
          <w:p w14:paraId="2C6F2535" w14:textId="5E5B37F7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</w:tcPr>
          <w:p w14:paraId="3EF33A25" w14:textId="6C7EF557" w:rsidR="00D3514C" w:rsidRPr="00D3514C" w:rsidRDefault="00D3514C" w:rsidP="00D3514C">
            <w:pPr>
              <w:rPr>
                <w:lang w:eastAsia="bg-BG"/>
              </w:rPr>
            </w:pPr>
            <w:r w:rsidRPr="00D3514C">
              <w:t>Дизурия, задръжка на урина</w:t>
            </w:r>
          </w:p>
        </w:tc>
      </w:tr>
      <w:tr w:rsidR="00D3514C" w14:paraId="5A9F2B65" w14:textId="77777777" w:rsidTr="00AF6F44">
        <w:tc>
          <w:tcPr>
            <w:tcW w:w="3166" w:type="dxa"/>
          </w:tcPr>
          <w:p w14:paraId="70EDB28F" w14:textId="5D96F90C" w:rsidR="00D3514C" w:rsidRPr="00D3514C" w:rsidRDefault="00D3514C" w:rsidP="00D3514C">
            <w:pPr>
              <w:rPr>
                <w:lang w:eastAsia="bg-BG"/>
              </w:rPr>
            </w:pPr>
            <w:r w:rsidRPr="00D3514C">
              <w:t>Нарушения на кожата и подкожната тъкан</w:t>
            </w:r>
          </w:p>
        </w:tc>
        <w:tc>
          <w:tcPr>
            <w:tcW w:w="3167" w:type="dxa"/>
          </w:tcPr>
          <w:p w14:paraId="69E802CB" w14:textId="03DD37AD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  <w:vAlign w:val="bottom"/>
          </w:tcPr>
          <w:p w14:paraId="58AD940E" w14:textId="77777777" w:rsidR="00D3514C" w:rsidRPr="00D3514C" w:rsidRDefault="00D3514C" w:rsidP="00D3514C">
            <w:r w:rsidRPr="00D3514C">
              <w:t>Ангионевротичен оток, фиксиран лекарствен обрив, сърбеж, обрив,</w:t>
            </w:r>
          </w:p>
          <w:p w14:paraId="04C026DA" w14:textId="1615BD5F" w:rsidR="00D3514C" w:rsidRPr="00D3514C" w:rsidRDefault="00D3514C" w:rsidP="00D3514C">
            <w:pPr>
              <w:rPr>
                <w:lang w:eastAsia="bg-BG"/>
              </w:rPr>
            </w:pPr>
            <w:r w:rsidRPr="00D3514C">
              <w:t>уртикария</w:t>
            </w:r>
          </w:p>
        </w:tc>
      </w:tr>
      <w:tr w:rsidR="00D3514C" w14:paraId="4212ADD9" w14:textId="77777777" w:rsidTr="00AF6F44">
        <w:tc>
          <w:tcPr>
            <w:tcW w:w="3166" w:type="dxa"/>
          </w:tcPr>
          <w:p w14:paraId="2750B65B" w14:textId="5B0EA8A5" w:rsidR="00D3514C" w:rsidRPr="00D3514C" w:rsidRDefault="00D3514C" w:rsidP="00D3514C">
            <w:pPr>
              <w:rPr>
                <w:lang w:eastAsia="bg-BG"/>
              </w:rPr>
            </w:pPr>
            <w:r w:rsidRPr="00D3514C">
              <w:t>Нарушения на мускулно- скелетната система и съединителната тъкан</w:t>
            </w:r>
          </w:p>
        </w:tc>
        <w:tc>
          <w:tcPr>
            <w:tcW w:w="3167" w:type="dxa"/>
          </w:tcPr>
          <w:p w14:paraId="5E7093C7" w14:textId="5C68B88D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  <w:vAlign w:val="center"/>
          </w:tcPr>
          <w:p w14:paraId="1FE22784" w14:textId="387CE7AB" w:rsidR="00D3514C" w:rsidRPr="00D3514C" w:rsidRDefault="00D3514C" w:rsidP="00D3514C">
            <w:pPr>
              <w:rPr>
                <w:lang w:eastAsia="bg-BG"/>
              </w:rPr>
            </w:pPr>
            <w:r w:rsidRPr="00D3514C">
              <w:t>Миалгия, артралгия</w:t>
            </w:r>
          </w:p>
        </w:tc>
      </w:tr>
      <w:tr w:rsidR="00D3514C" w14:paraId="7777BA1B" w14:textId="77777777" w:rsidTr="00D3514C">
        <w:tc>
          <w:tcPr>
            <w:tcW w:w="3166" w:type="dxa"/>
          </w:tcPr>
          <w:p w14:paraId="61A42ED4" w14:textId="3EFC51D3" w:rsidR="00D3514C" w:rsidRPr="00D3514C" w:rsidRDefault="00D3514C" w:rsidP="00D3514C">
            <w:pPr>
              <w:rPr>
                <w:lang w:eastAsia="bg-BG"/>
              </w:rPr>
            </w:pPr>
            <w:r w:rsidRPr="00D3514C">
              <w:t>Общи нарушения и ефекти на мястото на приложение</w:t>
            </w:r>
          </w:p>
        </w:tc>
        <w:tc>
          <w:tcPr>
            <w:tcW w:w="3167" w:type="dxa"/>
          </w:tcPr>
          <w:p w14:paraId="72A5626A" w14:textId="70DBD84D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</w:tcPr>
          <w:p w14:paraId="4DBD6FD2" w14:textId="3D05FB35" w:rsidR="00D3514C" w:rsidRPr="00D3514C" w:rsidRDefault="00D3514C" w:rsidP="00D3514C">
            <w:pPr>
              <w:rPr>
                <w:lang w:eastAsia="bg-BG"/>
              </w:rPr>
            </w:pPr>
            <w:r w:rsidRPr="00D3514C">
              <w:t>Оток</w:t>
            </w:r>
          </w:p>
        </w:tc>
      </w:tr>
      <w:tr w:rsidR="00D3514C" w14:paraId="358AC8E4" w14:textId="77777777" w:rsidTr="00D3514C">
        <w:tc>
          <w:tcPr>
            <w:tcW w:w="3166" w:type="dxa"/>
          </w:tcPr>
          <w:p w14:paraId="472B9073" w14:textId="2982F633" w:rsidR="00D3514C" w:rsidRPr="00D3514C" w:rsidRDefault="00D3514C" w:rsidP="00D3514C">
            <w:pPr>
              <w:rPr>
                <w:lang w:eastAsia="bg-BG"/>
              </w:rPr>
            </w:pPr>
            <w:r w:rsidRPr="00D3514C">
              <w:lastRenderedPageBreak/>
              <w:t>Изследвания</w:t>
            </w:r>
          </w:p>
        </w:tc>
        <w:tc>
          <w:tcPr>
            <w:tcW w:w="3167" w:type="dxa"/>
          </w:tcPr>
          <w:p w14:paraId="6D516251" w14:textId="202BC31E" w:rsidR="00D3514C" w:rsidRPr="00D3514C" w:rsidRDefault="00D3514C" w:rsidP="00D3514C">
            <w:pPr>
              <w:rPr>
                <w:lang w:eastAsia="bg-BG"/>
              </w:rPr>
            </w:pPr>
            <w:r w:rsidRPr="00D3514C">
              <w:t>С неизвестна честота</w:t>
            </w:r>
          </w:p>
        </w:tc>
        <w:tc>
          <w:tcPr>
            <w:tcW w:w="3167" w:type="dxa"/>
          </w:tcPr>
          <w:p w14:paraId="6635B5C2" w14:textId="49E91F67" w:rsidR="00D3514C" w:rsidRPr="00D3514C" w:rsidRDefault="00D3514C" w:rsidP="00D3514C">
            <w:pPr>
              <w:rPr>
                <w:lang w:eastAsia="bg-BG"/>
              </w:rPr>
            </w:pPr>
            <w:r w:rsidRPr="00D3514C">
              <w:t>Повишаване на телесното тегло, отклонения в лабораторни изследвания на чернодробната функция</w:t>
            </w:r>
          </w:p>
        </w:tc>
      </w:tr>
    </w:tbl>
    <w:p w14:paraId="50FDB201" w14:textId="77777777" w:rsidR="00D3514C" w:rsidRDefault="00D3514C" w:rsidP="00D3514C">
      <w:pPr>
        <w:rPr>
          <w:sz w:val="24"/>
          <w:szCs w:val="24"/>
          <w:lang w:eastAsia="bg-BG"/>
        </w:rPr>
      </w:pPr>
    </w:p>
    <w:p w14:paraId="6D5BE416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Описание на избрани нежелани реакции</w:t>
      </w:r>
    </w:p>
    <w:p w14:paraId="794A1A1F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След прекратяване на приема на левоцетиризин се съобщава за пруритус.</w:t>
      </w:r>
    </w:p>
    <w:p w14:paraId="42764A81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AD91A76" w14:textId="643438DC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5D8FCCD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ул.,Дамян Груев” № 8, 1303 София, Тел.: +35 928903417, уебсайт: </w:t>
      </w:r>
      <w:r w:rsidRPr="00D3514C">
        <w:rPr>
          <w:rFonts w:eastAsia="Times New Roman" w:cs="Arial"/>
          <w:color w:val="000000"/>
          <w:u w:val="single"/>
          <w:lang w:val="en-US"/>
        </w:rPr>
        <w:t>ww.bda.bg.</w:t>
      </w:r>
    </w:p>
    <w:p w14:paraId="495AAD76" w14:textId="77777777" w:rsidR="00D3514C" w:rsidRPr="00D3514C" w:rsidRDefault="00D3514C" w:rsidP="00D3514C">
      <w:pPr>
        <w:rPr>
          <w:sz w:val="24"/>
          <w:szCs w:val="24"/>
          <w:lang w:eastAsia="bg-BG"/>
        </w:rPr>
      </w:pPr>
    </w:p>
    <w:p w14:paraId="378A0F20" w14:textId="65582394" w:rsidR="001D095A" w:rsidRDefault="002C50EE" w:rsidP="00340E8D">
      <w:pPr>
        <w:pStyle w:val="Heading2"/>
      </w:pPr>
      <w:r>
        <w:t>4.9. Предозиране</w:t>
      </w:r>
    </w:p>
    <w:p w14:paraId="4B6E0FEC" w14:textId="77777777" w:rsidR="00D3514C" w:rsidRDefault="00D3514C" w:rsidP="00D3514C"/>
    <w:p w14:paraId="6F917843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Симптоми</w:t>
      </w:r>
    </w:p>
    <w:p w14:paraId="3ABF8EC3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Симптомите на предозиране могат да включват сънливост при възрастни. При деца първоначално може да се наблюдава възбуди мост и безпокойство, последвано от сънливост.</w:t>
      </w:r>
    </w:p>
    <w:p w14:paraId="3138FEC5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D4A262" w14:textId="6B2CD01E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Поведение при предозиране</w:t>
      </w:r>
    </w:p>
    <w:p w14:paraId="356677BF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Не е известен специфичен антидот срещу левоцетиризин.</w:t>
      </w:r>
    </w:p>
    <w:p w14:paraId="370CB4AD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При предозиране се препоръчва симптоматично и поддържащо лечение. Непосредствено след поглъщането може да се направи стомашна промивка. Левоцетиризин не се отстранява ефикасно с хемодиализа.</w:t>
      </w:r>
    </w:p>
    <w:p w14:paraId="5186C178" w14:textId="77777777" w:rsidR="00D3514C" w:rsidRPr="00D3514C" w:rsidRDefault="00D3514C" w:rsidP="00D3514C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38E92AEC" w:rsidR="00F62E44" w:rsidRDefault="002C50EE" w:rsidP="00387A66">
      <w:pPr>
        <w:pStyle w:val="Heading2"/>
      </w:pPr>
      <w:r>
        <w:t>5.1. Фармакодинамични свойства</w:t>
      </w:r>
    </w:p>
    <w:p w14:paraId="28C3100C" w14:textId="77777777" w:rsidR="00D3514C" w:rsidRDefault="00D3514C" w:rsidP="00D3514C"/>
    <w:p w14:paraId="7E145FDE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Фармакотерапевтична група: антихистамин за системна употреба, пиперазинови производни. АТС код: </w:t>
      </w:r>
      <w:r w:rsidRPr="00D3514C">
        <w:rPr>
          <w:rFonts w:eastAsia="Times New Roman" w:cs="Arial"/>
          <w:color w:val="000000"/>
          <w:lang w:val="en-US"/>
        </w:rPr>
        <w:t>R06AE09.</w:t>
      </w:r>
    </w:p>
    <w:p w14:paraId="31CA6FAE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EAEB5DE" w14:textId="537E5D34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3F83E6FB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Левоцетиризин, </w:t>
      </w:r>
      <w:r w:rsidRPr="00D3514C">
        <w:rPr>
          <w:rFonts w:eastAsia="Times New Roman" w:cs="Arial"/>
          <w:color w:val="000000"/>
          <w:lang w:val="en-US"/>
        </w:rPr>
        <w:t xml:space="preserve">(R) </w:t>
      </w:r>
      <w:r w:rsidRPr="00D3514C">
        <w:rPr>
          <w:rFonts w:eastAsia="Times New Roman" w:cs="Arial"/>
          <w:color w:val="000000"/>
          <w:lang w:eastAsia="bg-BG"/>
        </w:rPr>
        <w:t>енантиомерът на цетиризин, е мощен и селективен антагонист на периферните Н1- рецептори.</w:t>
      </w:r>
    </w:p>
    <w:p w14:paraId="42410339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Проучванията върху свързването показват, че левоцетиризин има висок афинитет към човешки </w:t>
      </w:r>
      <w:r w:rsidRPr="00D3514C">
        <w:rPr>
          <w:rFonts w:eastAsia="Times New Roman" w:cs="Arial"/>
          <w:color w:val="000000"/>
          <w:lang w:val="en-US"/>
        </w:rPr>
        <w:t>Hl</w:t>
      </w:r>
      <w:r w:rsidRPr="00D3514C">
        <w:rPr>
          <w:rFonts w:eastAsia="Times New Roman" w:cs="Arial"/>
          <w:color w:val="000000"/>
          <w:lang w:eastAsia="bg-BG"/>
        </w:rPr>
        <w:t xml:space="preserve">-рецептори </w:t>
      </w:r>
      <w:r w:rsidRPr="00D3514C">
        <w:rPr>
          <w:rFonts w:eastAsia="Times New Roman" w:cs="Arial"/>
          <w:color w:val="000000"/>
          <w:lang w:val="en-US"/>
        </w:rPr>
        <w:t xml:space="preserve">(Ki </w:t>
      </w:r>
      <w:r w:rsidRPr="00D3514C">
        <w:rPr>
          <w:rFonts w:eastAsia="Times New Roman" w:cs="Arial"/>
          <w:color w:val="000000"/>
          <w:lang w:eastAsia="bg-BG"/>
        </w:rPr>
        <w:t xml:space="preserve">= 3,2 </w:t>
      </w:r>
      <w:proofErr w:type="spellStart"/>
      <w:r w:rsidRPr="00D3514C">
        <w:rPr>
          <w:rFonts w:eastAsia="Times New Roman" w:cs="Arial"/>
          <w:color w:val="000000"/>
          <w:lang w:val="en-US"/>
        </w:rPr>
        <w:t>nmoVl</w:t>
      </w:r>
      <w:proofErr w:type="spellEnd"/>
      <w:r w:rsidRPr="00D3514C">
        <w:rPr>
          <w:rFonts w:eastAsia="Times New Roman" w:cs="Arial"/>
          <w:color w:val="000000"/>
          <w:lang w:val="en-US"/>
        </w:rPr>
        <w:t xml:space="preserve">). </w:t>
      </w:r>
      <w:r w:rsidRPr="00D3514C">
        <w:rPr>
          <w:rFonts w:eastAsia="Times New Roman" w:cs="Arial"/>
          <w:color w:val="000000"/>
          <w:lang w:eastAsia="bg-BG"/>
        </w:rPr>
        <w:t xml:space="preserve">Левоцетиризин има афинитет 2-кратно по-висок от този на цетиризин </w:t>
      </w:r>
      <w:r w:rsidRPr="00D3514C">
        <w:rPr>
          <w:rFonts w:eastAsia="Times New Roman" w:cs="Arial"/>
          <w:color w:val="000000"/>
          <w:lang w:val="en-US"/>
        </w:rPr>
        <w:t xml:space="preserve">(Ki </w:t>
      </w:r>
      <w:r w:rsidRPr="00D3514C">
        <w:rPr>
          <w:rFonts w:eastAsia="Times New Roman" w:cs="Arial"/>
          <w:color w:val="000000"/>
          <w:lang w:eastAsia="bg-BG"/>
        </w:rPr>
        <w:t xml:space="preserve">= 6,3 </w:t>
      </w:r>
      <w:r w:rsidRPr="00D3514C">
        <w:rPr>
          <w:rFonts w:eastAsia="Times New Roman" w:cs="Arial"/>
          <w:color w:val="000000"/>
          <w:lang w:val="en-US"/>
        </w:rPr>
        <w:t xml:space="preserve">nmol/1). </w:t>
      </w:r>
      <w:r w:rsidRPr="00D3514C">
        <w:rPr>
          <w:rFonts w:eastAsia="Times New Roman" w:cs="Arial"/>
          <w:color w:val="000000"/>
          <w:lang w:eastAsia="bg-BG"/>
        </w:rPr>
        <w:t>Левоцетиризин се отделя от Н1-рецепторите с време на полуживот от 115±38 минути.</w:t>
      </w:r>
    </w:p>
    <w:p w14:paraId="53258BF4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След еднократно приложение, левоцетиризин заема 90% от рецепторите на 4 час и 57% на 24 час.</w:t>
      </w:r>
    </w:p>
    <w:p w14:paraId="197384DC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276FF35" w14:textId="3E2B2D3E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0A297FDB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lastRenderedPageBreak/>
        <w:t>Фармакодинамичните проучвания на здрави доброволци показват, че при половин доза, левоцетиризин има сравнима с цетиризин активност, както върху кожата, така и в носа. Фармакодинамичната активност на левоцетиризин е проучена в рандомизирани, контролирани изпитвания:</w:t>
      </w:r>
    </w:p>
    <w:p w14:paraId="751AA1BD" w14:textId="08D5AAC6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В изпитване за сравняване ефекта на левоцетиризин 5 </w:t>
      </w:r>
      <w:r w:rsidRPr="00D3514C">
        <w:rPr>
          <w:rFonts w:eastAsia="Times New Roman" w:cs="Arial"/>
          <w:color w:val="000000"/>
          <w:lang w:val="en-US"/>
        </w:rPr>
        <w:t xml:space="preserve">mg, </w:t>
      </w:r>
      <w:r w:rsidRPr="00D3514C">
        <w:rPr>
          <w:rFonts w:eastAsia="Times New Roman" w:cs="Arial"/>
          <w:color w:val="000000"/>
          <w:lang w:eastAsia="bg-BG"/>
        </w:rPr>
        <w:t xml:space="preserve">деслоратидин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и плацебо при хистамин-индуцирани обрив и зачервяване, третирането с левоцетиризин води до значимо понижение на формирането на обрив и зачервяване, което е най-изразено в първите 12 часа и продължава 24 часа, (р&lt;0,001) в сравнение с плацебо и деслоратидин.</w:t>
      </w:r>
    </w:p>
    <w:p w14:paraId="0F83D9E5" w14:textId="77777777" w:rsidR="00D3514C" w:rsidRPr="00D3514C" w:rsidRDefault="00D3514C" w:rsidP="00D3514C">
      <w:pPr>
        <w:rPr>
          <w:rFonts w:cs="Arial"/>
          <w:sz w:val="24"/>
          <w:szCs w:val="24"/>
        </w:rPr>
      </w:pPr>
    </w:p>
    <w:p w14:paraId="6606473A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Началото на действието на левоцетиризин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при контролиране на полен-индуцирани симптоми е установено на първия час след приема на лекарството в плацебо-контролирани изпитвания с модела на алергенно натоварваща камера.</w:t>
      </w:r>
    </w:p>
    <w:p w14:paraId="19E760B4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val="en-US"/>
        </w:rPr>
        <w:t>In vitro</w:t>
      </w:r>
      <w:r w:rsidRPr="00D3514C">
        <w:rPr>
          <w:rFonts w:eastAsia="Times New Roman" w:cs="Arial"/>
          <w:color w:val="000000"/>
          <w:lang w:val="en-US"/>
        </w:rPr>
        <w:t xml:space="preserve"> </w:t>
      </w:r>
      <w:r w:rsidRPr="00D3514C">
        <w:rPr>
          <w:rFonts w:eastAsia="Times New Roman" w:cs="Arial"/>
          <w:color w:val="000000"/>
          <w:lang w:eastAsia="bg-BG"/>
        </w:rPr>
        <w:t xml:space="preserve">проучванията (камера на Бойден и техники с клетъчни слоеве) показват, че левоцетиризин потиска еотаксин-индуцираното еозинофилно трансендотелиално мигриране през дермалните и белодробни клетки. Фармакодинамично експериментално проучване </w:t>
      </w:r>
      <w:r w:rsidRPr="00D3514C">
        <w:rPr>
          <w:rFonts w:eastAsia="Times New Roman" w:cs="Arial"/>
          <w:i/>
          <w:iCs/>
          <w:color w:val="000000"/>
          <w:lang w:val="en-US"/>
        </w:rPr>
        <w:t xml:space="preserve">in vivo </w:t>
      </w:r>
      <w:r w:rsidRPr="00D3514C">
        <w:rPr>
          <w:rFonts w:eastAsia="Times New Roman" w:cs="Arial"/>
          <w:color w:val="000000"/>
          <w:lang w:eastAsia="bg-BG"/>
        </w:rPr>
        <w:t xml:space="preserve">(кожно-камерна техника) показват три основни инхибиторни ефекта на левоцетиризин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през първите 6 часа от полен-индуцирана реакция, в сравнение с плацебо при 14 възрастни пациенти: потискане освобождаването на </w:t>
      </w:r>
      <w:r w:rsidRPr="00D3514C">
        <w:rPr>
          <w:rFonts w:eastAsia="Times New Roman" w:cs="Arial"/>
          <w:color w:val="000000"/>
          <w:lang w:val="en-US"/>
        </w:rPr>
        <w:t xml:space="preserve">VCAM-1, </w:t>
      </w:r>
      <w:r w:rsidRPr="00D3514C">
        <w:rPr>
          <w:rFonts w:eastAsia="Times New Roman" w:cs="Arial"/>
          <w:color w:val="000000"/>
          <w:lang w:eastAsia="bg-BG"/>
        </w:rPr>
        <w:t>модулиране на съдовия пермеабилитет и понижение на еозинофилното участие.</w:t>
      </w:r>
    </w:p>
    <w:p w14:paraId="797807C4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C758AB1" w14:textId="225D89B1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24569613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Ефикасността и безопасността на левоцетиризин е установена в няколко двойно-слепи, плацебо-контролирани проучвания, проведени с възрастни пациенти, страдащи от сезонен алергичен ринит, целогодишен алергичен ринит или хроничен алергичен ринит.</w:t>
      </w:r>
    </w:p>
    <w:p w14:paraId="28C80E5A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Установено е, че левоцетиризин значително подобрява симптоматиката при алергичен ринит, включително запушване на носа при някои участници в изпитването.</w:t>
      </w:r>
    </w:p>
    <w:p w14:paraId="1DDB560F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Шестмесечно клинично проучване при 551 възрастни пациенти (включително 276 пациенти, лекувани с левоцетиризин), страдащи от хроничен ринит (симптомите се проявяват поне 4 дни седмично в продължение на поне 4 последователни седмици) и чувствителни към кърлежите в домашния прах, и полени показа, че левоцетиризин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е клинично и статистически значимо по-ефективен от плацебо при облекчаване на симптомите на алергичен ринит по време на цялото изпитване, без каквато и да е тахифилаксия. Левоцетиризин подобри значително качеството на живот на пациентите по време на изпитването.</w:t>
      </w:r>
    </w:p>
    <w:p w14:paraId="02813C3E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В плацебо контролирано клинично изпитване при 166 пациенти с хронична идиопатична уртикария, 85 пациенти са лекувани с плацебо, а 81 пациенти с левоцетиризин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един път дневно в продължение на шест седмици. Лечението с левоцетиризин води до значимо понижение в тежестта на сърбежа през първата седмица и за целия период на третиране в сравнение с плацебо. Левоцетиризин води и до по-изразено подобрение в сравнение с плацебо на свързаното със здравето качество на живот, като оценката е направена с </w:t>
      </w:r>
      <w:r w:rsidRPr="00D3514C">
        <w:rPr>
          <w:rFonts w:eastAsia="Times New Roman" w:cs="Arial"/>
          <w:color w:val="000000"/>
          <w:lang w:val="en-US"/>
        </w:rPr>
        <w:t>Dermatology Life Quality Index.</w:t>
      </w:r>
    </w:p>
    <w:p w14:paraId="32F0D23E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Хроничната идиопатична уртикария е проучвана като модел на уртикариални състояния. Тъй като освобождаването на хистамин е причинно-следствения фактор за появата на уртикариални заболявания, се очаква левоцетиризин да е ефикасен за облекчаване на симптоматиката на други уртикариални състояния, в допълнение на хроничната идиопатична уртикария.</w:t>
      </w:r>
    </w:p>
    <w:p w14:paraId="5BBE6572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ЕКГ не показват значими ефекти на левоцитиризин върху </w:t>
      </w:r>
      <w:r w:rsidRPr="00D3514C">
        <w:rPr>
          <w:rFonts w:eastAsia="Times New Roman" w:cs="Arial"/>
          <w:color w:val="000000"/>
          <w:lang w:val="en-US"/>
        </w:rPr>
        <w:t xml:space="preserve">QT </w:t>
      </w:r>
      <w:r w:rsidRPr="00D3514C">
        <w:rPr>
          <w:rFonts w:eastAsia="Times New Roman" w:cs="Arial"/>
          <w:color w:val="000000"/>
          <w:lang w:eastAsia="bg-BG"/>
        </w:rPr>
        <w:t>интервала.</w:t>
      </w:r>
    </w:p>
    <w:p w14:paraId="14782EE3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246BDDA" w14:textId="195CB428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5EEE1C33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Безопасност и ефикасност на левоцетиризин таблетки при деца са били изследвани в две плацебо контролирани клинични проучвания, включващи пациенти на възраст от 6 до 12 </w:t>
      </w:r>
      <w:r w:rsidRPr="00D3514C">
        <w:rPr>
          <w:rFonts w:eastAsia="Times New Roman" w:cs="Arial"/>
          <w:color w:val="000000"/>
          <w:lang w:eastAsia="bg-BG"/>
        </w:rPr>
        <w:lastRenderedPageBreak/>
        <w:t>години, с диагноза сезонен и съответно целогодишен алергичен ринит. И в двете изпитвания, левоцетиризин значително е подобрил симптомите и е повишил качеството на живот.</w:t>
      </w:r>
    </w:p>
    <w:p w14:paraId="6FBCBFB8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Клиничната безопасност при деца под 6 годишна възраст, е била установена в няколко кратко</w:t>
      </w:r>
      <w:r w:rsidRPr="00D3514C">
        <w:rPr>
          <w:rFonts w:eastAsia="Times New Roman" w:cs="Arial"/>
          <w:color w:val="000000"/>
          <w:lang w:eastAsia="bg-BG"/>
        </w:rPr>
        <w:softHyphen/>
        <w:t>срочни и продължителни терапевтични проучвания:</w:t>
      </w:r>
    </w:p>
    <w:p w14:paraId="4AA8679A" w14:textId="77777777" w:rsidR="00D3514C" w:rsidRPr="00D3514C" w:rsidRDefault="00D3514C" w:rsidP="00D3514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едно клинично проучване, в което 29 деца на възраст от 2 до 6 години с алергичен ринит са били лекувани с левоцетиризин 1,25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два пъти дневно за 4 седмици.</w:t>
      </w:r>
    </w:p>
    <w:p w14:paraId="11BE06D1" w14:textId="77777777" w:rsidR="00D3514C" w:rsidRPr="00D3514C" w:rsidRDefault="00D3514C" w:rsidP="00D3514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едно клинично проучване, в което 114 деца на възраст от 1 до 5 години с алергичен ринит или хронична идиопатична уртикария са били лекувани с левоцетиризин 1,25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два пъти дневно за 2 седмици.</w:t>
      </w:r>
    </w:p>
    <w:p w14:paraId="41B6B5DA" w14:textId="77777777" w:rsidR="00D3514C" w:rsidRPr="00D3514C" w:rsidRDefault="00D3514C" w:rsidP="00D3514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едно клинично проучване, в което 45 деца на възраст от 6 до 11 месеца с алергичен ринит или хронична идиопатична уртиракария са били лекувани с левоцетиризин 1,25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веднъж дневно за 2 седмици.</w:t>
      </w:r>
    </w:p>
    <w:p w14:paraId="5BFD657E" w14:textId="52166F3F" w:rsidR="00D3514C" w:rsidRPr="00D3514C" w:rsidRDefault="00D3514C" w:rsidP="00D3514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едно продължително (18 месеца) клинично изпитване с 225 атопични пациенти лекувани с левоцетиризин на възраст от 12 до 24 месеца при включването</w:t>
      </w:r>
    </w:p>
    <w:p w14:paraId="45C5F3A1" w14:textId="232B8292" w:rsidR="00D3514C" w:rsidRPr="00D3514C" w:rsidRDefault="00D3514C" w:rsidP="00D3514C">
      <w:pPr>
        <w:rPr>
          <w:rFonts w:eastAsia="Times New Roman" w:cs="Arial"/>
          <w:color w:val="000000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Профилът на безопасност е бил подобен на този, наблюдаван при краткосрочните проучвания проведени при деца от 1 до 5-годишна възраст.</w:t>
      </w:r>
    </w:p>
    <w:p w14:paraId="44FFE6B5" w14:textId="77777777" w:rsidR="00D3514C" w:rsidRPr="00D3514C" w:rsidRDefault="00D3514C" w:rsidP="00D3514C"/>
    <w:p w14:paraId="544FFDAF" w14:textId="64206E42" w:rsidR="00F62E44" w:rsidRDefault="002C50EE" w:rsidP="00387A66">
      <w:pPr>
        <w:pStyle w:val="Heading2"/>
      </w:pPr>
      <w:r>
        <w:t>5.2. Фармакокинетични свойства</w:t>
      </w:r>
    </w:p>
    <w:p w14:paraId="35B5AF90" w14:textId="77777777" w:rsidR="00D3514C" w:rsidRDefault="00D3514C" w:rsidP="00D3514C"/>
    <w:p w14:paraId="4E0A1E4E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Фармакокинетиката на левоцетиризин е линейна, независеща от дозата и времето, с малки индивидуални различия. Фармакокинетичният профил е един и същ, независимо от това дали се прилага като единичен енантиомер или като цетиризин. По време на процесите на абсорбция и елиминиране не настъпва хирално преобразуване.</w:t>
      </w:r>
    </w:p>
    <w:p w14:paraId="79F810DA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396708" w14:textId="6E8EDE6E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Абсорбция:</w:t>
      </w:r>
    </w:p>
    <w:p w14:paraId="36328FCC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След перорално приложение левоцетиризин се абсорбира бързо и екстензивно. При възрастни пикови плазмени концентрации се достигат 0,9 часа след приемане на дозата. Равновесни концентрации се установяват след 2 дни. Пикови плазмени концентрации след приемане на единична доза от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или при повторен прием са съответно 270 </w:t>
      </w:r>
      <w:r w:rsidRPr="00D3514C">
        <w:rPr>
          <w:rFonts w:eastAsia="Times New Roman" w:cs="Arial"/>
          <w:color w:val="000000"/>
          <w:lang w:val="en-US"/>
        </w:rPr>
        <w:t xml:space="preserve">ng/ml </w:t>
      </w:r>
      <w:r w:rsidRPr="00D3514C">
        <w:rPr>
          <w:rFonts w:eastAsia="Times New Roman" w:cs="Arial"/>
          <w:color w:val="000000"/>
          <w:lang w:eastAsia="bg-BG"/>
        </w:rPr>
        <w:t xml:space="preserve">и 308 </w:t>
      </w:r>
      <w:r w:rsidRPr="00D3514C">
        <w:rPr>
          <w:rFonts w:eastAsia="Times New Roman" w:cs="Arial"/>
          <w:color w:val="000000"/>
          <w:lang w:val="en-US"/>
        </w:rPr>
        <w:t xml:space="preserve">ng/ml. </w:t>
      </w:r>
      <w:r w:rsidRPr="00D3514C">
        <w:rPr>
          <w:rFonts w:eastAsia="Times New Roman" w:cs="Arial"/>
          <w:color w:val="000000"/>
          <w:lang w:eastAsia="bg-BG"/>
        </w:rPr>
        <w:t>Степента на абсорбция не зависи от дозата и не се влияе от храната, но след хранене пиковите концентрации са понижени и се достигат след по-дълъг период от време.</w:t>
      </w:r>
    </w:p>
    <w:p w14:paraId="18ACD52F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CC3628B" w14:textId="3CAB74CE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Разпределение:</w:t>
      </w:r>
    </w:p>
    <w:p w14:paraId="7EA85BBD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Няма данни за тъканното разпределение разпределение при хора, както и за преминаването през кръвно-мозъчната бариера. При плъхове и кучета най-високи тъканни нива се установяват в черния дроб и бъбреците, а най-ниски в ЦНС.</w:t>
      </w:r>
    </w:p>
    <w:p w14:paraId="1BD45B6C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При хора, 90% от левоцетиризин се свързва с плазмените протеини. Разпределението на левоцетиризин е ограничено, тъй като обемът на разпределение е 0,4 </w:t>
      </w:r>
      <w:r w:rsidRPr="00D3514C">
        <w:rPr>
          <w:rFonts w:eastAsia="Times New Roman" w:cs="Arial"/>
          <w:color w:val="000000"/>
          <w:lang w:val="en-US"/>
        </w:rPr>
        <w:t>1/kg.</w:t>
      </w:r>
    </w:p>
    <w:p w14:paraId="470B2CA4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CC3F828" w14:textId="397B3774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Биотрансформация:</w:t>
      </w:r>
    </w:p>
    <w:p w14:paraId="4513D9AB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Степента на метаболизиране на левозитеризин при хора е по-малка от 14% от дозата, затова се очакват пренебрежими различия различия в резултат на генетичния полиморфизъм или едновременната употреба на ензимни инхибитори. Метаболитните пътища включват ароматна оксидация, </w:t>
      </w:r>
      <w:r w:rsidRPr="00D3514C">
        <w:rPr>
          <w:rFonts w:eastAsia="Times New Roman" w:cs="Arial"/>
          <w:color w:val="000000"/>
          <w:lang w:val="en-US"/>
        </w:rPr>
        <w:t xml:space="preserve">N- </w:t>
      </w:r>
      <w:r w:rsidRPr="00D3514C">
        <w:rPr>
          <w:rFonts w:eastAsia="Times New Roman" w:cs="Arial"/>
          <w:color w:val="000000"/>
          <w:lang w:eastAsia="bg-BG"/>
        </w:rPr>
        <w:t xml:space="preserve">и О-деалкилиране и тауриново коригиране. Деалкилирането се осъществява основно от </w:t>
      </w:r>
      <w:r w:rsidRPr="00D3514C">
        <w:rPr>
          <w:rFonts w:eastAsia="Times New Roman" w:cs="Arial"/>
          <w:color w:val="000000"/>
          <w:lang w:val="en-US"/>
        </w:rPr>
        <w:t xml:space="preserve">CYP </w:t>
      </w:r>
      <w:r w:rsidRPr="00D3514C">
        <w:rPr>
          <w:rFonts w:eastAsia="Times New Roman" w:cs="Arial"/>
          <w:color w:val="000000"/>
          <w:lang w:eastAsia="bg-BG"/>
        </w:rPr>
        <w:t xml:space="preserve">ЗА4, докато ароматното оксидиране включва множествени и/или неидентефицирани </w:t>
      </w:r>
      <w:r w:rsidRPr="00D3514C">
        <w:rPr>
          <w:rFonts w:eastAsia="Times New Roman" w:cs="Arial"/>
          <w:color w:val="000000"/>
          <w:lang w:val="en-US"/>
        </w:rPr>
        <w:t xml:space="preserve">CYP </w:t>
      </w:r>
      <w:r w:rsidRPr="00D3514C">
        <w:rPr>
          <w:rFonts w:eastAsia="Times New Roman" w:cs="Arial"/>
          <w:color w:val="000000"/>
          <w:lang w:eastAsia="bg-BG"/>
        </w:rPr>
        <w:t xml:space="preserve">изоформи. Левоцетиризин не оказва ефект върху активността на </w:t>
      </w:r>
      <w:r w:rsidRPr="00D3514C">
        <w:rPr>
          <w:rFonts w:eastAsia="Times New Roman" w:cs="Arial"/>
          <w:color w:val="000000"/>
          <w:lang w:val="en-US"/>
        </w:rPr>
        <w:t xml:space="preserve">CYP </w:t>
      </w:r>
      <w:r w:rsidRPr="00D3514C">
        <w:rPr>
          <w:rFonts w:eastAsia="Times New Roman" w:cs="Arial"/>
          <w:color w:val="000000"/>
          <w:lang w:eastAsia="bg-BG"/>
        </w:rPr>
        <w:t>изоензими 1А2,2С9, 2С19,</w:t>
      </w:r>
      <w:r w:rsidRPr="00D3514C">
        <w:rPr>
          <w:rFonts w:eastAsia="Times New Roman" w:cs="Arial"/>
          <w:color w:val="000000"/>
          <w:lang w:val="en-US"/>
        </w:rPr>
        <w:t xml:space="preserve">2D6, </w:t>
      </w:r>
      <w:r w:rsidRPr="00D3514C">
        <w:rPr>
          <w:rFonts w:eastAsia="Times New Roman" w:cs="Arial"/>
          <w:color w:val="000000"/>
          <w:lang w:eastAsia="bg-BG"/>
        </w:rPr>
        <w:t xml:space="preserve">2Е1 и 3А4 в </w:t>
      </w:r>
      <w:r w:rsidRPr="00D3514C">
        <w:rPr>
          <w:rFonts w:eastAsia="Times New Roman" w:cs="Arial"/>
          <w:color w:val="000000"/>
          <w:lang w:eastAsia="bg-BG"/>
        </w:rPr>
        <w:lastRenderedPageBreak/>
        <w:t xml:space="preserve">концентрации, значително над пиковите, достигнати след перорално приложение на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доза.</w:t>
      </w:r>
    </w:p>
    <w:p w14:paraId="2592455F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Поради ниската степен на метаболизъм и липсата на метаболитен инхибиращ потенциал, взаимодействието на левоцетиризин с други съединения или обратното е малко вероятно.</w:t>
      </w:r>
    </w:p>
    <w:p w14:paraId="5F89F209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7C1597" w14:textId="12BC5EB5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Елиминиране:</w:t>
      </w:r>
    </w:p>
    <w:p w14:paraId="6E553804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Плазменият полуживот при възрастни е 7,9 + 1,9 часа. Средният апарентен тотален телесен клирънс при възрастни е 0,63 </w:t>
      </w:r>
      <w:r w:rsidRPr="00D3514C">
        <w:rPr>
          <w:rFonts w:eastAsia="Times New Roman" w:cs="Arial"/>
          <w:color w:val="000000"/>
          <w:lang w:val="en-US"/>
        </w:rPr>
        <w:t xml:space="preserve">ml/min/kg. </w:t>
      </w:r>
      <w:r w:rsidRPr="00D3514C">
        <w:rPr>
          <w:rFonts w:eastAsia="Times New Roman" w:cs="Arial"/>
          <w:color w:val="000000"/>
          <w:lang w:eastAsia="bg-BG"/>
        </w:rPr>
        <w:t>Левоцетиризин и метаболитите му се елиминират най- вече с урината - средно 85,4% от приетата доза. Елиминирането с изпражненията представлява само 12,9% от дозата. Левоцетиризин се елиминира с гломерулна филтрация и активна тубулна секреция.</w:t>
      </w:r>
    </w:p>
    <w:p w14:paraId="75C715B1" w14:textId="77777777" w:rsidR="00D3514C" w:rsidRPr="00D3514C" w:rsidRDefault="00D3514C" w:rsidP="00D3514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52DC86" w14:textId="4A172A85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43E2F03F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u w:val="single"/>
          <w:lang w:eastAsia="bg-BG"/>
        </w:rPr>
        <w:t>Бъбречно увреждане</w:t>
      </w:r>
    </w:p>
    <w:p w14:paraId="74278C7B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Действителният телесен клирънс на левоцетиризин е свързан с креатининовия клирънс. Поради това, е препоръчително пациентите с умерено до тежко бъбречно увреждане да коригират интервалите на дозиране на левоцетиризин, в съответствие с креатининовия клирънс. При пациенти с анурия и в краен стадий на бъбречна недостатъчност общият телесен клирънс спада приблизително с 80% в сравнение със здрави индивиди. Количеството левоцетиризин елиминирано със стандартна 4-часова хемодиализна процедура е &lt; 10%.</w:t>
      </w:r>
    </w:p>
    <w:p w14:paraId="73CEC170" w14:textId="77777777" w:rsidR="00D3514C" w:rsidRPr="00D3514C" w:rsidRDefault="00D3514C" w:rsidP="00D3514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C454498" w14:textId="71981E49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78654312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Данни от педиатрично фармакокинетично проучване с перорално приложение на единична доза от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левоцетиризин при 14 деца на възраст от 6 до 11 години с телесно тегло между 20 </w:t>
      </w:r>
      <w:r w:rsidRPr="00D3514C">
        <w:rPr>
          <w:rFonts w:eastAsia="Times New Roman" w:cs="Arial"/>
          <w:color w:val="000000"/>
          <w:lang w:val="en-US"/>
        </w:rPr>
        <w:t xml:space="preserve">kg </w:t>
      </w:r>
      <w:r w:rsidRPr="00D3514C">
        <w:rPr>
          <w:rFonts w:eastAsia="Times New Roman" w:cs="Arial"/>
          <w:color w:val="000000"/>
          <w:lang w:eastAsia="bg-BG"/>
        </w:rPr>
        <w:t>и</w:t>
      </w:r>
      <w:r w:rsidRPr="00D3514C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D3514C">
        <w:rPr>
          <w:rFonts w:eastAsia="Times New Roman" w:cs="Arial"/>
          <w:color w:val="000000"/>
          <w:lang w:eastAsia="bg-BG"/>
        </w:rPr>
        <w:t xml:space="preserve">40 </w:t>
      </w:r>
      <w:r w:rsidRPr="00D3514C">
        <w:rPr>
          <w:rFonts w:eastAsia="Times New Roman" w:cs="Arial"/>
          <w:color w:val="000000"/>
          <w:lang w:val="en-US"/>
        </w:rPr>
        <w:t xml:space="preserve">kg, </w:t>
      </w:r>
      <w:r w:rsidRPr="00D3514C">
        <w:rPr>
          <w:rFonts w:eastAsia="Times New Roman" w:cs="Arial"/>
          <w:color w:val="000000"/>
          <w:lang w:eastAsia="bg-BG"/>
        </w:rPr>
        <w:t xml:space="preserve">показват че стойностите на </w:t>
      </w:r>
      <w:proofErr w:type="spellStart"/>
      <w:r w:rsidRPr="00D3514C">
        <w:rPr>
          <w:rFonts w:eastAsia="Times New Roman" w:cs="Arial"/>
          <w:color w:val="000000"/>
          <w:lang w:val="en-US"/>
        </w:rPr>
        <w:t>C</w:t>
      </w:r>
      <w:r w:rsidRPr="00D3514C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D3514C">
        <w:rPr>
          <w:rFonts w:eastAsia="Times New Roman" w:cs="Arial"/>
          <w:color w:val="000000"/>
          <w:lang w:val="en-US"/>
        </w:rPr>
        <w:t xml:space="preserve"> and AUC </w:t>
      </w:r>
      <w:r w:rsidRPr="00D3514C">
        <w:rPr>
          <w:rFonts w:eastAsia="Times New Roman" w:cs="Arial"/>
          <w:color w:val="000000"/>
          <w:lang w:eastAsia="bg-BG"/>
        </w:rPr>
        <w:t>са около 2 пъти по-високи от наблюдаваните при здрави възрастни пациенти в кръстосано-сравнително проучване. Средните стойности на</w:t>
      </w:r>
    </w:p>
    <w:p w14:paraId="44EF80E6" w14:textId="77777777" w:rsidR="00D3514C" w:rsidRPr="00D3514C" w:rsidRDefault="00D3514C" w:rsidP="00D3514C">
      <w:pPr>
        <w:rPr>
          <w:rFonts w:eastAsia="Times New Roman" w:cs="Arial"/>
          <w:sz w:val="28"/>
          <w:szCs w:val="28"/>
          <w:lang w:eastAsia="bg-BG"/>
        </w:rPr>
      </w:pPr>
      <w:proofErr w:type="spellStart"/>
      <w:r w:rsidRPr="00D3514C">
        <w:rPr>
          <w:rFonts w:eastAsia="Times New Roman" w:cs="Arial"/>
          <w:color w:val="000000"/>
          <w:lang w:val="en-US"/>
        </w:rPr>
        <w:t>C</w:t>
      </w:r>
      <w:r w:rsidRPr="00D3514C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D3514C">
        <w:rPr>
          <w:rFonts w:eastAsia="Times New Roman" w:cs="Arial"/>
          <w:color w:val="000000"/>
          <w:lang w:val="en-US"/>
        </w:rPr>
        <w:t xml:space="preserve"> </w:t>
      </w:r>
      <w:r w:rsidRPr="00D3514C">
        <w:rPr>
          <w:rFonts w:eastAsia="Times New Roman" w:cs="Arial"/>
          <w:color w:val="000000"/>
          <w:lang w:eastAsia="bg-BG"/>
        </w:rPr>
        <w:t xml:space="preserve">е 450 </w:t>
      </w:r>
      <w:r w:rsidRPr="00D3514C">
        <w:rPr>
          <w:rFonts w:eastAsia="Times New Roman" w:cs="Arial"/>
          <w:color w:val="000000"/>
          <w:lang w:val="en-US"/>
        </w:rPr>
        <w:t xml:space="preserve">ng/ml </w:t>
      </w:r>
      <w:r w:rsidRPr="00D3514C">
        <w:rPr>
          <w:rFonts w:eastAsia="Times New Roman" w:cs="Arial"/>
          <w:color w:val="000000"/>
          <w:lang w:eastAsia="bg-BG"/>
        </w:rPr>
        <w:t>се проявяват в средното време от 1,2 часа, тегловно нормализираният общ телесен клирънс е 30% по-голям, а полуживотът е 24% по-кратък в тази педиатрична</w:t>
      </w:r>
      <w:r w:rsidRPr="00D3514C">
        <w:rPr>
          <w:rFonts w:eastAsia="Times New Roman" w:cs="Arial"/>
          <w:color w:val="000000"/>
          <w:lang w:val="en-US" w:eastAsia="bg-BG"/>
        </w:rPr>
        <w:t xml:space="preserve"> </w:t>
      </w:r>
      <w:r w:rsidRPr="00D3514C">
        <w:rPr>
          <w:rFonts w:eastAsia="Times New Roman" w:cs="Arial"/>
          <w:color w:val="000000"/>
          <w:lang w:eastAsia="bg-BG"/>
        </w:rPr>
        <w:t xml:space="preserve">популация сравнение с възрастни. Не са провеждани специални фармакокинетични проучвания при деца на възраст под 6 години. Ретроспективният популационен фармакокинетичен анализ е проведен с 323 пациенти (181 деца на възраст от 1 до 5 години, 18 деца на възраст от 6 до 11 години и 124 възрастни на възраст от 18 до 55 години), които са получавали еднократни или многократни дози левоцетиризин, вариращи от 1,25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до 30 </w:t>
      </w:r>
      <w:r w:rsidRPr="00D3514C">
        <w:rPr>
          <w:rFonts w:eastAsia="Times New Roman" w:cs="Arial"/>
          <w:color w:val="000000"/>
          <w:lang w:val="en-US"/>
        </w:rPr>
        <w:t xml:space="preserve">mg. </w:t>
      </w:r>
      <w:r w:rsidRPr="00D3514C">
        <w:rPr>
          <w:rFonts w:eastAsia="Times New Roman" w:cs="Arial"/>
          <w:color w:val="000000"/>
          <w:lang w:eastAsia="bg-BG"/>
        </w:rPr>
        <w:t xml:space="preserve">Данните, получени от този анализ показват, че приложението на 1,25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веднъж дневно при деца на възраст от 6 месеца до 5 години се очаква да доведе до плазмени концентрации, сходни с тези на възрастни пациенти, получаващи 5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веднъж дневно.</w:t>
      </w:r>
    </w:p>
    <w:p w14:paraId="558566B4" w14:textId="77777777" w:rsidR="00D3514C" w:rsidRPr="00D3514C" w:rsidRDefault="00D3514C" w:rsidP="00D3514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330E314" w14:textId="0001862F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Старческа възраст</w:t>
      </w:r>
    </w:p>
    <w:p w14:paraId="758442D7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Съществуват ограничени фармакокинетични данни при пациенти в старческа възраст. След веднъж дневно многократно перорално приложение на 30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 xml:space="preserve">левоцетиризин за 6 дни при 9 пациенти в старческа възраст (на възраст 65 - 74 години), общият телесен клирънс е около 33% по-нисък в сравнение с този при по-млади възрастни. Разпределението на рацемата цетиризин показва зависимост от бъбречната функция, а не от възрастта. Този извод е приложим и за левоцетиризин, тъй като както левоцетиризин така и цетиризин се екскретират предимно с урината. Поради това дозата </w:t>
      </w:r>
      <w:r w:rsidRPr="00D3514C">
        <w:rPr>
          <w:rFonts w:eastAsia="Times New Roman" w:cs="Arial"/>
          <w:color w:val="000000"/>
          <w:lang w:eastAsia="bg-BG"/>
        </w:rPr>
        <w:lastRenderedPageBreak/>
        <w:t>на левоцетиризин трябва да се коригира в съответствие с бъбречната функция при пациенти в старческа възраст.</w:t>
      </w:r>
    </w:p>
    <w:p w14:paraId="2179AAF9" w14:textId="77777777" w:rsidR="00D3514C" w:rsidRPr="00D3514C" w:rsidRDefault="00D3514C" w:rsidP="00D3514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E05245E" w14:textId="79C1F8FB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Пол</w:t>
      </w:r>
    </w:p>
    <w:p w14:paraId="56512A80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Фармакокинетичните резултати на 77 пациенти (40 мъже, 37 жени) са оценени за евентуална зависимост от пола. Времето на полуживот е малко по-кратко при жените (7,08 ± 1,72 ч.), отколкото при мъжете (8,62 ± 1,84 ч.), но коригираният спрямо телесното тегло перорален клирънс при жени (0,67 ±0,16 </w:t>
      </w:r>
      <w:r w:rsidRPr="00D3514C">
        <w:rPr>
          <w:rFonts w:eastAsia="Times New Roman" w:cs="Arial"/>
          <w:color w:val="000000"/>
          <w:lang w:val="en-US"/>
        </w:rPr>
        <w:t xml:space="preserve">ml/min/kg) </w:t>
      </w:r>
      <w:r w:rsidRPr="00D3514C">
        <w:rPr>
          <w:rFonts w:eastAsia="Times New Roman" w:cs="Arial"/>
          <w:color w:val="000000"/>
          <w:lang w:eastAsia="bg-BG"/>
        </w:rPr>
        <w:t xml:space="preserve">се явява съпоставим с този при мъжете (0,59 ±0,12 </w:t>
      </w:r>
      <w:r w:rsidRPr="00D3514C">
        <w:rPr>
          <w:rFonts w:eastAsia="Times New Roman" w:cs="Arial"/>
          <w:color w:val="000000"/>
          <w:lang w:val="en-US"/>
        </w:rPr>
        <w:t xml:space="preserve">ml/min/kg). </w:t>
      </w:r>
      <w:r w:rsidRPr="00D3514C">
        <w:rPr>
          <w:rFonts w:eastAsia="Times New Roman" w:cs="Arial"/>
          <w:color w:val="000000"/>
          <w:lang w:eastAsia="bg-BG"/>
        </w:rPr>
        <w:t>Същите дневни дози и дозови интервали са приложими за мъже и жени с нормална бъбречна функция.</w:t>
      </w:r>
    </w:p>
    <w:p w14:paraId="5CEF8FCD" w14:textId="77777777" w:rsidR="00D3514C" w:rsidRPr="00D3514C" w:rsidRDefault="00D3514C" w:rsidP="00D3514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2D85030" w14:textId="53A0DA9D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Раса</w:t>
      </w:r>
    </w:p>
    <w:p w14:paraId="3F88F331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Влиянието на расата върху левоцетиризин не е проучена. Тъй като левоцетиризин се екскретира предимно чрез бъбреците, а няма значими расови различия в креатининовия клирънс, фармакокинетичните характеристики на левоцетиризин не се очаква да бъдат различни в различните раси. Не са наблюдавани свързани с расата разлики в кинетиката на рацемата цетиризин.</w:t>
      </w:r>
    </w:p>
    <w:p w14:paraId="7937493A" w14:textId="77777777" w:rsidR="00D3514C" w:rsidRPr="00D3514C" w:rsidRDefault="00D3514C" w:rsidP="00D3514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3E669A9" w14:textId="6D6C9259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Чернодробно увреждане</w:t>
      </w:r>
    </w:p>
    <w:p w14:paraId="39702E1E" w14:textId="77777777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 xml:space="preserve">Не е изпитвана фармакокинетиката на левоцетиризин при пациенти с чернодробна недостатъчност. Пациентите с хронични заболявания на черния дроб (хепатоцелуларна, холестатична и билиарна цироза), приемащите еднократна доза 10 или 20 </w:t>
      </w:r>
      <w:r w:rsidRPr="00D3514C">
        <w:rPr>
          <w:rFonts w:eastAsia="Times New Roman" w:cs="Arial"/>
          <w:color w:val="000000"/>
          <w:lang w:val="en-US"/>
        </w:rPr>
        <w:t xml:space="preserve">mg </w:t>
      </w:r>
      <w:r w:rsidRPr="00D3514C">
        <w:rPr>
          <w:rFonts w:eastAsia="Times New Roman" w:cs="Arial"/>
          <w:color w:val="000000"/>
          <w:lang w:eastAsia="bg-BG"/>
        </w:rPr>
        <w:t>от рацемичното вещество цетиризин имат 50% увеличение на времето на полуживот, както и с 40% намаление на клирънса в сравнение със здрави индивиди.</w:t>
      </w:r>
    </w:p>
    <w:p w14:paraId="2040D985" w14:textId="77777777" w:rsidR="00D3514C" w:rsidRPr="00D3514C" w:rsidRDefault="00D3514C" w:rsidP="00D3514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FA617CE" w14:textId="590141A9" w:rsidR="00D3514C" w:rsidRPr="00D3514C" w:rsidRDefault="00D3514C" w:rsidP="00D3514C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D3514C">
        <w:rPr>
          <w:rFonts w:eastAsia="Times New Roman" w:cs="Arial"/>
          <w:i/>
          <w:iCs/>
          <w:color w:val="000000"/>
          <w:lang w:eastAsia="bg-BG"/>
        </w:rPr>
        <w:t>Фармакакинетични/фармакодинамични взаимодействия</w:t>
      </w:r>
    </w:p>
    <w:p w14:paraId="6DABB5E9" w14:textId="41EC0AAF" w:rsidR="00D3514C" w:rsidRPr="00D3514C" w:rsidRDefault="00D3514C" w:rsidP="00D3514C">
      <w:pPr>
        <w:rPr>
          <w:rFonts w:eastAsia="Times New Roman" w:cs="Arial"/>
          <w:color w:val="000000"/>
          <w:lang w:eastAsia="bg-BG"/>
        </w:rPr>
      </w:pPr>
      <w:r w:rsidRPr="00D3514C">
        <w:rPr>
          <w:rFonts w:eastAsia="Times New Roman" w:cs="Arial"/>
          <w:color w:val="000000"/>
          <w:lang w:eastAsia="bg-BG"/>
        </w:rPr>
        <w:t>Хистамин-индуцирани кожни реакции не зависят от плазмените концентрации.</w:t>
      </w:r>
    </w:p>
    <w:p w14:paraId="6CE203AD" w14:textId="77777777" w:rsidR="00D3514C" w:rsidRPr="00D3514C" w:rsidRDefault="00D3514C" w:rsidP="00D3514C">
      <w:pPr>
        <w:rPr>
          <w:lang w:val="en-US"/>
        </w:rPr>
      </w:pPr>
    </w:p>
    <w:p w14:paraId="6925FEB0" w14:textId="4B32C19A" w:rsidR="00F62E44" w:rsidRDefault="002C50EE" w:rsidP="00387A66">
      <w:pPr>
        <w:pStyle w:val="Heading2"/>
      </w:pPr>
      <w:r>
        <w:t>5.3. Предклинични данни за безопасност</w:t>
      </w:r>
    </w:p>
    <w:p w14:paraId="6BD5ED8F" w14:textId="77777777" w:rsidR="00D3514C" w:rsidRDefault="00D3514C" w:rsidP="00D3514C"/>
    <w:p w14:paraId="7EAF3E6E" w14:textId="77777777" w:rsidR="00D3514C" w:rsidRPr="00D3514C" w:rsidRDefault="00D3514C" w:rsidP="00D3514C">
      <w:pPr>
        <w:rPr>
          <w:sz w:val="24"/>
          <w:szCs w:val="24"/>
          <w:lang w:eastAsia="bg-BG"/>
        </w:rPr>
      </w:pPr>
      <w:r w:rsidRPr="00D3514C">
        <w:rPr>
          <w:lang w:eastAsia="bg-BG"/>
        </w:rPr>
        <w:t>Неклиничните данни базирани на конвенционални проучвания за фармакологична безопасност, токсичност при многократно приложение, генотоксичност, карциногенен потенциал, репродуктивна токсичност не показват наличие на специфични за хора рискове.</w:t>
      </w:r>
    </w:p>
    <w:p w14:paraId="7E68F10D" w14:textId="77777777" w:rsidR="00D3514C" w:rsidRPr="00D3514C" w:rsidRDefault="00D3514C" w:rsidP="00D3514C"/>
    <w:p w14:paraId="357049A8" w14:textId="6CD46E4B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72CD1405" w14:textId="77777777" w:rsidR="00D3514C" w:rsidRDefault="00D3514C" w:rsidP="00D3514C"/>
    <w:p w14:paraId="36EE1731" w14:textId="77777777" w:rsidR="00D3514C" w:rsidRPr="00D3514C" w:rsidRDefault="00D3514C" w:rsidP="00D3514C">
      <w:pPr>
        <w:rPr>
          <w:sz w:val="24"/>
          <w:szCs w:val="24"/>
          <w:lang w:val="en-US" w:eastAsia="bg-BG"/>
        </w:rPr>
      </w:pPr>
      <w:r w:rsidRPr="00D3514C">
        <w:rPr>
          <w:lang w:val="en-US"/>
        </w:rPr>
        <w:t xml:space="preserve">Zentiva </w:t>
      </w:r>
      <w:proofErr w:type="spellStart"/>
      <w:r w:rsidRPr="00D3514C">
        <w:rPr>
          <w:lang w:val="en-US"/>
        </w:rPr>
        <w:t>k.s.</w:t>
      </w:r>
      <w:proofErr w:type="spellEnd"/>
      <w:r w:rsidRPr="00D3514C">
        <w:rPr>
          <w:lang w:val="en-US"/>
        </w:rPr>
        <w:t>,</w:t>
      </w:r>
    </w:p>
    <w:p w14:paraId="66FC7D94" w14:textId="77777777" w:rsidR="00D3514C" w:rsidRPr="00D3514C" w:rsidRDefault="00D3514C" w:rsidP="00D3514C">
      <w:pPr>
        <w:rPr>
          <w:sz w:val="24"/>
          <w:szCs w:val="24"/>
          <w:lang w:val="en-US" w:eastAsia="bg-BG"/>
        </w:rPr>
      </w:pPr>
      <w:r w:rsidRPr="00D3514C">
        <w:rPr>
          <w:lang w:val="en-US"/>
        </w:rPr>
        <w:t xml:space="preserve">U </w:t>
      </w:r>
      <w:proofErr w:type="spellStart"/>
      <w:r w:rsidRPr="00D3514C">
        <w:rPr>
          <w:lang w:val="en-US"/>
        </w:rPr>
        <w:t>Kabelovny</w:t>
      </w:r>
      <w:proofErr w:type="spellEnd"/>
      <w:r w:rsidRPr="00D3514C">
        <w:rPr>
          <w:lang w:val="en-US"/>
        </w:rPr>
        <w:t xml:space="preserve"> </w:t>
      </w:r>
      <w:r w:rsidRPr="00D3514C">
        <w:rPr>
          <w:lang w:eastAsia="bg-BG"/>
        </w:rPr>
        <w:t>130,</w:t>
      </w:r>
    </w:p>
    <w:p w14:paraId="7F6A7B3E" w14:textId="77777777" w:rsidR="00D3514C" w:rsidRPr="00D3514C" w:rsidRDefault="00D3514C" w:rsidP="00D3514C">
      <w:pPr>
        <w:rPr>
          <w:sz w:val="24"/>
          <w:szCs w:val="24"/>
          <w:lang w:val="en-US" w:eastAsia="bg-BG"/>
        </w:rPr>
      </w:pPr>
      <w:r w:rsidRPr="00D3514C">
        <w:rPr>
          <w:lang w:val="en-US"/>
        </w:rPr>
        <w:t xml:space="preserve">Prague </w:t>
      </w:r>
      <w:r w:rsidRPr="00D3514C">
        <w:rPr>
          <w:lang w:eastAsia="bg-BG"/>
        </w:rPr>
        <w:t>10,</w:t>
      </w:r>
    </w:p>
    <w:p w14:paraId="3306E99E" w14:textId="77777777" w:rsidR="00D3514C" w:rsidRPr="00D3514C" w:rsidRDefault="00D3514C" w:rsidP="00D3514C">
      <w:pPr>
        <w:rPr>
          <w:sz w:val="24"/>
          <w:szCs w:val="24"/>
          <w:lang w:val="en-US" w:eastAsia="bg-BG"/>
        </w:rPr>
      </w:pPr>
      <w:proofErr w:type="spellStart"/>
      <w:r w:rsidRPr="00D3514C">
        <w:rPr>
          <w:lang w:val="en-US"/>
        </w:rPr>
        <w:t>Dolni</w:t>
      </w:r>
      <w:proofErr w:type="spellEnd"/>
      <w:r w:rsidRPr="00D3514C">
        <w:rPr>
          <w:lang w:val="en-US"/>
        </w:rPr>
        <w:t xml:space="preserve"> </w:t>
      </w:r>
      <w:proofErr w:type="spellStart"/>
      <w:r w:rsidRPr="00D3514C">
        <w:rPr>
          <w:lang w:val="en-US"/>
        </w:rPr>
        <w:t>Mecholupy</w:t>
      </w:r>
      <w:proofErr w:type="spellEnd"/>
      <w:r w:rsidRPr="00D3514C">
        <w:rPr>
          <w:lang w:val="en-US"/>
        </w:rPr>
        <w:t>,</w:t>
      </w:r>
    </w:p>
    <w:p w14:paraId="6D80A627" w14:textId="2B3D220C" w:rsidR="00D3514C" w:rsidRPr="00D3514C" w:rsidRDefault="00D3514C" w:rsidP="00D3514C">
      <w:r w:rsidRPr="00D3514C">
        <w:rPr>
          <w:lang w:eastAsia="bg-BG"/>
        </w:rPr>
        <w:t>Чешка република</w:t>
      </w:r>
    </w:p>
    <w:p w14:paraId="0A53321D" w14:textId="74FBD4FB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7C2688F5" w14:textId="6D610EDF" w:rsidR="00F62E44" w:rsidRDefault="00F62E44" w:rsidP="00F62E44"/>
    <w:p w14:paraId="2024B672" w14:textId="7A6A721C" w:rsidR="00D3514C" w:rsidRDefault="00D3514C" w:rsidP="00D3514C">
      <w:r>
        <w:rPr>
          <w:lang w:val="en-US"/>
        </w:rPr>
        <w:t>Pe</w:t>
      </w:r>
      <w:r>
        <w:t>г</w:t>
      </w:r>
      <w:r>
        <w:rPr>
          <w:lang w:val="en-US"/>
        </w:rPr>
        <w:t xml:space="preserve">. </w:t>
      </w:r>
      <w:r>
        <w:t>№ 20090586</w:t>
      </w:r>
    </w:p>
    <w:p w14:paraId="00481C21" w14:textId="753A12CC" w:rsidR="00F62E44" w:rsidRDefault="002C50EE" w:rsidP="00387A66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5998D420" w14:textId="77777777" w:rsidR="00D3514C" w:rsidRDefault="00D3514C" w:rsidP="00D3514C"/>
    <w:p w14:paraId="27E302F7" w14:textId="77777777" w:rsidR="00D3514C" w:rsidRPr="00D3514C" w:rsidRDefault="00D3514C" w:rsidP="00D3514C">
      <w:pPr>
        <w:rPr>
          <w:sz w:val="24"/>
          <w:szCs w:val="24"/>
          <w:lang w:eastAsia="bg-BG"/>
        </w:rPr>
      </w:pPr>
      <w:r w:rsidRPr="00D3514C">
        <w:rPr>
          <w:lang w:eastAsia="bg-BG"/>
        </w:rPr>
        <w:t>Дата на първо разрешаване: 15.12.2009</w:t>
      </w:r>
    </w:p>
    <w:p w14:paraId="6C875DDC" w14:textId="133B2396" w:rsidR="00D3514C" w:rsidRPr="00D3514C" w:rsidRDefault="00D3514C" w:rsidP="00D3514C">
      <w:pPr>
        <w:rPr>
          <w:sz w:val="24"/>
          <w:szCs w:val="24"/>
          <w:lang w:eastAsia="bg-BG"/>
        </w:rPr>
      </w:pPr>
      <w:r w:rsidRPr="00D3514C">
        <w:rPr>
          <w:lang w:eastAsia="bg-BG"/>
        </w:rPr>
        <w:t>Дара на поседно подновяване: 04.12.2013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158AB4EE" w:rsidR="00BB22B4" w:rsidRPr="00BB22B4" w:rsidRDefault="00D3514C" w:rsidP="00D3514C">
      <w:r>
        <w:t>01/08/2022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7373E"/>
    <w:multiLevelType w:val="hybridMultilevel"/>
    <w:tmpl w:val="2B78E248"/>
    <w:lvl w:ilvl="0" w:tplc="6F64CE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1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8"/>
  </w:num>
  <w:num w:numId="39" w16cid:durableId="934825996">
    <w:abstractNumId w:val="13"/>
  </w:num>
  <w:num w:numId="40" w16cid:durableId="3451800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3514C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3855</Words>
  <Characters>21978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2023-04-25T18:13:00Z</dcterms:created>
  <dcterms:modified xsi:type="dcterms:W3CDTF">2023-04-25T18:13:00Z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