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61CFFFFE" w:rsidR="00F53FB7" w:rsidRDefault="00DD466D" w:rsidP="00A93499">
      <w:pPr>
        <w:pStyle w:val="Heading1"/>
      </w:pPr>
      <w:r>
        <w:t>1.ИМЕ НА ЛЕКАРСТВЕНИЯ ПРОДУКТ</w:t>
      </w:r>
    </w:p>
    <w:p w14:paraId="039CA937" w14:textId="2C1452B6" w:rsidR="00E659FE" w:rsidRDefault="00E659FE" w:rsidP="00E659FE"/>
    <w:p w14:paraId="621CDE55" w14:textId="77777777" w:rsidR="00E659FE" w:rsidRPr="00E659FE" w:rsidRDefault="00E659FE" w:rsidP="00E659FE">
      <w:pPr>
        <w:rPr>
          <w:sz w:val="24"/>
          <w:szCs w:val="24"/>
          <w:lang w:eastAsia="bg-BG"/>
        </w:rPr>
      </w:pPr>
      <w:r w:rsidRPr="00E659FE">
        <w:rPr>
          <w:lang w:eastAsia="bg-BG"/>
        </w:rPr>
        <w:t xml:space="preserve">Зентел 400 </w:t>
      </w:r>
      <w:r w:rsidRPr="00E659FE">
        <w:rPr>
          <w:lang w:val="en-US"/>
        </w:rPr>
        <w:t xml:space="preserve">mg </w:t>
      </w:r>
      <w:r w:rsidRPr="00E659FE">
        <w:rPr>
          <w:lang w:eastAsia="bg-BG"/>
        </w:rPr>
        <w:t>таблетки</w:t>
      </w:r>
    </w:p>
    <w:p w14:paraId="088A3F6B" w14:textId="77777777" w:rsidR="00E659FE" w:rsidRPr="00E659FE" w:rsidRDefault="00E659FE" w:rsidP="00E659FE">
      <w:pPr>
        <w:rPr>
          <w:sz w:val="24"/>
          <w:szCs w:val="24"/>
          <w:lang w:eastAsia="bg-BG"/>
        </w:rPr>
      </w:pPr>
      <w:proofErr w:type="spellStart"/>
      <w:r w:rsidRPr="00E659FE">
        <w:rPr>
          <w:lang w:val="en-US"/>
        </w:rPr>
        <w:t>Zentel</w:t>
      </w:r>
      <w:proofErr w:type="spellEnd"/>
      <w:r w:rsidRPr="00E659FE">
        <w:rPr>
          <w:lang w:val="en-US"/>
        </w:rPr>
        <w:t xml:space="preserve"> </w:t>
      </w:r>
      <w:r w:rsidRPr="00E659FE">
        <w:rPr>
          <w:lang w:eastAsia="bg-BG"/>
        </w:rPr>
        <w:t xml:space="preserve">400 </w:t>
      </w:r>
      <w:r w:rsidRPr="00E659FE">
        <w:rPr>
          <w:lang w:val="en-US"/>
        </w:rPr>
        <w:t>mg tablets</w:t>
      </w:r>
    </w:p>
    <w:p w14:paraId="22B5DEA5" w14:textId="77777777" w:rsidR="00E659FE" w:rsidRPr="00E659FE" w:rsidRDefault="00E659FE" w:rsidP="00E659FE"/>
    <w:p w14:paraId="0DF202EC" w14:textId="429FBAE9" w:rsidR="00F53FB7" w:rsidRDefault="00DD466D" w:rsidP="00A93499">
      <w:pPr>
        <w:pStyle w:val="Heading1"/>
      </w:pPr>
      <w:r>
        <w:t>2. КАЧЕСТВЕН И КОЛИЧЕСТВЕН СЪСТАВ</w:t>
      </w:r>
    </w:p>
    <w:p w14:paraId="04D25E0E" w14:textId="156EF7A9" w:rsidR="00E659FE" w:rsidRDefault="00E659FE" w:rsidP="00E659FE"/>
    <w:p w14:paraId="3899B5B0" w14:textId="77777777" w:rsidR="00E659FE" w:rsidRPr="00E659FE" w:rsidRDefault="00E659FE" w:rsidP="00E659FE">
      <w:pPr>
        <w:rPr>
          <w:sz w:val="24"/>
          <w:szCs w:val="24"/>
          <w:lang w:eastAsia="bg-BG"/>
        </w:rPr>
      </w:pPr>
      <w:r w:rsidRPr="00E659FE">
        <w:rPr>
          <w:lang w:eastAsia="bg-BG"/>
        </w:rPr>
        <w:t xml:space="preserve">Всяка таблетка съдържа 400 </w:t>
      </w:r>
      <w:r w:rsidRPr="00E659FE">
        <w:rPr>
          <w:lang w:val="en-US"/>
        </w:rPr>
        <w:t xml:space="preserve">mg </w:t>
      </w:r>
      <w:r w:rsidRPr="00E659FE">
        <w:rPr>
          <w:lang w:eastAsia="bg-BG"/>
        </w:rPr>
        <w:t xml:space="preserve">албендазол </w:t>
      </w:r>
      <w:r w:rsidRPr="00E659FE">
        <w:rPr>
          <w:i/>
          <w:iCs/>
          <w:lang w:val="en-US"/>
        </w:rPr>
        <w:t>(albendazole).</w:t>
      </w:r>
    </w:p>
    <w:p w14:paraId="1F2BA5A2" w14:textId="77777777" w:rsidR="00E659FE" w:rsidRDefault="00E659FE" w:rsidP="00E659FE">
      <w:pPr>
        <w:rPr>
          <w:u w:val="single"/>
          <w:lang w:eastAsia="bg-BG"/>
        </w:rPr>
      </w:pPr>
    </w:p>
    <w:p w14:paraId="7BDBF00F" w14:textId="0B10D0EC" w:rsidR="00E659FE" w:rsidRPr="00E659FE" w:rsidRDefault="00E659FE" w:rsidP="00E659FE">
      <w:pPr>
        <w:rPr>
          <w:sz w:val="24"/>
          <w:szCs w:val="24"/>
          <w:lang w:eastAsia="bg-BG"/>
        </w:rPr>
      </w:pPr>
      <w:r w:rsidRPr="00E659FE">
        <w:rPr>
          <w:u w:val="single"/>
          <w:lang w:eastAsia="bg-BG"/>
        </w:rPr>
        <w:t>Помощни вещества с известно действие:</w:t>
      </w:r>
    </w:p>
    <w:p w14:paraId="3F956875" w14:textId="77777777" w:rsidR="00E659FE" w:rsidRPr="00E659FE" w:rsidRDefault="00E659FE" w:rsidP="00E659FE">
      <w:pPr>
        <w:rPr>
          <w:sz w:val="24"/>
          <w:szCs w:val="24"/>
          <w:lang w:eastAsia="bg-BG"/>
        </w:rPr>
      </w:pPr>
      <w:r w:rsidRPr="00E659FE">
        <w:rPr>
          <w:lang w:eastAsia="bg-BG"/>
        </w:rPr>
        <w:t xml:space="preserve">Всяка таблетка съдържа лактоза, бензилов алкохол, пропиленгликол, азобагрило </w:t>
      </w:r>
      <w:r w:rsidRPr="00E659FE">
        <w:rPr>
          <w:lang w:val="en-US"/>
        </w:rPr>
        <w:t xml:space="preserve">FD&amp;C </w:t>
      </w:r>
      <w:r w:rsidRPr="00E659FE">
        <w:rPr>
          <w:lang w:eastAsia="bg-BG"/>
        </w:rPr>
        <w:t>жълто #6.</w:t>
      </w:r>
    </w:p>
    <w:p w14:paraId="5D1FC730" w14:textId="77777777" w:rsidR="00E659FE" w:rsidRPr="00E659FE" w:rsidRDefault="00E659FE" w:rsidP="00E659FE"/>
    <w:p w14:paraId="4CABB9ED" w14:textId="04FB17DF" w:rsidR="00F53FB7" w:rsidRDefault="00DD466D" w:rsidP="00A93499">
      <w:pPr>
        <w:pStyle w:val="Heading1"/>
      </w:pPr>
      <w:r>
        <w:t>3. ЛЕКАРСТВЕНА ФОРМА</w:t>
      </w:r>
    </w:p>
    <w:p w14:paraId="2FCF77B1" w14:textId="452F9C2E" w:rsidR="00E659FE" w:rsidRDefault="00E659FE" w:rsidP="00E659FE"/>
    <w:p w14:paraId="1DFCEE9A" w14:textId="77777777" w:rsidR="00E659FE" w:rsidRPr="00E659FE" w:rsidRDefault="00E659FE" w:rsidP="00E659FE">
      <w:pPr>
        <w:rPr>
          <w:sz w:val="24"/>
          <w:szCs w:val="24"/>
          <w:lang w:eastAsia="bg-BG"/>
        </w:rPr>
      </w:pPr>
      <w:r w:rsidRPr="00E659FE">
        <w:rPr>
          <w:lang w:eastAsia="bg-BG"/>
        </w:rPr>
        <w:t>Таблетка</w:t>
      </w:r>
    </w:p>
    <w:p w14:paraId="4E8767F7" w14:textId="4E9167F4" w:rsidR="00E659FE" w:rsidRDefault="00E659FE" w:rsidP="00E659FE">
      <w:pPr>
        <w:rPr>
          <w:lang w:eastAsia="bg-BG"/>
        </w:rPr>
      </w:pPr>
      <w:r w:rsidRPr="00E659FE">
        <w:rPr>
          <w:lang w:eastAsia="bg-BG"/>
        </w:rPr>
        <w:t>Бледо оранжеви таблетки, заоблени, продълговати, двойно изпъкнали с делител на черга от едната страна и гравирано “</w:t>
      </w:r>
      <w:r w:rsidRPr="00E659FE">
        <w:rPr>
          <w:lang w:val="en-US"/>
        </w:rPr>
        <w:t xml:space="preserve">ALB </w:t>
      </w:r>
      <w:r w:rsidRPr="00E659FE">
        <w:rPr>
          <w:lang w:eastAsia="bg-BG"/>
        </w:rPr>
        <w:t>400” от другата страна, с характерен плодов аромат.</w:t>
      </w:r>
    </w:p>
    <w:p w14:paraId="3B4DE79D" w14:textId="77777777" w:rsidR="00E659FE" w:rsidRPr="00E659FE" w:rsidRDefault="00E659FE" w:rsidP="00E659FE">
      <w:pPr>
        <w:rPr>
          <w:sz w:val="24"/>
          <w:szCs w:val="24"/>
          <w:lang w:eastAsia="bg-BG"/>
        </w:rPr>
      </w:pPr>
    </w:p>
    <w:p w14:paraId="490FC2C4" w14:textId="6899DE43" w:rsidR="002C50EE" w:rsidRDefault="002C50EE" w:rsidP="002C50EE">
      <w:pPr>
        <w:pStyle w:val="Heading1"/>
      </w:pPr>
      <w:r>
        <w:t>4. КЛИНИЧНИ ДАННИ</w:t>
      </w:r>
    </w:p>
    <w:p w14:paraId="1A37D275" w14:textId="35CAAAA7" w:rsidR="00F53FB7" w:rsidRDefault="002C50EE" w:rsidP="00A93499">
      <w:pPr>
        <w:pStyle w:val="Heading2"/>
      </w:pPr>
      <w:r>
        <w:t>4.1. Терапевтични показания</w:t>
      </w:r>
    </w:p>
    <w:p w14:paraId="3B01A85A" w14:textId="36BB420F" w:rsidR="00E659FE" w:rsidRDefault="00E659FE" w:rsidP="00E659FE"/>
    <w:p w14:paraId="242F74FE"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е бензимидазолов карбамат с антихелминтна и антипротозойна активност срещу чревни и тьканни паразити.</w:t>
      </w:r>
    </w:p>
    <w:p w14:paraId="3CE6D095" w14:textId="77777777" w:rsidR="00E659FE" w:rsidRPr="00E659FE" w:rsidRDefault="00E659FE" w:rsidP="00E659FE">
      <w:pPr>
        <w:spacing w:line="240" w:lineRule="auto"/>
        <w:rPr>
          <w:rFonts w:eastAsia="Times New Roman" w:cs="Arial"/>
          <w:b/>
          <w:bCs/>
          <w:color w:val="000000"/>
          <w:lang w:eastAsia="bg-BG"/>
        </w:rPr>
      </w:pPr>
      <w:bookmarkStart w:id="1" w:name="bookmark0"/>
    </w:p>
    <w:p w14:paraId="4BA80A37" w14:textId="53E2BFD9"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Чревни инфекции и Кожна ларва мигранс</w:t>
      </w:r>
      <w:bookmarkEnd w:id="1"/>
    </w:p>
    <w:p w14:paraId="089CC6F0"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Краткотрайно лечение с ниски дози</w:t>
      </w:r>
    </w:p>
    <w:p w14:paraId="180EE92A" w14:textId="77777777" w:rsidR="00E659FE" w:rsidRPr="00E659FE" w:rsidRDefault="00E659FE" w:rsidP="00E659FE">
      <w:pPr>
        <w:spacing w:line="240" w:lineRule="auto"/>
        <w:rPr>
          <w:rFonts w:eastAsia="Times New Roman" w:cs="Arial"/>
          <w:color w:val="000000"/>
          <w:lang w:eastAsia="bg-BG"/>
        </w:rPr>
      </w:pPr>
    </w:p>
    <w:p w14:paraId="4B9D939F"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е показан за лечение на следните клинични състояния, причинени от чувствителни чревни хелминти/протозои (вж. точка 5.1 за подробности относно чувствителни хелминти и протозои):</w:t>
      </w:r>
    </w:p>
    <w:p w14:paraId="49D1A737" w14:textId="77777777" w:rsidR="00E659FE" w:rsidRPr="00E659FE" w:rsidRDefault="00E659FE" w:rsidP="00E659FE">
      <w:pPr>
        <w:spacing w:line="240" w:lineRule="auto"/>
        <w:rPr>
          <w:rFonts w:eastAsia="Times New Roman" w:cs="Arial"/>
          <w:sz w:val="24"/>
          <w:szCs w:val="24"/>
          <w:lang w:eastAsia="bg-BG"/>
        </w:rPr>
      </w:pPr>
    </w:p>
    <w:p w14:paraId="5308CF89"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Ентеробиоза;</w:t>
      </w:r>
    </w:p>
    <w:p w14:paraId="62FECDE6"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Анкилостомоза и некаториоза;</w:t>
      </w:r>
    </w:p>
    <w:p w14:paraId="5F43CD27"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Хименолепсиоза;</w:t>
      </w:r>
    </w:p>
    <w:p w14:paraId="1CE9A81E"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Тениоза;</w:t>
      </w:r>
    </w:p>
    <w:p w14:paraId="3A2A2884"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Стронгилоидоза;</w:t>
      </w:r>
    </w:p>
    <w:p w14:paraId="505634D3"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Аскаридоза;</w:t>
      </w:r>
    </w:p>
    <w:p w14:paraId="2544AD23"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Трихуриоза;</w:t>
      </w:r>
    </w:p>
    <w:p w14:paraId="5EB1CB38" w14:textId="1352E549"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lastRenderedPageBreak/>
        <w:t xml:space="preserve">Клонорхоза и описторхоза (инфекции, причинени от </w:t>
      </w:r>
      <w:proofErr w:type="spellStart"/>
      <w:r w:rsidRPr="00E659FE">
        <w:rPr>
          <w:rFonts w:eastAsia="Times New Roman" w:cs="Arial"/>
          <w:i/>
          <w:iCs/>
          <w:color w:val="000000"/>
          <w:lang w:val="en-US"/>
        </w:rPr>
        <w:t>Opisthorchic</w:t>
      </w:r>
      <w:proofErr w:type="spellEnd"/>
      <w:r w:rsidRPr="00E659FE">
        <w:rPr>
          <w:rFonts w:eastAsia="Times New Roman" w:cs="Arial"/>
          <w:i/>
          <w:iCs/>
          <w:color w:val="000000"/>
          <w:lang w:val="en-US"/>
        </w:rPr>
        <w:t xml:space="preserve"> </w:t>
      </w:r>
      <w:r>
        <w:rPr>
          <w:rFonts w:eastAsia="Times New Roman" w:cs="Arial"/>
          <w:i/>
          <w:iCs/>
          <w:color w:val="000000"/>
          <w:lang w:val="en-US"/>
        </w:rPr>
        <w:t>viverrine</w:t>
      </w:r>
      <w:r>
        <w:rPr>
          <w:rFonts w:eastAsia="Times New Roman" w:cs="Arial"/>
          <w:color w:val="000000"/>
          <w:lang w:val="en-US"/>
        </w:rPr>
        <w:t xml:space="preserve"> </w:t>
      </w:r>
      <w:r w:rsidRPr="00E659FE">
        <w:rPr>
          <w:rFonts w:eastAsia="Times New Roman" w:cs="Arial"/>
          <w:color w:val="000000"/>
          <w:lang w:eastAsia="bg-BG"/>
        </w:rPr>
        <w:t xml:space="preserve">и/или </w:t>
      </w:r>
      <w:r w:rsidRPr="00E659FE">
        <w:rPr>
          <w:rFonts w:eastAsia="Times New Roman" w:cs="Arial"/>
          <w:i/>
          <w:iCs/>
          <w:color w:val="000000"/>
          <w:lang w:val="en-US"/>
        </w:rPr>
        <w:t>Clonorchis sinensis);</w:t>
      </w:r>
    </w:p>
    <w:p w14:paraId="6A5E2DBB" w14:textId="77777777"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Кожна ларва мигранс;</w:t>
      </w:r>
    </w:p>
    <w:p w14:paraId="62472E4E" w14:textId="575B732B" w:rsidR="00E659FE" w:rsidRPr="00E659FE" w:rsidRDefault="00E659FE" w:rsidP="00E659FE">
      <w:pPr>
        <w:pStyle w:val="ListParagraph"/>
        <w:numPr>
          <w:ilvl w:val="0"/>
          <w:numId w:val="2"/>
        </w:numPr>
        <w:spacing w:line="240" w:lineRule="auto"/>
        <w:rPr>
          <w:rFonts w:eastAsia="Times New Roman" w:cs="Arial"/>
          <w:sz w:val="24"/>
          <w:szCs w:val="24"/>
          <w:lang w:eastAsia="bg-BG"/>
        </w:rPr>
      </w:pPr>
      <w:r w:rsidRPr="00E659FE">
        <w:rPr>
          <w:rFonts w:eastAsia="Times New Roman" w:cs="Arial"/>
          <w:color w:val="000000"/>
          <w:lang w:eastAsia="bg-BG"/>
        </w:rPr>
        <w:t>Жирардиаза (ламблиоза) при деца.</w:t>
      </w:r>
    </w:p>
    <w:p w14:paraId="48E212FD" w14:textId="40E3CA51" w:rsidR="00E659FE" w:rsidRPr="00E659FE" w:rsidRDefault="00E659FE" w:rsidP="00E659FE">
      <w:pPr>
        <w:rPr>
          <w:rFonts w:cs="Arial"/>
        </w:rPr>
      </w:pPr>
    </w:p>
    <w:p w14:paraId="1643CA7D"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Системни хелминтни инфекции</w:t>
      </w:r>
    </w:p>
    <w:p w14:paraId="46EF0341" w14:textId="77777777" w:rsidR="00E659FE" w:rsidRPr="00E659FE" w:rsidRDefault="00E659FE" w:rsidP="00E659FE">
      <w:pPr>
        <w:spacing w:line="240" w:lineRule="auto"/>
        <w:rPr>
          <w:rFonts w:eastAsia="Times New Roman" w:cs="Arial"/>
          <w:color w:val="000000"/>
          <w:lang w:eastAsia="bg-BG"/>
        </w:rPr>
      </w:pPr>
    </w:p>
    <w:p w14:paraId="41BBD588" w14:textId="44B3F5F1"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Продължително лечение с високи дози</w:t>
      </w:r>
    </w:p>
    <w:p w14:paraId="31556189" w14:textId="77777777" w:rsidR="00E659FE" w:rsidRPr="00E659FE" w:rsidRDefault="00E659FE" w:rsidP="00E659FE">
      <w:pPr>
        <w:spacing w:line="240" w:lineRule="auto"/>
        <w:rPr>
          <w:rFonts w:eastAsia="Times New Roman" w:cs="Arial"/>
          <w:color w:val="000000"/>
          <w:lang w:eastAsia="bg-BG"/>
        </w:rPr>
      </w:pPr>
    </w:p>
    <w:p w14:paraId="5DFB9E1E" w14:textId="5A5CB33F"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е показан за лечение на следните системни хелминтни инфекции (вж. точка 5.1 за подробности относно чувствителни хелминтни видове).</w:t>
      </w:r>
    </w:p>
    <w:p w14:paraId="0EF750D9" w14:textId="77777777" w:rsidR="00E659FE" w:rsidRPr="00E659FE" w:rsidRDefault="00E659FE" w:rsidP="00E659FE">
      <w:pPr>
        <w:spacing w:line="240" w:lineRule="auto"/>
        <w:rPr>
          <w:rFonts w:eastAsia="Times New Roman" w:cs="Arial"/>
          <w:b/>
          <w:bCs/>
          <w:color w:val="000000"/>
          <w:lang w:eastAsia="bg-BG"/>
        </w:rPr>
      </w:pPr>
      <w:bookmarkStart w:id="2" w:name="bookmark2"/>
    </w:p>
    <w:p w14:paraId="18EDCB54" w14:textId="338BA2F5"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Ехинококоза</w:t>
      </w:r>
      <w:bookmarkEnd w:id="2"/>
    </w:p>
    <w:p w14:paraId="35AF6069" w14:textId="77777777" w:rsidR="00E659FE" w:rsidRPr="00E659FE" w:rsidRDefault="00E659FE" w:rsidP="00E659FE">
      <w:pPr>
        <w:spacing w:line="240" w:lineRule="auto"/>
        <w:rPr>
          <w:rFonts w:eastAsia="Times New Roman" w:cs="Arial"/>
          <w:color w:val="000000"/>
          <w:lang w:eastAsia="bg-BG"/>
        </w:rPr>
      </w:pPr>
    </w:p>
    <w:p w14:paraId="759E149A" w14:textId="40E53F04"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показва най-голяма ефикасност при лечението на чернодробни, белодробни и перитонеални кисти. Опитът при костни кисти, както и при такива, разположени в сърцето и в централната нервна система е ограничен.</w:t>
      </w:r>
    </w:p>
    <w:p w14:paraId="6F4B83FF" w14:textId="77777777" w:rsidR="00E659FE" w:rsidRPr="00E659FE" w:rsidRDefault="00E659FE" w:rsidP="00E659FE">
      <w:pPr>
        <w:spacing w:line="240" w:lineRule="auto"/>
        <w:rPr>
          <w:rFonts w:eastAsia="Times New Roman" w:cs="Arial"/>
          <w:b/>
          <w:bCs/>
          <w:color w:val="000000"/>
          <w:lang w:eastAsia="bg-BG"/>
        </w:rPr>
      </w:pPr>
    </w:p>
    <w:p w14:paraId="4C8955E6" w14:textId="24125B76"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 xml:space="preserve">Кистозна ехинококоза </w:t>
      </w:r>
      <w:r w:rsidRPr="00E659FE">
        <w:rPr>
          <w:rFonts w:eastAsia="Times New Roman" w:cs="Arial"/>
          <w:color w:val="000000"/>
          <w:lang w:eastAsia="bg-BG"/>
        </w:rPr>
        <w:t xml:space="preserve">(причинена от </w:t>
      </w:r>
      <w:r w:rsidRPr="00E659FE">
        <w:rPr>
          <w:rFonts w:eastAsia="Times New Roman" w:cs="Arial"/>
          <w:i/>
          <w:iCs/>
          <w:color w:val="000000"/>
          <w:lang w:val="en-US"/>
        </w:rPr>
        <w:t xml:space="preserve">Echinococcus </w:t>
      </w:r>
      <w:proofErr w:type="spellStart"/>
      <w:r w:rsidRPr="00E659FE">
        <w:rPr>
          <w:rFonts w:eastAsia="Times New Roman" w:cs="Arial"/>
          <w:i/>
          <w:iCs/>
          <w:color w:val="000000"/>
          <w:lang w:val="en-US"/>
        </w:rPr>
        <w:t>granulosus</w:t>
      </w:r>
      <w:proofErr w:type="spellEnd"/>
      <w:r w:rsidRPr="00E659FE">
        <w:rPr>
          <w:rFonts w:eastAsia="Times New Roman" w:cs="Arial"/>
          <w:i/>
          <w:iCs/>
          <w:color w:val="000000"/>
          <w:lang w:val="en-US"/>
        </w:rPr>
        <w:t>)</w:t>
      </w:r>
    </w:p>
    <w:p w14:paraId="4BB13F6E" w14:textId="3F13CE70"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се прилага при пациенти с кистозна ехинококоза:</w:t>
      </w:r>
    </w:p>
    <w:p w14:paraId="30027AAA" w14:textId="77777777"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когато не е възможна хирургическа интервенция;</w:t>
      </w:r>
    </w:p>
    <w:p w14:paraId="0904B780" w14:textId="77777777"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преди хирургическа интервенция;</w:t>
      </w:r>
    </w:p>
    <w:p w14:paraId="74365F61" w14:textId="77777777"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следоперативно, ако лечението преди хирургическата интервенция е било твърде кратко, ако кистата се е спукала или, ако по време на хирургическата интервенция се открие жизнеспособна киста;</w:t>
      </w:r>
    </w:p>
    <w:p w14:paraId="2FB7785D" w14:textId="0AEE54C2"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след перкутанен дренаж на кисти с диагностични или терапевтични цели.</w:t>
      </w:r>
    </w:p>
    <w:p w14:paraId="0CB9BA82" w14:textId="77777777" w:rsidR="00E659FE" w:rsidRPr="00E659FE" w:rsidRDefault="00E659FE" w:rsidP="00E659FE">
      <w:pPr>
        <w:spacing w:line="240" w:lineRule="auto"/>
        <w:rPr>
          <w:rFonts w:eastAsia="Times New Roman" w:cs="Arial"/>
          <w:b/>
          <w:bCs/>
          <w:color w:val="000000"/>
          <w:lang w:eastAsia="bg-BG"/>
        </w:rPr>
      </w:pPr>
    </w:p>
    <w:p w14:paraId="2C91423B" w14:textId="7E292D3F" w:rsidR="00E659FE" w:rsidRPr="00E659FE" w:rsidRDefault="00E659FE" w:rsidP="00E659FE">
      <w:pPr>
        <w:spacing w:line="240" w:lineRule="auto"/>
        <w:rPr>
          <w:rFonts w:eastAsia="Times New Roman" w:cs="Arial"/>
          <w:b/>
          <w:bCs/>
          <w:color w:val="000000"/>
          <w:lang w:eastAsia="bg-BG"/>
        </w:rPr>
      </w:pPr>
      <w:r w:rsidRPr="00E659FE">
        <w:rPr>
          <w:rFonts w:eastAsia="Times New Roman" w:cs="Arial"/>
          <w:b/>
          <w:bCs/>
          <w:color w:val="000000"/>
          <w:lang w:eastAsia="bg-BG"/>
        </w:rPr>
        <w:t xml:space="preserve">Алвеоларна ехинококоза </w:t>
      </w:r>
      <w:r w:rsidRPr="00E659FE">
        <w:rPr>
          <w:rFonts w:eastAsia="Times New Roman" w:cs="Arial"/>
          <w:color w:val="000000"/>
          <w:lang w:eastAsia="bg-BG"/>
        </w:rPr>
        <w:t xml:space="preserve">(причинена от </w:t>
      </w:r>
      <w:r w:rsidRPr="00E659FE">
        <w:rPr>
          <w:rFonts w:eastAsia="Times New Roman" w:cs="Arial"/>
          <w:i/>
          <w:iCs/>
          <w:color w:val="000000"/>
          <w:lang w:val="en-US"/>
        </w:rPr>
        <w:t xml:space="preserve">Echinococcus </w:t>
      </w:r>
      <w:proofErr w:type="spellStart"/>
      <w:r w:rsidRPr="00E659FE">
        <w:rPr>
          <w:rFonts w:eastAsia="Times New Roman" w:cs="Arial"/>
          <w:i/>
          <w:iCs/>
          <w:color w:val="000000"/>
          <w:lang w:val="en-US"/>
        </w:rPr>
        <w:t>multilocularis</w:t>
      </w:r>
      <w:proofErr w:type="spellEnd"/>
      <w:r w:rsidRPr="00E659FE">
        <w:rPr>
          <w:rFonts w:eastAsia="Times New Roman" w:cs="Arial"/>
          <w:i/>
          <w:iCs/>
          <w:color w:val="000000"/>
          <w:lang w:val="en-US"/>
        </w:rPr>
        <w:t>)</w:t>
      </w:r>
    </w:p>
    <w:p w14:paraId="5BA69EFC" w14:textId="5898766F"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се прилага при пациенти с алвеоларна ехинококоза:</w:t>
      </w:r>
    </w:p>
    <w:p w14:paraId="74AE1756" w14:textId="77777777"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при неоперабилно заболяване, особено при случаи на локални или далечни метастази;</w:t>
      </w:r>
    </w:p>
    <w:p w14:paraId="6C53B3FD" w14:textId="77777777"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след палиативна хирургична интервенция;</w:t>
      </w:r>
    </w:p>
    <w:p w14:paraId="2C0BE2B7" w14:textId="36F190FB" w:rsidR="00E659FE" w:rsidRPr="00E659FE" w:rsidRDefault="00E659FE" w:rsidP="00E659FE">
      <w:pPr>
        <w:pStyle w:val="ListParagraph"/>
        <w:numPr>
          <w:ilvl w:val="0"/>
          <w:numId w:val="2"/>
        </w:numPr>
        <w:spacing w:line="240" w:lineRule="auto"/>
        <w:rPr>
          <w:rFonts w:eastAsia="Times New Roman" w:cs="Arial"/>
          <w:color w:val="000000"/>
          <w:lang w:eastAsia="bg-BG"/>
        </w:rPr>
      </w:pPr>
      <w:r w:rsidRPr="00E659FE">
        <w:rPr>
          <w:rFonts w:eastAsia="Times New Roman" w:cs="Arial"/>
          <w:color w:val="000000"/>
          <w:lang w:eastAsia="bg-BG"/>
        </w:rPr>
        <w:t>след радикална хирургична интервенция или чернодробна трансплантация.</w:t>
      </w:r>
    </w:p>
    <w:p w14:paraId="33D779A4" w14:textId="77777777" w:rsidR="00E659FE" w:rsidRPr="00E659FE" w:rsidRDefault="00E659FE" w:rsidP="00E659FE">
      <w:pPr>
        <w:spacing w:line="240" w:lineRule="auto"/>
        <w:rPr>
          <w:rFonts w:eastAsia="Times New Roman" w:cs="Arial"/>
          <w:b/>
          <w:bCs/>
          <w:color w:val="000000"/>
          <w:lang w:eastAsia="bg-BG"/>
        </w:rPr>
      </w:pPr>
    </w:p>
    <w:p w14:paraId="5F055454" w14:textId="49E6BC6D"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 xml:space="preserve">Невроцистицеркоза </w:t>
      </w:r>
      <w:r w:rsidRPr="00E659FE">
        <w:rPr>
          <w:rFonts w:eastAsia="Times New Roman" w:cs="Arial"/>
          <w:color w:val="000000"/>
          <w:lang w:eastAsia="bg-BG"/>
        </w:rPr>
        <w:t xml:space="preserve">(инфекция, причинена от ларвната форма на </w:t>
      </w:r>
      <w:r w:rsidRPr="00E659FE">
        <w:rPr>
          <w:rFonts w:eastAsia="Times New Roman" w:cs="Arial"/>
          <w:i/>
          <w:iCs/>
          <w:color w:val="000000"/>
          <w:lang w:val="en-US"/>
        </w:rPr>
        <w:t xml:space="preserve">Taenia </w:t>
      </w:r>
      <w:proofErr w:type="spellStart"/>
      <w:r w:rsidRPr="00E659FE">
        <w:rPr>
          <w:rFonts w:eastAsia="Times New Roman" w:cs="Arial"/>
          <w:i/>
          <w:iCs/>
          <w:color w:val="000000"/>
          <w:lang w:val="en-US"/>
        </w:rPr>
        <w:t>solium</w:t>
      </w:r>
      <w:proofErr w:type="spellEnd"/>
      <w:r w:rsidRPr="00E659FE">
        <w:rPr>
          <w:rFonts w:eastAsia="Times New Roman" w:cs="Arial"/>
          <w:i/>
          <w:iCs/>
          <w:color w:val="000000"/>
          <w:lang w:val="en-US"/>
        </w:rPr>
        <w:t>)</w:t>
      </w:r>
    </w:p>
    <w:p w14:paraId="6A811027"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Албендазол се използва за лечение на пациенти с:</w:t>
      </w:r>
    </w:p>
    <w:p w14:paraId="745588BF"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единични или множествени кистозни или грануломатозни лезии на мозъчния паренхим;</w:t>
      </w:r>
    </w:p>
    <w:p w14:paraId="106C0CC3"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color w:val="000000"/>
          <w:lang w:eastAsia="bg-BG"/>
        </w:rPr>
        <w:t>арахноидални или интравентрикуларни кисти; рацемозни кисти.</w:t>
      </w:r>
    </w:p>
    <w:p w14:paraId="121C3A70" w14:textId="77777777" w:rsidR="00E659FE" w:rsidRPr="00E659FE" w:rsidRDefault="00E659FE" w:rsidP="00E659FE">
      <w:pPr>
        <w:spacing w:line="240" w:lineRule="auto"/>
        <w:rPr>
          <w:rFonts w:eastAsia="Times New Roman" w:cs="Arial"/>
          <w:b/>
          <w:bCs/>
          <w:color w:val="000000"/>
          <w:lang w:eastAsia="bg-BG"/>
        </w:rPr>
      </w:pPr>
    </w:p>
    <w:p w14:paraId="1C32549B" w14:textId="6C624C76"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 xml:space="preserve">Капнлариоза </w:t>
      </w:r>
      <w:r w:rsidRPr="00E659FE">
        <w:rPr>
          <w:rFonts w:eastAsia="Times New Roman" w:cs="Arial"/>
          <w:color w:val="000000"/>
          <w:lang w:eastAsia="bg-BG"/>
        </w:rPr>
        <w:t xml:space="preserve">(инфекция, причинена от </w:t>
      </w:r>
      <w:proofErr w:type="spellStart"/>
      <w:r w:rsidRPr="00E659FE">
        <w:rPr>
          <w:rFonts w:eastAsia="Times New Roman" w:cs="Arial"/>
          <w:i/>
          <w:iCs/>
          <w:color w:val="000000"/>
          <w:lang w:val="en-US"/>
        </w:rPr>
        <w:t>Capillaria</w:t>
      </w:r>
      <w:proofErr w:type="spellEnd"/>
      <w:r w:rsidRPr="00E659FE">
        <w:rPr>
          <w:rFonts w:eastAsia="Times New Roman" w:cs="Arial"/>
          <w:i/>
          <w:iCs/>
          <w:color w:val="000000"/>
          <w:lang w:eastAsia="bg-BG"/>
        </w:rPr>
        <w:t xml:space="preserve"> </w:t>
      </w:r>
      <w:proofErr w:type="spellStart"/>
      <w:r w:rsidRPr="00E659FE">
        <w:rPr>
          <w:rFonts w:eastAsia="Times New Roman" w:cs="Arial"/>
          <w:i/>
          <w:iCs/>
          <w:color w:val="000000"/>
          <w:lang w:val="en-US"/>
        </w:rPr>
        <w:t>philippinensis</w:t>
      </w:r>
      <w:proofErr w:type="spellEnd"/>
      <w:r w:rsidRPr="00E659FE">
        <w:rPr>
          <w:rFonts w:eastAsia="Times New Roman" w:cs="Arial"/>
          <w:i/>
          <w:iCs/>
          <w:color w:val="000000"/>
          <w:lang w:val="en-US"/>
        </w:rPr>
        <w:t>)</w:t>
      </w:r>
    </w:p>
    <w:p w14:paraId="51E487E3"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 xml:space="preserve">Гиатостомиоза </w:t>
      </w:r>
      <w:r w:rsidRPr="00E659FE">
        <w:rPr>
          <w:rFonts w:eastAsia="Times New Roman" w:cs="Arial"/>
          <w:color w:val="000000"/>
          <w:lang w:eastAsia="bg-BG"/>
        </w:rPr>
        <w:t xml:space="preserve">(причинена от </w:t>
      </w:r>
      <w:proofErr w:type="spellStart"/>
      <w:r w:rsidRPr="00E659FE">
        <w:rPr>
          <w:rFonts w:eastAsia="Times New Roman" w:cs="Arial"/>
          <w:i/>
          <w:iCs/>
          <w:color w:val="000000"/>
          <w:lang w:val="en-US"/>
        </w:rPr>
        <w:t>Gnathostoma</w:t>
      </w:r>
      <w:proofErr w:type="spellEnd"/>
      <w:r w:rsidRPr="00E659FE">
        <w:rPr>
          <w:rFonts w:eastAsia="Times New Roman" w:cs="Arial"/>
          <w:i/>
          <w:iCs/>
          <w:color w:val="000000"/>
          <w:lang w:val="en-US"/>
        </w:rPr>
        <w:t xml:space="preserve"> </w:t>
      </w:r>
      <w:proofErr w:type="spellStart"/>
      <w:r w:rsidRPr="00E659FE">
        <w:rPr>
          <w:rFonts w:eastAsia="Times New Roman" w:cs="Arial"/>
          <w:i/>
          <w:iCs/>
          <w:color w:val="000000"/>
          <w:lang w:val="en-US"/>
        </w:rPr>
        <w:t>spinigerum</w:t>
      </w:r>
      <w:proofErr w:type="spellEnd"/>
      <w:r w:rsidRPr="00E659FE">
        <w:rPr>
          <w:rFonts w:eastAsia="Times New Roman" w:cs="Arial"/>
          <w:color w:val="000000"/>
          <w:lang w:val="en-US"/>
        </w:rPr>
        <w:t xml:space="preserve"> </w:t>
      </w:r>
      <w:r w:rsidRPr="00E659FE">
        <w:rPr>
          <w:rFonts w:eastAsia="Times New Roman" w:cs="Arial"/>
          <w:color w:val="000000"/>
          <w:lang w:eastAsia="bg-BG"/>
        </w:rPr>
        <w:t>и близкородствени видове)</w:t>
      </w:r>
    </w:p>
    <w:p w14:paraId="473DF78A" w14:textId="77777777" w:rsidR="00E659FE" w:rsidRPr="00E659FE" w:rsidRDefault="00E659FE" w:rsidP="00E659FE">
      <w:pPr>
        <w:spacing w:line="240" w:lineRule="auto"/>
        <w:rPr>
          <w:rFonts w:eastAsia="Times New Roman" w:cs="Arial"/>
          <w:sz w:val="24"/>
          <w:szCs w:val="24"/>
          <w:lang w:eastAsia="bg-BG"/>
        </w:rPr>
      </w:pPr>
      <w:r w:rsidRPr="00E659FE">
        <w:rPr>
          <w:rFonts w:eastAsia="Times New Roman" w:cs="Arial"/>
          <w:b/>
          <w:bCs/>
          <w:color w:val="000000"/>
          <w:lang w:eastAsia="bg-BG"/>
        </w:rPr>
        <w:t xml:space="preserve">Трихинелоза </w:t>
      </w:r>
      <w:r w:rsidRPr="00E659FE">
        <w:rPr>
          <w:rFonts w:eastAsia="Times New Roman" w:cs="Arial"/>
          <w:color w:val="000000"/>
          <w:lang w:eastAsia="bg-BG"/>
        </w:rPr>
        <w:t xml:space="preserve">(причинена от </w:t>
      </w:r>
      <w:r w:rsidRPr="00E659FE">
        <w:rPr>
          <w:rFonts w:eastAsia="Times New Roman" w:cs="Arial"/>
          <w:i/>
          <w:iCs/>
          <w:color w:val="000000"/>
          <w:lang w:val="en-US"/>
        </w:rPr>
        <w:t>Trichinella spiralis</w:t>
      </w:r>
      <w:r w:rsidRPr="00E659FE">
        <w:rPr>
          <w:rFonts w:eastAsia="Times New Roman" w:cs="Arial"/>
          <w:color w:val="000000"/>
          <w:lang w:val="en-US"/>
        </w:rPr>
        <w:t xml:space="preserve"> </w:t>
      </w:r>
      <w:r w:rsidRPr="00E659FE">
        <w:rPr>
          <w:rFonts w:eastAsia="Times New Roman" w:cs="Arial"/>
          <w:color w:val="000000"/>
          <w:lang w:eastAsia="bg-BG"/>
        </w:rPr>
        <w:t xml:space="preserve">и </w:t>
      </w:r>
      <w:r w:rsidRPr="00E659FE">
        <w:rPr>
          <w:rFonts w:eastAsia="Times New Roman" w:cs="Arial"/>
          <w:i/>
          <w:iCs/>
          <w:color w:val="000000"/>
          <w:lang w:eastAsia="bg-BG"/>
        </w:rPr>
        <w:t xml:space="preserve">Т. </w:t>
      </w:r>
      <w:proofErr w:type="spellStart"/>
      <w:r w:rsidRPr="00E659FE">
        <w:rPr>
          <w:rFonts w:eastAsia="Times New Roman" w:cs="Arial"/>
          <w:i/>
          <w:iCs/>
          <w:color w:val="000000"/>
          <w:lang w:val="en-US"/>
        </w:rPr>
        <w:t>pseudospiralis</w:t>
      </w:r>
      <w:proofErr w:type="spellEnd"/>
      <w:r w:rsidRPr="00E659FE">
        <w:rPr>
          <w:rFonts w:eastAsia="Times New Roman" w:cs="Arial"/>
          <w:i/>
          <w:iCs/>
          <w:color w:val="000000"/>
          <w:lang w:val="en-US"/>
        </w:rPr>
        <w:t>)</w:t>
      </w:r>
    </w:p>
    <w:p w14:paraId="7DD56CF9" w14:textId="2F4E4E70" w:rsidR="00E659FE" w:rsidRPr="00E659FE" w:rsidRDefault="00E659FE" w:rsidP="00E659FE">
      <w:pPr>
        <w:rPr>
          <w:rFonts w:cs="Arial"/>
        </w:rPr>
      </w:pPr>
      <w:r w:rsidRPr="00E659FE">
        <w:rPr>
          <w:rFonts w:eastAsia="Times New Roman" w:cs="Arial"/>
          <w:b/>
          <w:bCs/>
          <w:color w:val="000000"/>
          <w:lang w:eastAsia="bg-BG"/>
        </w:rPr>
        <w:t xml:space="preserve">Токсокароза </w:t>
      </w:r>
      <w:r w:rsidRPr="00E659FE">
        <w:rPr>
          <w:rFonts w:eastAsia="Times New Roman" w:cs="Arial"/>
          <w:color w:val="000000"/>
          <w:lang w:eastAsia="bg-BG"/>
        </w:rPr>
        <w:t xml:space="preserve">(причинена от </w:t>
      </w:r>
      <w:proofErr w:type="spellStart"/>
      <w:r w:rsidRPr="00E659FE">
        <w:rPr>
          <w:rFonts w:eastAsia="Times New Roman" w:cs="Arial"/>
          <w:i/>
          <w:iCs/>
          <w:color w:val="000000"/>
          <w:lang w:val="en-US"/>
        </w:rPr>
        <w:t>Toxocara</w:t>
      </w:r>
      <w:proofErr w:type="spellEnd"/>
      <w:r w:rsidRPr="00E659FE">
        <w:rPr>
          <w:rFonts w:eastAsia="Times New Roman" w:cs="Arial"/>
          <w:i/>
          <w:iCs/>
          <w:color w:val="000000"/>
          <w:lang w:val="en-US"/>
        </w:rPr>
        <w:t xml:space="preserve"> </w:t>
      </w:r>
      <w:proofErr w:type="spellStart"/>
      <w:r w:rsidRPr="00E659FE">
        <w:rPr>
          <w:rFonts w:eastAsia="Times New Roman" w:cs="Arial"/>
          <w:i/>
          <w:iCs/>
          <w:color w:val="000000"/>
          <w:lang w:val="en-US"/>
        </w:rPr>
        <w:t>canis</w:t>
      </w:r>
      <w:proofErr w:type="spellEnd"/>
      <w:r w:rsidRPr="00E659FE">
        <w:rPr>
          <w:rFonts w:eastAsia="Times New Roman" w:cs="Arial"/>
          <w:color w:val="000000"/>
          <w:lang w:val="en-US"/>
        </w:rPr>
        <w:t xml:space="preserve"> </w:t>
      </w:r>
      <w:r w:rsidRPr="00E659FE">
        <w:rPr>
          <w:rFonts w:eastAsia="Times New Roman" w:cs="Arial"/>
          <w:color w:val="000000"/>
          <w:lang w:eastAsia="bg-BG"/>
        </w:rPr>
        <w:t>и други близкородствени видове)</w:t>
      </w:r>
    </w:p>
    <w:p w14:paraId="4189626B" w14:textId="77777777" w:rsidR="00E659FE" w:rsidRPr="00E659FE" w:rsidRDefault="00E659FE" w:rsidP="00E659FE"/>
    <w:p w14:paraId="05D17336" w14:textId="73785FB5" w:rsidR="00F53FB7" w:rsidRDefault="002C50EE" w:rsidP="00A93499">
      <w:pPr>
        <w:pStyle w:val="Heading2"/>
      </w:pPr>
      <w:r>
        <w:t>4.2. Дозировка и начин на приложение</w:t>
      </w:r>
    </w:p>
    <w:p w14:paraId="6BFCA3B4" w14:textId="56212175" w:rsidR="00B23FF6" w:rsidRDefault="00B23FF6" w:rsidP="00B23FF6"/>
    <w:p w14:paraId="4E6AB1DE" w14:textId="77777777" w:rsidR="00B23FF6" w:rsidRPr="00B23FF6" w:rsidRDefault="00B23FF6" w:rsidP="00B23FF6">
      <w:pPr>
        <w:pStyle w:val="Heading3"/>
        <w:rPr>
          <w:rFonts w:eastAsia="Times New Roman"/>
          <w:u w:val="single"/>
          <w:lang w:eastAsia="bg-BG"/>
        </w:rPr>
      </w:pPr>
      <w:r w:rsidRPr="00B23FF6">
        <w:rPr>
          <w:rFonts w:eastAsia="Times New Roman"/>
          <w:u w:val="single"/>
          <w:lang w:eastAsia="bg-BG"/>
        </w:rPr>
        <w:lastRenderedPageBreak/>
        <w:t>Дозировка</w:t>
      </w:r>
    </w:p>
    <w:p w14:paraId="57044029" w14:textId="77777777" w:rsidR="00B23FF6" w:rsidRPr="00B23FF6" w:rsidRDefault="00B23FF6" w:rsidP="00B23FF6">
      <w:pPr>
        <w:spacing w:line="240" w:lineRule="auto"/>
        <w:rPr>
          <w:rFonts w:eastAsia="Times New Roman" w:cs="Arial"/>
          <w:b/>
          <w:bCs/>
          <w:color w:val="000000"/>
          <w:lang w:eastAsia="bg-BG"/>
        </w:rPr>
      </w:pPr>
    </w:p>
    <w:p w14:paraId="6E367AEC" w14:textId="32F0B2B3"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Чревни инфекции и Кожна ларва мигранс</w:t>
      </w:r>
    </w:p>
    <w:p w14:paraId="3B169171"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Не се изискват специални процедури като диетични ограничения или промивка на стомаха и червата.</w:t>
      </w:r>
    </w:p>
    <w:p w14:paraId="7CA9524E" w14:textId="77777777" w:rsidR="00B23FF6" w:rsidRPr="00B23FF6" w:rsidRDefault="00B23FF6" w:rsidP="00B23FF6">
      <w:pPr>
        <w:spacing w:line="240" w:lineRule="auto"/>
        <w:rPr>
          <w:rFonts w:eastAsia="Times New Roman" w:cs="Arial"/>
          <w:color w:val="000000"/>
          <w:lang w:eastAsia="bg-BG"/>
        </w:rPr>
      </w:pPr>
    </w:p>
    <w:p w14:paraId="6BD6707E" w14:textId="591E5B81"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Ако след три седмично лечение, пациентът не е излекуван, е показан втори курс на лечение.</w:t>
      </w:r>
    </w:p>
    <w:p w14:paraId="2C33A336" w14:textId="77777777" w:rsidR="00B23FF6" w:rsidRPr="00B23FF6" w:rsidRDefault="00B23FF6" w:rsidP="00B23FF6">
      <w:pPr>
        <w:rPr>
          <w:rFonts w:eastAsia="Times New Roman" w:cs="Arial"/>
          <w:color w:val="000000"/>
          <w:lang w:eastAsia="bg-BG"/>
        </w:rPr>
      </w:pPr>
    </w:p>
    <w:p w14:paraId="500D6317" w14:textId="540917BF" w:rsidR="00B23FF6" w:rsidRPr="00B23FF6" w:rsidRDefault="00B23FF6" w:rsidP="00B23FF6">
      <w:pPr>
        <w:rPr>
          <w:rFonts w:eastAsia="Times New Roman" w:cs="Arial"/>
          <w:color w:val="000000"/>
          <w:lang w:eastAsia="bg-BG"/>
        </w:rPr>
      </w:pPr>
      <w:r w:rsidRPr="00B23FF6">
        <w:rPr>
          <w:rFonts w:eastAsia="Times New Roman" w:cs="Arial"/>
          <w:color w:val="000000"/>
          <w:lang w:eastAsia="bg-BG"/>
        </w:rPr>
        <w:t>Някои хора, особено малки деца, могат да изпитат затруднение при поглъщане на таблетките цели и трябва да се насърчават да сдъвчат таблетките с малко вода, алтернативно таблетките могат да се натрошат.</w:t>
      </w:r>
    </w:p>
    <w:p w14:paraId="7BE0DF03" w14:textId="7CD8741E" w:rsidR="00B23FF6" w:rsidRDefault="00B23FF6" w:rsidP="00B23FF6">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2356"/>
        <w:gridCol w:w="2313"/>
        <w:gridCol w:w="2314"/>
        <w:gridCol w:w="2367"/>
      </w:tblGrid>
      <w:tr w:rsidR="00B23FF6" w14:paraId="6DF512BB" w14:textId="77777777" w:rsidTr="00B23FF6">
        <w:tc>
          <w:tcPr>
            <w:tcW w:w="2375" w:type="dxa"/>
          </w:tcPr>
          <w:p w14:paraId="5EEA450D" w14:textId="56258671" w:rsidR="00B23FF6" w:rsidRDefault="00B23FF6" w:rsidP="00B23FF6">
            <w:r>
              <w:rPr>
                <w:b/>
                <w:bCs/>
              </w:rPr>
              <w:t>Инфекция</w:t>
            </w:r>
          </w:p>
        </w:tc>
        <w:tc>
          <w:tcPr>
            <w:tcW w:w="2375" w:type="dxa"/>
          </w:tcPr>
          <w:p w14:paraId="5C67F670" w14:textId="78A37CF5" w:rsidR="00B23FF6" w:rsidRDefault="00B23FF6" w:rsidP="00B23FF6">
            <w:r>
              <w:rPr>
                <w:b/>
                <w:bCs/>
              </w:rPr>
              <w:t>Възраст</w:t>
            </w:r>
          </w:p>
        </w:tc>
        <w:tc>
          <w:tcPr>
            <w:tcW w:w="2375" w:type="dxa"/>
          </w:tcPr>
          <w:p w14:paraId="1B66040D" w14:textId="32FDB007" w:rsidR="00B23FF6" w:rsidRDefault="00B23FF6" w:rsidP="00B23FF6">
            <w:r>
              <w:rPr>
                <w:b/>
                <w:bCs/>
              </w:rPr>
              <w:t>Обичайна доза</w:t>
            </w:r>
          </w:p>
        </w:tc>
        <w:tc>
          <w:tcPr>
            <w:tcW w:w="2375" w:type="dxa"/>
          </w:tcPr>
          <w:p w14:paraId="33B626A3" w14:textId="4956BB1C" w:rsidR="00B23FF6" w:rsidRDefault="00B23FF6" w:rsidP="00B23FF6">
            <w:r>
              <w:rPr>
                <w:b/>
                <w:bCs/>
              </w:rPr>
              <w:t>Продължителност на лечението</w:t>
            </w:r>
          </w:p>
        </w:tc>
      </w:tr>
      <w:tr w:rsidR="00B23FF6" w14:paraId="2F6B5AF6" w14:textId="77777777" w:rsidTr="00B23FF6">
        <w:tc>
          <w:tcPr>
            <w:tcW w:w="2375" w:type="dxa"/>
            <w:vMerge w:val="restart"/>
          </w:tcPr>
          <w:p w14:paraId="1F54EE5A" w14:textId="77777777" w:rsidR="00B23FF6" w:rsidRDefault="00B23FF6" w:rsidP="00B23FF6">
            <w:r>
              <w:t>Ентеробиоза</w:t>
            </w:r>
          </w:p>
          <w:p w14:paraId="1663D122" w14:textId="77777777" w:rsidR="00B23FF6" w:rsidRDefault="00B23FF6" w:rsidP="00B23FF6"/>
          <w:p w14:paraId="4DCF9C61" w14:textId="77777777" w:rsidR="00B23FF6" w:rsidRDefault="00B23FF6" w:rsidP="00B23FF6">
            <w:r>
              <w:t xml:space="preserve">Анкилостомоза и </w:t>
            </w:r>
          </w:p>
          <w:p w14:paraId="480A569E" w14:textId="77777777" w:rsidR="00B23FF6" w:rsidRDefault="00B23FF6" w:rsidP="00B23FF6"/>
          <w:p w14:paraId="1848A99F" w14:textId="30AF16CC" w:rsidR="00B23FF6" w:rsidRDefault="00B23FF6" w:rsidP="00B23FF6">
            <w:r>
              <w:t>Некаториоза</w:t>
            </w:r>
          </w:p>
          <w:p w14:paraId="3E906BE0" w14:textId="77777777" w:rsidR="00B23FF6" w:rsidRDefault="00B23FF6" w:rsidP="00B23FF6"/>
          <w:p w14:paraId="369FF1B5" w14:textId="4FA9C251" w:rsidR="00B23FF6" w:rsidRDefault="00B23FF6" w:rsidP="00B23FF6">
            <w:r>
              <w:t>Аскаридоза</w:t>
            </w:r>
          </w:p>
          <w:p w14:paraId="733C85E1" w14:textId="77777777" w:rsidR="00B23FF6" w:rsidRDefault="00B23FF6" w:rsidP="00B23FF6"/>
          <w:p w14:paraId="6DDC6FC4" w14:textId="45875108" w:rsidR="00B23FF6" w:rsidRDefault="00B23FF6" w:rsidP="00B23FF6">
            <w:r>
              <w:t>Трихуриоза</w:t>
            </w:r>
          </w:p>
        </w:tc>
        <w:tc>
          <w:tcPr>
            <w:tcW w:w="2375" w:type="dxa"/>
          </w:tcPr>
          <w:p w14:paraId="3CB89855" w14:textId="2F6543CA" w:rsidR="00B23FF6" w:rsidRDefault="00B23FF6" w:rsidP="00B23FF6">
            <w:r>
              <w:t>възрастни и деца над 2 години</w:t>
            </w:r>
          </w:p>
        </w:tc>
        <w:tc>
          <w:tcPr>
            <w:tcW w:w="2375" w:type="dxa"/>
          </w:tcPr>
          <w:p w14:paraId="10B8BE89" w14:textId="5AE65F98" w:rsidR="00B23FF6" w:rsidRDefault="00B23FF6" w:rsidP="00B23FF6">
            <w:r>
              <w:t xml:space="preserve">400 </w:t>
            </w:r>
            <w:r>
              <w:rPr>
                <w:lang w:val="en-US"/>
              </w:rPr>
              <w:t>mg</w:t>
            </w:r>
          </w:p>
        </w:tc>
        <w:tc>
          <w:tcPr>
            <w:tcW w:w="2375" w:type="dxa"/>
          </w:tcPr>
          <w:p w14:paraId="1A725674" w14:textId="52EE216F" w:rsidR="00B23FF6" w:rsidRDefault="00B23FF6" w:rsidP="00B23FF6">
            <w:r>
              <w:t>Еднократна доза</w:t>
            </w:r>
          </w:p>
        </w:tc>
      </w:tr>
      <w:tr w:rsidR="00B23FF6" w14:paraId="3FAFC2DA" w14:textId="77777777" w:rsidTr="00B23FF6">
        <w:tc>
          <w:tcPr>
            <w:tcW w:w="2375" w:type="dxa"/>
            <w:vMerge/>
          </w:tcPr>
          <w:p w14:paraId="448D5965" w14:textId="77777777" w:rsidR="00B23FF6" w:rsidRDefault="00B23FF6" w:rsidP="00B23FF6"/>
        </w:tc>
        <w:tc>
          <w:tcPr>
            <w:tcW w:w="2375" w:type="dxa"/>
          </w:tcPr>
          <w:p w14:paraId="7DAB6336" w14:textId="148589A7" w:rsidR="00B23FF6" w:rsidRDefault="00B23FF6" w:rsidP="00B23FF6">
            <w:r>
              <w:t>деца от 1 до 2 години</w:t>
            </w:r>
          </w:p>
        </w:tc>
        <w:tc>
          <w:tcPr>
            <w:tcW w:w="2375" w:type="dxa"/>
          </w:tcPr>
          <w:p w14:paraId="330A018F" w14:textId="61FE757A" w:rsidR="00B23FF6" w:rsidRDefault="00B23FF6" w:rsidP="00B23FF6">
            <w:r>
              <w:t xml:space="preserve">200 </w:t>
            </w:r>
            <w:r>
              <w:rPr>
                <w:lang w:val="en-US"/>
              </w:rPr>
              <w:t>mg</w:t>
            </w:r>
          </w:p>
        </w:tc>
        <w:tc>
          <w:tcPr>
            <w:tcW w:w="2375" w:type="dxa"/>
          </w:tcPr>
          <w:p w14:paraId="21EA9701" w14:textId="79EDB0CB" w:rsidR="00B23FF6" w:rsidRDefault="00B23FF6" w:rsidP="00B23FF6">
            <w:r>
              <w:t>Еднократна доза</w:t>
            </w:r>
          </w:p>
        </w:tc>
      </w:tr>
      <w:tr w:rsidR="00B23FF6" w14:paraId="3FA9238D" w14:textId="77777777" w:rsidTr="00B23FF6">
        <w:tc>
          <w:tcPr>
            <w:tcW w:w="2375" w:type="dxa"/>
          </w:tcPr>
          <w:p w14:paraId="2EA45608" w14:textId="77777777" w:rsidR="00B23FF6" w:rsidRDefault="00B23FF6" w:rsidP="00B23FF6">
            <w:r>
              <w:t>Предполагаема или потвърдена стронгилоидоза</w:t>
            </w:r>
          </w:p>
          <w:p w14:paraId="4F422920" w14:textId="77777777" w:rsidR="00B23FF6" w:rsidRDefault="00B23FF6" w:rsidP="00B23FF6"/>
          <w:p w14:paraId="7185352A" w14:textId="73E9111B" w:rsidR="00B23FF6" w:rsidRDefault="00B23FF6" w:rsidP="00B23FF6">
            <w:r>
              <w:t>Тениоза</w:t>
            </w:r>
          </w:p>
          <w:p w14:paraId="3ADAB648" w14:textId="77777777" w:rsidR="00B23FF6" w:rsidRDefault="00B23FF6" w:rsidP="00B23FF6"/>
          <w:p w14:paraId="54D2F598" w14:textId="38309541" w:rsidR="00B23FF6" w:rsidRDefault="00B23FF6" w:rsidP="00B23FF6">
            <w:r>
              <w:t>Хименолепсиоза</w:t>
            </w:r>
            <w:r>
              <w:rPr>
                <w:vertAlign w:val="superscript"/>
              </w:rPr>
              <w:t>+</w:t>
            </w:r>
          </w:p>
        </w:tc>
        <w:tc>
          <w:tcPr>
            <w:tcW w:w="2375" w:type="dxa"/>
          </w:tcPr>
          <w:p w14:paraId="3C249E3D" w14:textId="4FF51F7A" w:rsidR="00B23FF6" w:rsidRDefault="00B23FF6" w:rsidP="00B23FF6">
            <w:r>
              <w:t>възрастни и деца над 2 години</w:t>
            </w:r>
          </w:p>
        </w:tc>
        <w:tc>
          <w:tcPr>
            <w:tcW w:w="2375" w:type="dxa"/>
          </w:tcPr>
          <w:p w14:paraId="63D751B7" w14:textId="09C56EAE" w:rsidR="00B23FF6" w:rsidRDefault="00B23FF6" w:rsidP="00B23FF6">
            <w:r>
              <w:t xml:space="preserve">400 </w:t>
            </w:r>
            <w:r>
              <w:rPr>
                <w:lang w:val="en-US"/>
              </w:rPr>
              <w:t>mg</w:t>
            </w:r>
          </w:p>
        </w:tc>
        <w:tc>
          <w:tcPr>
            <w:tcW w:w="2375" w:type="dxa"/>
          </w:tcPr>
          <w:p w14:paraId="7633B724" w14:textId="77777777" w:rsidR="00B23FF6" w:rsidRDefault="00B23FF6" w:rsidP="00B23FF6">
            <w:r>
              <w:t>Веднъж дневно в продължение на 3 последователни дни.</w:t>
            </w:r>
          </w:p>
          <w:p w14:paraId="5666C53A" w14:textId="3905C72E" w:rsidR="00B23FF6" w:rsidRDefault="00B23FF6" w:rsidP="00B23FF6">
            <w:r>
              <w:rPr>
                <w:vertAlign w:val="superscript"/>
                <w:lang w:val="en-US"/>
              </w:rPr>
              <w:t>+</w:t>
            </w:r>
            <w:r>
              <w:t>В случаи на доказана хименолепсиоза, се препоръчва повторно лечение за 10 до 21 дни.</w:t>
            </w:r>
          </w:p>
        </w:tc>
      </w:tr>
      <w:tr w:rsidR="00B23FF6" w14:paraId="778C4FFB" w14:textId="77777777" w:rsidTr="00B23FF6">
        <w:tc>
          <w:tcPr>
            <w:tcW w:w="2375" w:type="dxa"/>
          </w:tcPr>
          <w:p w14:paraId="2DB70727" w14:textId="77777777" w:rsidR="00B23FF6" w:rsidRDefault="00B23FF6" w:rsidP="00B23FF6">
            <w:r>
              <w:t>Клонорхоза</w:t>
            </w:r>
          </w:p>
          <w:p w14:paraId="56C5BE20" w14:textId="619A3C08" w:rsidR="00B23FF6" w:rsidRDefault="00B23FF6" w:rsidP="00B23FF6">
            <w:r>
              <w:t>Описторхоза</w:t>
            </w:r>
          </w:p>
        </w:tc>
        <w:tc>
          <w:tcPr>
            <w:tcW w:w="2375" w:type="dxa"/>
          </w:tcPr>
          <w:p w14:paraId="7B1BACA9" w14:textId="74FDE914" w:rsidR="00B23FF6" w:rsidRDefault="00B23FF6" w:rsidP="00B23FF6">
            <w:r>
              <w:t>възрастни и деца над 2 години</w:t>
            </w:r>
          </w:p>
        </w:tc>
        <w:tc>
          <w:tcPr>
            <w:tcW w:w="2375" w:type="dxa"/>
          </w:tcPr>
          <w:p w14:paraId="6FBBC3D5" w14:textId="4BE38CDD" w:rsidR="00B23FF6" w:rsidRDefault="00B23FF6" w:rsidP="00B23FF6">
            <w:r>
              <w:t xml:space="preserve">400 </w:t>
            </w:r>
            <w:r>
              <w:rPr>
                <w:lang w:val="en-US"/>
              </w:rPr>
              <w:t>mg</w:t>
            </w:r>
          </w:p>
        </w:tc>
        <w:tc>
          <w:tcPr>
            <w:tcW w:w="2375" w:type="dxa"/>
          </w:tcPr>
          <w:p w14:paraId="1154A6B6" w14:textId="739FEA00" w:rsidR="00B23FF6" w:rsidRDefault="00B23FF6" w:rsidP="00B23FF6">
            <w:r>
              <w:t>Два пъти дневно в продължение на 3 дни.</w:t>
            </w:r>
          </w:p>
        </w:tc>
      </w:tr>
      <w:tr w:rsidR="00B23FF6" w14:paraId="0373C2A8" w14:textId="77777777" w:rsidTr="00B23FF6">
        <w:tc>
          <w:tcPr>
            <w:tcW w:w="2375" w:type="dxa"/>
          </w:tcPr>
          <w:p w14:paraId="5CE55568" w14:textId="58E0FB88" w:rsidR="00B23FF6" w:rsidRDefault="00B23FF6" w:rsidP="00B23FF6">
            <w:r>
              <w:t>Кожна ларва мигранс</w:t>
            </w:r>
          </w:p>
        </w:tc>
        <w:tc>
          <w:tcPr>
            <w:tcW w:w="2375" w:type="dxa"/>
          </w:tcPr>
          <w:p w14:paraId="650A4F1F" w14:textId="4A1E8239" w:rsidR="00B23FF6" w:rsidRDefault="00B23FF6" w:rsidP="00B23FF6">
            <w:r>
              <w:t>възрастни и деца над 2 години</w:t>
            </w:r>
          </w:p>
        </w:tc>
        <w:tc>
          <w:tcPr>
            <w:tcW w:w="2375" w:type="dxa"/>
          </w:tcPr>
          <w:p w14:paraId="578A3805" w14:textId="0F769B2D" w:rsidR="00B23FF6" w:rsidRDefault="00B23FF6" w:rsidP="00B23FF6">
            <w:r>
              <w:rPr>
                <w:lang w:val="en-US"/>
              </w:rPr>
              <w:t>400 mg</w:t>
            </w:r>
          </w:p>
        </w:tc>
        <w:tc>
          <w:tcPr>
            <w:tcW w:w="2375" w:type="dxa"/>
          </w:tcPr>
          <w:p w14:paraId="6C93F6E6" w14:textId="542BD85A" w:rsidR="00B23FF6" w:rsidRDefault="00B23FF6" w:rsidP="00B23FF6">
            <w:r>
              <w:t>Веднъж дневно в продължение на 1 до 3 дни.</w:t>
            </w:r>
          </w:p>
        </w:tc>
      </w:tr>
      <w:tr w:rsidR="00B23FF6" w14:paraId="0E958C56" w14:textId="77777777" w:rsidTr="00B23FF6">
        <w:tc>
          <w:tcPr>
            <w:tcW w:w="2375" w:type="dxa"/>
          </w:tcPr>
          <w:p w14:paraId="0AFF4621" w14:textId="3117C7B8" w:rsidR="00B23FF6" w:rsidRDefault="00B23FF6" w:rsidP="00B23FF6">
            <w:r>
              <w:t>Жирардиаза (ламблиоза)</w:t>
            </w:r>
          </w:p>
        </w:tc>
        <w:tc>
          <w:tcPr>
            <w:tcW w:w="2375" w:type="dxa"/>
          </w:tcPr>
          <w:p w14:paraId="7E322212" w14:textId="78559B35" w:rsidR="00B23FF6" w:rsidRDefault="00B23FF6" w:rsidP="00B23FF6">
            <w:r>
              <w:t>само за деца от 2 до 12 години</w:t>
            </w:r>
          </w:p>
        </w:tc>
        <w:tc>
          <w:tcPr>
            <w:tcW w:w="2375" w:type="dxa"/>
          </w:tcPr>
          <w:p w14:paraId="645214AF" w14:textId="07303765" w:rsidR="00B23FF6" w:rsidRDefault="00B23FF6" w:rsidP="00B23FF6">
            <w:r>
              <w:rPr>
                <w:lang w:val="en-US"/>
              </w:rPr>
              <w:t>400 mg</w:t>
            </w:r>
          </w:p>
        </w:tc>
        <w:tc>
          <w:tcPr>
            <w:tcW w:w="2375" w:type="dxa"/>
          </w:tcPr>
          <w:p w14:paraId="3BF05910" w14:textId="5FC9C9F9" w:rsidR="00B23FF6" w:rsidRDefault="00B23FF6" w:rsidP="00B23FF6">
            <w:r>
              <w:t>Веднъж дневно в продължение на 5 дни.</w:t>
            </w:r>
          </w:p>
        </w:tc>
      </w:tr>
    </w:tbl>
    <w:p w14:paraId="16EB90D2" w14:textId="738FAF8F" w:rsidR="00B23FF6" w:rsidRDefault="00B23FF6" w:rsidP="00B23FF6"/>
    <w:p w14:paraId="30092FC2"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Пациенти в старческа възраст</w:t>
      </w:r>
    </w:p>
    <w:p w14:paraId="6B7A00F6"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 xml:space="preserve">Опитът при пациенти на възраст на и над 65 години е ограничен. Данните показват, че не е необходимо коригиране на дозата, все пак, албендазол трябва да се прилага с </w:t>
      </w:r>
      <w:r w:rsidRPr="00B23FF6">
        <w:rPr>
          <w:rFonts w:eastAsia="Times New Roman" w:cs="Arial"/>
          <w:color w:val="000000"/>
          <w:lang w:eastAsia="bg-BG"/>
        </w:rPr>
        <w:lastRenderedPageBreak/>
        <w:t>внимание при пациенти в старческа възраст с данни за чернодробна дисфункция (вж. Чернодробно увреждане и точка 5.2).</w:t>
      </w:r>
    </w:p>
    <w:p w14:paraId="2AB37B93" w14:textId="77777777" w:rsidR="00B23FF6" w:rsidRPr="00B23FF6" w:rsidRDefault="00B23FF6" w:rsidP="00B23FF6">
      <w:pPr>
        <w:spacing w:line="240" w:lineRule="auto"/>
        <w:rPr>
          <w:rFonts w:eastAsia="Times New Roman" w:cs="Arial"/>
          <w:color w:val="000000"/>
          <w:u w:val="single"/>
          <w:lang w:eastAsia="bg-BG"/>
        </w:rPr>
      </w:pPr>
    </w:p>
    <w:p w14:paraId="4283D541" w14:textId="1E0E6E8B"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Бъбречно увреждане</w:t>
      </w:r>
    </w:p>
    <w:p w14:paraId="5698EA11"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Тъй като бъбречното елиминиране на албендазол и на основния му метаболит - албендазол сулфоксид е незначително, е малко вероятно клирънсът на тези вещества да се промени при такива пациенти. Не е необходимо коригиране на дозата, но пациентите с данни за бъбречно увреждане трябва внимателно да се проследяват.</w:t>
      </w:r>
    </w:p>
    <w:p w14:paraId="71BD0DE0" w14:textId="77777777" w:rsidR="00B23FF6" w:rsidRPr="00B23FF6" w:rsidRDefault="00B23FF6" w:rsidP="00B23FF6">
      <w:pPr>
        <w:spacing w:line="240" w:lineRule="auto"/>
        <w:rPr>
          <w:rFonts w:eastAsia="Times New Roman" w:cs="Arial"/>
          <w:color w:val="000000"/>
          <w:u w:val="single"/>
          <w:lang w:eastAsia="bg-BG"/>
        </w:rPr>
      </w:pPr>
    </w:p>
    <w:p w14:paraId="435864A5" w14:textId="42988F44"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Чернодробно увреждане</w:t>
      </w:r>
    </w:p>
    <w:p w14:paraId="3119D8F2"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Тъй като албендазол се метаболизира бързо в черния дроб до основния фармакологично активен метаболит - албендазол сулфоксид, се очаква чернодробното увреждане да има значителни ефекти върху фармакокинетиката на албендазол сулфоксид. Пациенти, които преди започване на лечение с албендазол са имали отклонения в резултатите на показателите от чернодробните функционални изследвания (трансаминази), трябва внимателно да се проследяват.</w:t>
      </w:r>
    </w:p>
    <w:p w14:paraId="74126A2C" w14:textId="77777777" w:rsidR="00B23FF6" w:rsidRPr="00B23FF6" w:rsidRDefault="00B23FF6" w:rsidP="00B23FF6">
      <w:pPr>
        <w:spacing w:line="240" w:lineRule="auto"/>
        <w:rPr>
          <w:rFonts w:eastAsia="Times New Roman" w:cs="Arial"/>
          <w:b/>
          <w:bCs/>
          <w:color w:val="000000"/>
          <w:lang w:eastAsia="bg-BG"/>
        </w:rPr>
      </w:pPr>
    </w:p>
    <w:p w14:paraId="47A48EEF" w14:textId="7CCA32F9"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Системни хелмннтни инфекции</w:t>
      </w:r>
    </w:p>
    <w:p w14:paraId="297C8091" w14:textId="77777777" w:rsidR="00B23FF6" w:rsidRPr="00B23FF6" w:rsidRDefault="00B23FF6" w:rsidP="00B23FF6">
      <w:pPr>
        <w:spacing w:line="240" w:lineRule="auto"/>
        <w:rPr>
          <w:rFonts w:eastAsia="Times New Roman" w:cs="Arial"/>
          <w:color w:val="000000"/>
          <w:lang w:eastAsia="bg-BG"/>
        </w:rPr>
      </w:pPr>
    </w:p>
    <w:p w14:paraId="0F0C4A8F" w14:textId="01801399"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Албендазол трябва да се приема по време на хранене (вж. точка 5.2).</w:t>
      </w:r>
    </w:p>
    <w:p w14:paraId="13BE2217" w14:textId="77777777" w:rsidR="00B23FF6" w:rsidRPr="00B23FF6" w:rsidRDefault="00B23FF6" w:rsidP="00B23FF6">
      <w:pPr>
        <w:spacing w:line="240" w:lineRule="auto"/>
        <w:rPr>
          <w:rFonts w:eastAsia="Times New Roman" w:cs="Arial"/>
          <w:color w:val="000000"/>
          <w:lang w:eastAsia="bg-BG"/>
        </w:rPr>
      </w:pPr>
    </w:p>
    <w:p w14:paraId="6594FA5B" w14:textId="285D060E"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Понастоящем опитът с приложението на албендазол във високи дози при деца под 6-годишна възраст е ограничен. По тази причина приложение при тази възрастова група не се препоръ</w:t>
      </w:r>
      <w:r w:rsidRPr="00B23FF6">
        <w:rPr>
          <w:rFonts w:eastAsia="Times New Roman" w:cs="Arial"/>
          <w:color w:val="000000"/>
          <w:u w:val="single"/>
          <w:lang w:eastAsia="bg-BG"/>
        </w:rPr>
        <w:t>чва.</w:t>
      </w:r>
    </w:p>
    <w:p w14:paraId="1381C944" w14:textId="77777777" w:rsidR="00B23FF6" w:rsidRPr="00B23FF6" w:rsidRDefault="00B23FF6" w:rsidP="00B23FF6">
      <w:pPr>
        <w:spacing w:line="240" w:lineRule="auto"/>
        <w:rPr>
          <w:rFonts w:eastAsia="Times New Roman" w:cs="Arial"/>
          <w:color w:val="000000"/>
          <w:lang w:eastAsia="bg-BG"/>
        </w:rPr>
      </w:pPr>
    </w:p>
    <w:p w14:paraId="1E7BC449" w14:textId="77777777" w:rsidR="00B23FF6" w:rsidRPr="00B23FF6" w:rsidRDefault="00B23FF6" w:rsidP="00B23FF6">
      <w:pPr>
        <w:rPr>
          <w:rFonts w:eastAsia="Times New Roman" w:cs="Arial"/>
          <w:sz w:val="24"/>
          <w:szCs w:val="24"/>
          <w:lang w:eastAsia="bg-BG"/>
        </w:rPr>
      </w:pPr>
      <w:r w:rsidRPr="00B23FF6">
        <w:rPr>
          <w:rFonts w:eastAsia="Times New Roman" w:cs="Arial"/>
          <w:color w:val="000000"/>
          <w:lang w:eastAsia="bg-BG"/>
        </w:rPr>
        <w:t>Някои хора, особено малки деца, могат да изпитат затруднение при поглъщане на таблетките цели и трябва да се насърчават да сдъвчат таблетките с малко вода, алтернативно таблетките могат да се</w:t>
      </w:r>
      <w:r w:rsidRPr="00B23FF6">
        <w:rPr>
          <w:rFonts w:eastAsia="Times New Roman" w:cs="Arial"/>
          <w:color w:val="000000"/>
          <w:lang w:val="en-US" w:eastAsia="bg-BG"/>
        </w:rPr>
        <w:t xml:space="preserve"> </w:t>
      </w:r>
      <w:r w:rsidRPr="00B23FF6">
        <w:rPr>
          <w:rFonts w:eastAsia="Times New Roman" w:cs="Arial"/>
          <w:color w:val="000000"/>
          <w:lang w:eastAsia="bg-BG"/>
        </w:rPr>
        <w:t>натрошат.</w:t>
      </w:r>
    </w:p>
    <w:p w14:paraId="083F62AF" w14:textId="77777777" w:rsidR="00B23FF6" w:rsidRPr="00B23FF6" w:rsidRDefault="00B23FF6" w:rsidP="00B23FF6">
      <w:pPr>
        <w:spacing w:line="240" w:lineRule="auto"/>
        <w:rPr>
          <w:rFonts w:eastAsia="Times New Roman" w:cs="Arial"/>
          <w:color w:val="000000"/>
          <w:lang w:eastAsia="bg-BG"/>
        </w:rPr>
      </w:pPr>
    </w:p>
    <w:p w14:paraId="1F556DEC" w14:textId="45667FBE" w:rsidR="00B23FF6" w:rsidRPr="00B23FF6" w:rsidRDefault="00B23FF6" w:rsidP="00B23FF6">
      <w:pPr>
        <w:spacing w:line="240" w:lineRule="auto"/>
        <w:rPr>
          <w:rFonts w:eastAsia="Times New Roman" w:cs="Arial"/>
          <w:sz w:val="24"/>
          <w:szCs w:val="24"/>
          <w:lang w:val="en-US" w:eastAsia="bg-BG"/>
        </w:rPr>
      </w:pPr>
      <w:r w:rsidRPr="00B23FF6">
        <w:rPr>
          <w:rFonts w:eastAsia="Times New Roman" w:cs="Arial"/>
          <w:color w:val="000000"/>
          <w:lang w:eastAsia="bg-BG"/>
        </w:rPr>
        <w:t>Дозите зависят от вида на паразита, телесното тегло на пациента и тежестта на инфекцията:</w:t>
      </w:r>
    </w:p>
    <w:p w14:paraId="6A4F051F" w14:textId="2E479190" w:rsidR="00B23FF6" w:rsidRDefault="00B23FF6" w:rsidP="00B23FF6"/>
    <w:tbl>
      <w:tblPr>
        <w:tblStyle w:val="TableGrid"/>
        <w:tblW w:w="0" w:type="auto"/>
        <w:tblLook w:val="04A0" w:firstRow="1" w:lastRow="0" w:firstColumn="1" w:lastColumn="0" w:noHBand="0" w:noVBand="1"/>
      </w:tblPr>
      <w:tblGrid>
        <w:gridCol w:w="2372"/>
        <w:gridCol w:w="2294"/>
        <w:gridCol w:w="2316"/>
        <w:gridCol w:w="2368"/>
      </w:tblGrid>
      <w:tr w:rsidR="00B23FF6" w14:paraId="47BB3494" w14:textId="77777777" w:rsidTr="008F257F">
        <w:tc>
          <w:tcPr>
            <w:tcW w:w="2375" w:type="dxa"/>
          </w:tcPr>
          <w:p w14:paraId="01A2DDCC" w14:textId="30C451F1" w:rsidR="00B23FF6" w:rsidRDefault="00B23FF6" w:rsidP="00B23FF6">
            <w:r>
              <w:rPr>
                <w:b/>
                <w:bCs/>
              </w:rPr>
              <w:t>Инфекция</w:t>
            </w:r>
          </w:p>
        </w:tc>
        <w:tc>
          <w:tcPr>
            <w:tcW w:w="2375" w:type="dxa"/>
            <w:vAlign w:val="bottom"/>
          </w:tcPr>
          <w:p w14:paraId="60238A16" w14:textId="76884DC2" w:rsidR="00B23FF6" w:rsidRDefault="00B23FF6" w:rsidP="00B23FF6">
            <w:r>
              <w:rPr>
                <w:b/>
                <w:bCs/>
              </w:rPr>
              <w:t>Телесно тегло на пациента</w:t>
            </w:r>
          </w:p>
        </w:tc>
        <w:tc>
          <w:tcPr>
            <w:tcW w:w="2375" w:type="dxa"/>
          </w:tcPr>
          <w:p w14:paraId="4E7569ED" w14:textId="661C090E" w:rsidR="00B23FF6" w:rsidRDefault="00B23FF6" w:rsidP="00B23FF6">
            <w:r>
              <w:rPr>
                <w:b/>
                <w:bCs/>
              </w:rPr>
              <w:t>Доза</w:t>
            </w:r>
          </w:p>
        </w:tc>
        <w:tc>
          <w:tcPr>
            <w:tcW w:w="2375" w:type="dxa"/>
          </w:tcPr>
          <w:p w14:paraId="096D78AD" w14:textId="5C944868" w:rsidR="00B23FF6" w:rsidRDefault="00B23FF6" w:rsidP="00B23FF6">
            <w:r>
              <w:rPr>
                <w:b/>
                <w:bCs/>
              </w:rPr>
              <w:t>Продължителност на лечението</w:t>
            </w:r>
          </w:p>
        </w:tc>
      </w:tr>
      <w:tr w:rsidR="00B23FF6" w14:paraId="68C64648" w14:textId="77777777" w:rsidTr="008F257F">
        <w:tc>
          <w:tcPr>
            <w:tcW w:w="2375" w:type="dxa"/>
            <w:vMerge w:val="restart"/>
          </w:tcPr>
          <w:p w14:paraId="73DCE04A" w14:textId="3FAAB451" w:rsidR="00B23FF6" w:rsidRDefault="00B23FF6" w:rsidP="00B23FF6">
            <w:r>
              <w:t>Кистозна ехинококоза</w:t>
            </w:r>
          </w:p>
        </w:tc>
        <w:tc>
          <w:tcPr>
            <w:tcW w:w="2375" w:type="dxa"/>
          </w:tcPr>
          <w:p w14:paraId="7B955E81" w14:textId="12D46EE8" w:rsidR="00B23FF6" w:rsidRDefault="00B23FF6" w:rsidP="00B23FF6">
            <w:r>
              <w:t xml:space="preserve">&gt; 60 </w:t>
            </w:r>
            <w:r>
              <w:rPr>
                <w:lang w:val="en-US"/>
              </w:rPr>
              <w:t>kg</w:t>
            </w:r>
          </w:p>
        </w:tc>
        <w:tc>
          <w:tcPr>
            <w:tcW w:w="2375" w:type="dxa"/>
            <w:vAlign w:val="bottom"/>
          </w:tcPr>
          <w:p w14:paraId="2C578329" w14:textId="7AAF67D6" w:rsidR="00B23FF6" w:rsidRDefault="00B23FF6" w:rsidP="00B23FF6">
            <w:r>
              <w:t xml:space="preserve">800 </w:t>
            </w:r>
            <w:r>
              <w:rPr>
                <w:lang w:val="en-US"/>
              </w:rPr>
              <w:t xml:space="preserve">mg, </w:t>
            </w:r>
            <w:r>
              <w:t xml:space="preserve">приложени като две отделни дози по 400 </w:t>
            </w:r>
            <w:r>
              <w:rPr>
                <w:lang w:val="en-US"/>
              </w:rPr>
              <w:t>mg.</w:t>
            </w:r>
          </w:p>
        </w:tc>
        <w:tc>
          <w:tcPr>
            <w:tcW w:w="2375" w:type="dxa"/>
            <w:vMerge w:val="restart"/>
          </w:tcPr>
          <w:p w14:paraId="344F7EF5" w14:textId="362F675E" w:rsidR="00B23FF6" w:rsidRDefault="00B23FF6" w:rsidP="00B23FF6">
            <w:r>
              <w:t>Всеки ден в продължение на 28 дни. Лечение за 28 дни може да се повтори след 14-дневен период без лечение, за общо три курса на лечение.</w:t>
            </w:r>
          </w:p>
        </w:tc>
      </w:tr>
      <w:tr w:rsidR="00B23FF6" w14:paraId="634938A6" w14:textId="77777777" w:rsidTr="008F257F">
        <w:tc>
          <w:tcPr>
            <w:tcW w:w="2375" w:type="dxa"/>
            <w:vMerge/>
          </w:tcPr>
          <w:p w14:paraId="19832AB9" w14:textId="77777777" w:rsidR="00B23FF6" w:rsidRDefault="00B23FF6" w:rsidP="00B23FF6"/>
        </w:tc>
        <w:tc>
          <w:tcPr>
            <w:tcW w:w="2375" w:type="dxa"/>
          </w:tcPr>
          <w:p w14:paraId="580ACAA1" w14:textId="539D46E8" w:rsidR="00B23FF6" w:rsidRDefault="00B23FF6" w:rsidP="00B23FF6">
            <w:r>
              <w:t xml:space="preserve">&lt;60 </w:t>
            </w:r>
            <w:r>
              <w:rPr>
                <w:lang w:val="en-US"/>
              </w:rPr>
              <w:t>kg</w:t>
            </w:r>
          </w:p>
        </w:tc>
        <w:tc>
          <w:tcPr>
            <w:tcW w:w="2375" w:type="dxa"/>
            <w:vAlign w:val="bottom"/>
          </w:tcPr>
          <w:p w14:paraId="310C7102" w14:textId="53B6103E"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4558307E" w14:textId="77777777" w:rsidR="00B23FF6" w:rsidRDefault="00B23FF6" w:rsidP="00B23FF6"/>
        </w:tc>
      </w:tr>
      <w:tr w:rsidR="00B23FF6" w14:paraId="3B581B26" w14:textId="77777777" w:rsidTr="008F257F">
        <w:tc>
          <w:tcPr>
            <w:tcW w:w="2375" w:type="dxa"/>
          </w:tcPr>
          <w:p w14:paraId="0B0F2135" w14:textId="0A99EBD3" w:rsidR="00B23FF6" w:rsidRDefault="00B23FF6" w:rsidP="00B23FF6">
            <w:r>
              <w:rPr>
                <w:i/>
                <w:iCs/>
              </w:rPr>
              <w:t>- Неоперабилни и множествени кисти</w:t>
            </w:r>
          </w:p>
        </w:tc>
        <w:tc>
          <w:tcPr>
            <w:tcW w:w="2375" w:type="dxa"/>
          </w:tcPr>
          <w:p w14:paraId="5E79AD1E" w14:textId="77777777" w:rsidR="00B23FF6" w:rsidRDefault="00B23FF6" w:rsidP="00B23FF6"/>
        </w:tc>
        <w:tc>
          <w:tcPr>
            <w:tcW w:w="2375" w:type="dxa"/>
          </w:tcPr>
          <w:p w14:paraId="7CF340F2" w14:textId="77777777" w:rsidR="00B23FF6" w:rsidRDefault="00B23FF6" w:rsidP="00B23FF6"/>
        </w:tc>
        <w:tc>
          <w:tcPr>
            <w:tcW w:w="2375" w:type="dxa"/>
            <w:vAlign w:val="bottom"/>
          </w:tcPr>
          <w:p w14:paraId="1B0F7715" w14:textId="4DF8B433" w:rsidR="00B23FF6" w:rsidRDefault="00B23FF6" w:rsidP="00B23FF6">
            <w:r>
              <w:t xml:space="preserve">За лечение на чернодробни, белодробни и перитонеални кисти могат да бъдат назначени до три </w:t>
            </w:r>
            <w:r>
              <w:lastRenderedPageBreak/>
              <w:t>28-дневни курса на лечение с албендазол. За кисти в костите и мозъка може да се изисква по-продължително лечение.</w:t>
            </w:r>
          </w:p>
        </w:tc>
      </w:tr>
      <w:tr w:rsidR="00B23FF6" w14:paraId="1796B6F3" w14:textId="77777777" w:rsidTr="008F257F">
        <w:tc>
          <w:tcPr>
            <w:tcW w:w="2375" w:type="dxa"/>
          </w:tcPr>
          <w:p w14:paraId="3E165553" w14:textId="5925EB5B" w:rsidR="00B23FF6" w:rsidRDefault="00B23FF6" w:rsidP="00B23FF6">
            <w:r>
              <w:rPr>
                <w:i/>
                <w:iCs/>
              </w:rPr>
              <w:lastRenderedPageBreak/>
              <w:t>- Преди хирургическа интервенция</w:t>
            </w:r>
          </w:p>
        </w:tc>
        <w:tc>
          <w:tcPr>
            <w:tcW w:w="2375" w:type="dxa"/>
          </w:tcPr>
          <w:p w14:paraId="79D426CB" w14:textId="77777777" w:rsidR="00B23FF6" w:rsidRDefault="00B23FF6" w:rsidP="00B23FF6"/>
        </w:tc>
        <w:tc>
          <w:tcPr>
            <w:tcW w:w="2375" w:type="dxa"/>
          </w:tcPr>
          <w:p w14:paraId="5AE12B30" w14:textId="77777777" w:rsidR="00B23FF6" w:rsidRDefault="00B23FF6" w:rsidP="00B23FF6"/>
        </w:tc>
        <w:tc>
          <w:tcPr>
            <w:tcW w:w="2375" w:type="dxa"/>
            <w:vAlign w:val="bottom"/>
          </w:tcPr>
          <w:p w14:paraId="0B42AA94" w14:textId="1EC2F24E" w:rsidR="00B23FF6" w:rsidRDefault="00B23FF6" w:rsidP="00B23FF6">
            <w:r>
              <w:t>Преди хирургическа интервенция, когато е възможно, трябва да се проведат два 28-дневни курса на лечение. Ако е необходима хирургическа интервенция преди завършване на двата курса, албендазол трябва да се прилага възможно най-дълго.</w:t>
            </w:r>
          </w:p>
        </w:tc>
      </w:tr>
      <w:tr w:rsidR="00B23FF6" w14:paraId="66E559CC" w14:textId="77777777" w:rsidTr="008F257F">
        <w:tc>
          <w:tcPr>
            <w:tcW w:w="2375" w:type="dxa"/>
          </w:tcPr>
          <w:p w14:paraId="37D6518F" w14:textId="77777777" w:rsidR="00B23FF6" w:rsidRDefault="00B23FF6" w:rsidP="00B23FF6">
            <w:r>
              <w:rPr>
                <w:i/>
                <w:iCs/>
              </w:rPr>
              <w:t>- Следоперативно</w:t>
            </w:r>
          </w:p>
          <w:p w14:paraId="0BF55130" w14:textId="3403AFC5" w:rsidR="00B23FF6" w:rsidRDefault="00B23FF6" w:rsidP="00B23FF6">
            <w:r>
              <w:rPr>
                <w:i/>
                <w:iCs/>
              </w:rPr>
              <w:t>- След перкутанен дренаж на киста</w:t>
            </w:r>
          </w:p>
        </w:tc>
        <w:tc>
          <w:tcPr>
            <w:tcW w:w="2375" w:type="dxa"/>
          </w:tcPr>
          <w:p w14:paraId="5D3847CC" w14:textId="77777777" w:rsidR="00B23FF6" w:rsidRDefault="00B23FF6" w:rsidP="00B23FF6"/>
        </w:tc>
        <w:tc>
          <w:tcPr>
            <w:tcW w:w="2375" w:type="dxa"/>
          </w:tcPr>
          <w:p w14:paraId="53274123" w14:textId="77777777" w:rsidR="00B23FF6" w:rsidRDefault="00B23FF6" w:rsidP="00B23FF6"/>
        </w:tc>
        <w:tc>
          <w:tcPr>
            <w:tcW w:w="2375" w:type="dxa"/>
            <w:vAlign w:val="bottom"/>
          </w:tcPr>
          <w:p w14:paraId="0C7AE3B9" w14:textId="77777777" w:rsidR="00B23FF6" w:rsidRDefault="00B23FF6" w:rsidP="00B23FF6">
            <w:r>
              <w:t>Когато преди хирургическата интервенция е проведен само кратък курс на лечение (по-малко от 14 дни) и в случаите, когато е необходима спешна хирургическа интервенция, албендазол трябва да се прилага следоперативно като два 28-дневни курса, разделени от 14 дни без прием на албендазол.</w:t>
            </w:r>
          </w:p>
          <w:p w14:paraId="23FAC85D" w14:textId="617EEACD" w:rsidR="00B23FF6" w:rsidRDefault="00B23FF6" w:rsidP="00B23FF6">
            <w:r>
              <w:t>Освен това, когато е установено, че кистите са жизнеспособни след предопреративно лече</w:t>
            </w:r>
            <w:r>
              <w:rPr>
                <w:u w:val="single"/>
              </w:rPr>
              <w:t>ние ил</w:t>
            </w:r>
            <w:r>
              <w:t xml:space="preserve">и когато </w:t>
            </w:r>
            <w:r>
              <w:lastRenderedPageBreak/>
              <w:t>кистата се спука, трябва да бъдат проведени два пълни курса на лечение</w:t>
            </w:r>
          </w:p>
        </w:tc>
      </w:tr>
      <w:tr w:rsidR="00B23FF6" w14:paraId="0AF649A0" w14:textId="77777777" w:rsidTr="00B23FF6">
        <w:tc>
          <w:tcPr>
            <w:tcW w:w="2375" w:type="dxa"/>
            <w:vMerge w:val="restart"/>
          </w:tcPr>
          <w:p w14:paraId="07B2C1ED" w14:textId="54AAA0EA" w:rsidR="00B23FF6" w:rsidRDefault="00B23FF6" w:rsidP="00B23FF6">
            <w:r>
              <w:lastRenderedPageBreak/>
              <w:t>Алвеоларна ехинококоза</w:t>
            </w:r>
            <w:r>
              <w:rPr>
                <w:vertAlign w:val="superscript"/>
              </w:rPr>
              <w:t>+</w:t>
            </w:r>
          </w:p>
        </w:tc>
        <w:tc>
          <w:tcPr>
            <w:tcW w:w="2375" w:type="dxa"/>
          </w:tcPr>
          <w:p w14:paraId="6FC65A44" w14:textId="30EC1F3B" w:rsidR="00B23FF6" w:rsidRDefault="00B23FF6" w:rsidP="00B23FF6">
            <w:r>
              <w:t xml:space="preserve">&gt; 60 </w:t>
            </w:r>
            <w:r>
              <w:rPr>
                <w:lang w:val="en-US"/>
              </w:rPr>
              <w:t>kg</w:t>
            </w:r>
          </w:p>
        </w:tc>
        <w:tc>
          <w:tcPr>
            <w:tcW w:w="2375" w:type="dxa"/>
          </w:tcPr>
          <w:p w14:paraId="2781D33F" w14:textId="6D76D553" w:rsidR="00B23FF6" w:rsidRDefault="00B23FF6" w:rsidP="00B23FF6">
            <w:r>
              <w:rPr>
                <w:lang w:val="en-US"/>
              </w:rPr>
              <w:t xml:space="preserve">800 mg, </w:t>
            </w:r>
            <w:r>
              <w:t>приложени като две равни дози.</w:t>
            </w:r>
          </w:p>
        </w:tc>
        <w:tc>
          <w:tcPr>
            <w:tcW w:w="2375" w:type="dxa"/>
            <w:vMerge w:val="restart"/>
          </w:tcPr>
          <w:p w14:paraId="02E2C884" w14:textId="77777777" w:rsidR="00B23FF6" w:rsidRDefault="00B23FF6" w:rsidP="00B23FF6">
            <w:r>
              <w:t>Всеки ден в продължение на 28 дни. Курс на лечение за 28 дни може да бъде повторено след 14-дневен период без лечение.</w:t>
            </w:r>
          </w:p>
          <w:p w14:paraId="3A91EB22" w14:textId="51333111" w:rsidR="00B23FF6" w:rsidRDefault="00B23FF6" w:rsidP="00B23FF6">
            <w:r>
              <w:t>Може да е необходимо лечението да продължи месеци или години. Продължително лечение със същатата доза е прилагано за периоди до 20 месеца.</w:t>
            </w:r>
            <w:r>
              <w:rPr>
                <w:vertAlign w:val="superscript"/>
              </w:rPr>
              <w:t>+</w:t>
            </w:r>
          </w:p>
        </w:tc>
      </w:tr>
      <w:tr w:rsidR="00B23FF6" w14:paraId="76FAB5D0" w14:textId="77777777" w:rsidTr="00B23FF6">
        <w:tc>
          <w:tcPr>
            <w:tcW w:w="2375" w:type="dxa"/>
            <w:vMerge/>
          </w:tcPr>
          <w:p w14:paraId="25734389" w14:textId="77777777" w:rsidR="00B23FF6" w:rsidRDefault="00B23FF6" w:rsidP="00B23FF6"/>
        </w:tc>
        <w:tc>
          <w:tcPr>
            <w:tcW w:w="2375" w:type="dxa"/>
          </w:tcPr>
          <w:p w14:paraId="51F2B264" w14:textId="33EE2D19" w:rsidR="00B23FF6" w:rsidRDefault="00B23FF6" w:rsidP="00B23FF6">
            <w:r>
              <w:t xml:space="preserve">&lt;60 </w:t>
            </w:r>
            <w:r>
              <w:rPr>
                <w:lang w:val="en-US"/>
              </w:rPr>
              <w:t>kg</w:t>
            </w:r>
          </w:p>
        </w:tc>
        <w:tc>
          <w:tcPr>
            <w:tcW w:w="2375" w:type="dxa"/>
          </w:tcPr>
          <w:p w14:paraId="66B27513" w14:textId="5344F358"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6742566E" w14:textId="77777777" w:rsidR="00B23FF6" w:rsidRDefault="00B23FF6" w:rsidP="00B23FF6"/>
        </w:tc>
      </w:tr>
      <w:tr w:rsidR="00B23FF6" w14:paraId="6F91FD50" w14:textId="77777777" w:rsidTr="00B23FF6">
        <w:tc>
          <w:tcPr>
            <w:tcW w:w="2375" w:type="dxa"/>
            <w:vMerge w:val="restart"/>
          </w:tcPr>
          <w:p w14:paraId="173859F4" w14:textId="77777777" w:rsidR="00B23FF6" w:rsidRDefault="00B23FF6" w:rsidP="00B23FF6">
            <w:r>
              <w:t>Невроцистицеркоза</w:t>
            </w:r>
            <w:r>
              <w:rPr>
                <w:vertAlign w:val="superscript"/>
              </w:rPr>
              <w:t>±</w:t>
            </w:r>
          </w:p>
          <w:p w14:paraId="0B1DF66F" w14:textId="77777777" w:rsidR="00B23FF6" w:rsidRDefault="00B23FF6" w:rsidP="00B23FF6"/>
        </w:tc>
        <w:tc>
          <w:tcPr>
            <w:tcW w:w="2375" w:type="dxa"/>
          </w:tcPr>
          <w:p w14:paraId="1783BC32" w14:textId="67DF9717" w:rsidR="00B23FF6" w:rsidRDefault="00B23FF6" w:rsidP="00B23FF6">
            <w:r>
              <w:t xml:space="preserve">&gt; 60 </w:t>
            </w:r>
            <w:r>
              <w:rPr>
                <w:lang w:val="en-US"/>
              </w:rPr>
              <w:t>kg</w:t>
            </w:r>
          </w:p>
        </w:tc>
        <w:tc>
          <w:tcPr>
            <w:tcW w:w="2375" w:type="dxa"/>
          </w:tcPr>
          <w:p w14:paraId="33D782A9" w14:textId="07B44911" w:rsidR="00B23FF6" w:rsidRDefault="00B23FF6" w:rsidP="00B23FF6">
            <w:r>
              <w:t xml:space="preserve">800 </w:t>
            </w:r>
            <w:r>
              <w:rPr>
                <w:lang w:val="en-US"/>
              </w:rPr>
              <w:t xml:space="preserve">mg, </w:t>
            </w:r>
            <w:r>
              <w:t>приложени като две равни дози.</w:t>
            </w:r>
          </w:p>
        </w:tc>
        <w:tc>
          <w:tcPr>
            <w:tcW w:w="2375" w:type="dxa"/>
            <w:vMerge w:val="restart"/>
          </w:tcPr>
          <w:p w14:paraId="6DBC6595" w14:textId="2A63C062" w:rsidR="00B23FF6" w:rsidRDefault="00B23FF6" w:rsidP="00B23FF6">
            <w:r>
              <w:t>Всеки ден в продължение на 7 до 30 дни, в зависимост от отговора. Може да бъде назначен втори курс на лечение с двуседмичен интервал между дозовите режими.</w:t>
            </w:r>
          </w:p>
        </w:tc>
      </w:tr>
      <w:tr w:rsidR="00B23FF6" w14:paraId="58C9A9E9" w14:textId="77777777" w:rsidTr="00B23FF6">
        <w:tc>
          <w:tcPr>
            <w:tcW w:w="2375" w:type="dxa"/>
            <w:vMerge/>
          </w:tcPr>
          <w:p w14:paraId="4EAFCD63" w14:textId="77777777" w:rsidR="00B23FF6" w:rsidRDefault="00B23FF6" w:rsidP="00B23FF6"/>
        </w:tc>
        <w:tc>
          <w:tcPr>
            <w:tcW w:w="2375" w:type="dxa"/>
          </w:tcPr>
          <w:p w14:paraId="49673B63" w14:textId="4FD833B6" w:rsidR="00B23FF6" w:rsidRDefault="00B23FF6" w:rsidP="00B23FF6">
            <w:r>
              <w:t xml:space="preserve">&lt; 60 </w:t>
            </w:r>
            <w:r>
              <w:rPr>
                <w:lang w:val="en-US"/>
              </w:rPr>
              <w:t>kg</w:t>
            </w:r>
          </w:p>
        </w:tc>
        <w:tc>
          <w:tcPr>
            <w:tcW w:w="2375" w:type="dxa"/>
          </w:tcPr>
          <w:p w14:paraId="185E1870" w14:textId="3444AB3A"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6CDC4180" w14:textId="77777777" w:rsidR="00B23FF6" w:rsidRDefault="00B23FF6" w:rsidP="00B23FF6"/>
        </w:tc>
      </w:tr>
      <w:tr w:rsidR="00B23FF6" w14:paraId="5DF5DBD7" w14:textId="77777777" w:rsidTr="00B23FF6">
        <w:tc>
          <w:tcPr>
            <w:tcW w:w="2375" w:type="dxa"/>
            <w:vMerge w:val="restart"/>
          </w:tcPr>
          <w:p w14:paraId="4B882463" w14:textId="4969AF4E" w:rsidR="00B23FF6" w:rsidRDefault="00B23FF6" w:rsidP="00B23FF6">
            <w:r>
              <w:rPr>
                <w:i/>
                <w:iCs/>
              </w:rPr>
              <w:t>- Паренхимни кисти и грануломи</w:t>
            </w:r>
          </w:p>
        </w:tc>
        <w:tc>
          <w:tcPr>
            <w:tcW w:w="2375" w:type="dxa"/>
          </w:tcPr>
          <w:p w14:paraId="40E8D483" w14:textId="76771800" w:rsidR="00B23FF6" w:rsidRDefault="00B23FF6" w:rsidP="00B23FF6">
            <w:r>
              <w:rPr>
                <w:lang w:val="en-US"/>
              </w:rPr>
              <w:t>&gt;60 kg</w:t>
            </w:r>
          </w:p>
        </w:tc>
        <w:tc>
          <w:tcPr>
            <w:tcW w:w="2375" w:type="dxa"/>
          </w:tcPr>
          <w:p w14:paraId="3F2D8AAB" w14:textId="51E0C1F1" w:rsidR="00B23FF6" w:rsidRDefault="00B23FF6" w:rsidP="00B23FF6">
            <w:r>
              <w:t xml:space="preserve">800 </w:t>
            </w:r>
            <w:r>
              <w:rPr>
                <w:lang w:val="en-US"/>
              </w:rPr>
              <w:t xml:space="preserve">mg, </w:t>
            </w:r>
            <w:r>
              <w:t>приложени като две равни дози.</w:t>
            </w:r>
          </w:p>
        </w:tc>
        <w:tc>
          <w:tcPr>
            <w:tcW w:w="2375" w:type="dxa"/>
            <w:vMerge w:val="restart"/>
          </w:tcPr>
          <w:p w14:paraId="512D9D3C" w14:textId="367D23D3" w:rsidR="00B23FF6" w:rsidRDefault="00B23FF6" w:rsidP="00B23FF6">
            <w:r>
              <w:t>Лечението обикновено продължава най-малко 7 до 28 ДНИ.</w:t>
            </w:r>
          </w:p>
        </w:tc>
      </w:tr>
      <w:tr w:rsidR="00B23FF6" w14:paraId="632DE5E5" w14:textId="77777777" w:rsidTr="00B23FF6">
        <w:tc>
          <w:tcPr>
            <w:tcW w:w="2375" w:type="dxa"/>
            <w:vMerge/>
          </w:tcPr>
          <w:p w14:paraId="3BFFA72A" w14:textId="77777777" w:rsidR="00B23FF6" w:rsidRDefault="00B23FF6" w:rsidP="00B23FF6"/>
        </w:tc>
        <w:tc>
          <w:tcPr>
            <w:tcW w:w="2375" w:type="dxa"/>
          </w:tcPr>
          <w:p w14:paraId="59BCCADA" w14:textId="79D4375B" w:rsidR="00B23FF6" w:rsidRDefault="00B23FF6" w:rsidP="00B23FF6">
            <w:r>
              <w:rPr>
                <w:lang w:val="en-US"/>
              </w:rPr>
              <w:t>&lt; 60 kg</w:t>
            </w:r>
          </w:p>
        </w:tc>
        <w:tc>
          <w:tcPr>
            <w:tcW w:w="2375" w:type="dxa"/>
          </w:tcPr>
          <w:p w14:paraId="3ABEE9CF" w14:textId="5D5C98DD"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491C7128" w14:textId="77777777" w:rsidR="00B23FF6" w:rsidRDefault="00B23FF6" w:rsidP="00B23FF6"/>
        </w:tc>
      </w:tr>
      <w:tr w:rsidR="00B23FF6" w14:paraId="63A8E64C" w14:textId="77777777" w:rsidTr="00B23FF6">
        <w:trPr>
          <w:trHeight w:val="203"/>
        </w:trPr>
        <w:tc>
          <w:tcPr>
            <w:tcW w:w="2375" w:type="dxa"/>
            <w:vMerge w:val="restart"/>
          </w:tcPr>
          <w:p w14:paraId="72D95E47" w14:textId="44614B66" w:rsidR="00B23FF6" w:rsidRDefault="00B23FF6" w:rsidP="00B23FF6">
            <w:r>
              <w:rPr>
                <w:i/>
                <w:iCs/>
              </w:rPr>
              <w:t>- Арахноидални и вентрикуларни кисти</w:t>
            </w:r>
          </w:p>
        </w:tc>
        <w:tc>
          <w:tcPr>
            <w:tcW w:w="2375" w:type="dxa"/>
          </w:tcPr>
          <w:p w14:paraId="1802ACB3" w14:textId="63965E38" w:rsidR="00B23FF6" w:rsidRDefault="00B23FF6" w:rsidP="00B23FF6">
            <w:r>
              <w:rPr>
                <w:lang w:val="en-US"/>
              </w:rPr>
              <w:t>&gt; 60 kg</w:t>
            </w:r>
          </w:p>
        </w:tc>
        <w:tc>
          <w:tcPr>
            <w:tcW w:w="2375" w:type="dxa"/>
          </w:tcPr>
          <w:p w14:paraId="39A81FE0" w14:textId="1AA98634" w:rsidR="00B23FF6" w:rsidRDefault="00B23FF6" w:rsidP="00B23FF6">
            <w:r>
              <w:t xml:space="preserve">800 </w:t>
            </w:r>
            <w:r>
              <w:rPr>
                <w:lang w:val="en-US"/>
              </w:rPr>
              <w:t xml:space="preserve">mg, </w:t>
            </w:r>
            <w:r>
              <w:t>приложени като две равни дози.</w:t>
            </w:r>
          </w:p>
        </w:tc>
        <w:tc>
          <w:tcPr>
            <w:tcW w:w="2375" w:type="dxa"/>
            <w:vMerge w:val="restart"/>
          </w:tcPr>
          <w:p w14:paraId="01DBADD8" w14:textId="748E3607" w:rsidR="00B23FF6" w:rsidRDefault="00B23FF6" w:rsidP="00B23FF6">
            <w:r>
              <w:t>Обикновено за непаренхимни кисти е необходимо лечение в продължение на 28 дни.</w:t>
            </w:r>
          </w:p>
        </w:tc>
      </w:tr>
      <w:tr w:rsidR="00B23FF6" w14:paraId="3B832918" w14:textId="77777777" w:rsidTr="00B23FF6">
        <w:tc>
          <w:tcPr>
            <w:tcW w:w="2375" w:type="dxa"/>
            <w:vMerge/>
          </w:tcPr>
          <w:p w14:paraId="6197DF9B" w14:textId="77777777" w:rsidR="00B23FF6" w:rsidRDefault="00B23FF6" w:rsidP="00B23FF6"/>
        </w:tc>
        <w:tc>
          <w:tcPr>
            <w:tcW w:w="2375" w:type="dxa"/>
          </w:tcPr>
          <w:p w14:paraId="1A6A20AB" w14:textId="0EBBB324" w:rsidR="00B23FF6" w:rsidRDefault="00B23FF6" w:rsidP="00B23FF6">
            <w:r>
              <w:rPr>
                <w:lang w:val="en-US"/>
              </w:rPr>
              <w:t>&lt; 60 kg</w:t>
            </w:r>
          </w:p>
        </w:tc>
        <w:tc>
          <w:tcPr>
            <w:tcW w:w="2375" w:type="dxa"/>
          </w:tcPr>
          <w:p w14:paraId="7473EE0D" w14:textId="51D424A6"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1E804FD4" w14:textId="77777777" w:rsidR="00B23FF6" w:rsidRDefault="00B23FF6" w:rsidP="00B23FF6"/>
        </w:tc>
      </w:tr>
      <w:tr w:rsidR="00B23FF6" w14:paraId="4A9763A6" w14:textId="77777777" w:rsidTr="00B23FF6">
        <w:tc>
          <w:tcPr>
            <w:tcW w:w="2375" w:type="dxa"/>
            <w:vMerge w:val="restart"/>
          </w:tcPr>
          <w:p w14:paraId="31CC5696" w14:textId="528ED376" w:rsidR="00B23FF6" w:rsidRDefault="00B23FF6" w:rsidP="00B23FF6">
            <w:r>
              <w:rPr>
                <w:i/>
                <w:iCs/>
              </w:rPr>
              <w:lastRenderedPageBreak/>
              <w:t>- Рацемозни кисти</w:t>
            </w:r>
          </w:p>
        </w:tc>
        <w:tc>
          <w:tcPr>
            <w:tcW w:w="2375" w:type="dxa"/>
          </w:tcPr>
          <w:p w14:paraId="07227C4E" w14:textId="4C5349EE" w:rsidR="00B23FF6" w:rsidRDefault="00B23FF6" w:rsidP="00B23FF6">
            <w:r>
              <w:rPr>
                <w:lang w:val="en-US"/>
              </w:rPr>
              <w:t>&gt; 60 kg</w:t>
            </w:r>
          </w:p>
        </w:tc>
        <w:tc>
          <w:tcPr>
            <w:tcW w:w="2375" w:type="dxa"/>
          </w:tcPr>
          <w:p w14:paraId="51077E92" w14:textId="3248172A" w:rsidR="00B23FF6" w:rsidRDefault="00B23FF6" w:rsidP="00B23FF6">
            <w:r>
              <w:t xml:space="preserve">800 </w:t>
            </w:r>
            <w:r>
              <w:rPr>
                <w:lang w:val="en-US"/>
              </w:rPr>
              <w:t xml:space="preserve">mg, </w:t>
            </w:r>
            <w:r>
              <w:t>приложени като две равни дози.</w:t>
            </w:r>
          </w:p>
        </w:tc>
        <w:tc>
          <w:tcPr>
            <w:tcW w:w="2375" w:type="dxa"/>
            <w:vMerge w:val="restart"/>
          </w:tcPr>
          <w:p w14:paraId="278F96C2" w14:textId="12AD68B9" w:rsidR="00B23FF6" w:rsidRDefault="00B23FF6" w:rsidP="00B23FF6">
            <w:r>
              <w:t>Обикновено е необходимо лечение за най-малко 28 дни. Това е продължително лечение, като продължителността се определя от клиничния и от радиографския отговор.</w:t>
            </w:r>
          </w:p>
        </w:tc>
      </w:tr>
      <w:tr w:rsidR="00B23FF6" w14:paraId="461D9B52" w14:textId="77777777" w:rsidTr="00B23FF6">
        <w:tc>
          <w:tcPr>
            <w:tcW w:w="2375" w:type="dxa"/>
            <w:vMerge/>
          </w:tcPr>
          <w:p w14:paraId="2CD6A29C" w14:textId="77777777" w:rsidR="00B23FF6" w:rsidRDefault="00B23FF6" w:rsidP="00B23FF6"/>
        </w:tc>
        <w:tc>
          <w:tcPr>
            <w:tcW w:w="2375" w:type="dxa"/>
          </w:tcPr>
          <w:p w14:paraId="41290334" w14:textId="553B0A9F" w:rsidR="00B23FF6" w:rsidRDefault="00B23FF6" w:rsidP="00B23FF6">
            <w:r>
              <w:rPr>
                <w:lang w:val="en-US"/>
              </w:rPr>
              <w:t>&lt; 60 kg</w:t>
            </w:r>
          </w:p>
        </w:tc>
        <w:tc>
          <w:tcPr>
            <w:tcW w:w="2375" w:type="dxa"/>
          </w:tcPr>
          <w:p w14:paraId="5D6CB522" w14:textId="5513536C" w:rsidR="00B23FF6" w:rsidRDefault="00B23FF6" w:rsidP="00B23FF6">
            <w:r>
              <w:t xml:space="preserve">15 </w:t>
            </w:r>
            <w:r>
              <w:rPr>
                <w:lang w:val="en-US"/>
              </w:rPr>
              <w:t xml:space="preserve">mg/kg, </w:t>
            </w:r>
            <w:r>
              <w:t xml:space="preserve">приложени като две равни дози (максимална дневна доза 800 </w:t>
            </w:r>
            <w:r>
              <w:rPr>
                <w:lang w:val="en-US"/>
              </w:rPr>
              <w:t>mg).</w:t>
            </w:r>
          </w:p>
        </w:tc>
        <w:tc>
          <w:tcPr>
            <w:tcW w:w="2375" w:type="dxa"/>
            <w:vMerge/>
          </w:tcPr>
          <w:p w14:paraId="2E6DD1FD" w14:textId="77777777" w:rsidR="00B23FF6" w:rsidRDefault="00B23FF6" w:rsidP="00B23FF6"/>
        </w:tc>
      </w:tr>
    </w:tbl>
    <w:p w14:paraId="158630C7" w14:textId="77777777" w:rsidR="00B23FF6" w:rsidRDefault="00B23FF6" w:rsidP="00B23FF6">
      <w:pPr>
        <w:spacing w:line="240" w:lineRule="auto"/>
        <w:rPr>
          <w:rFonts w:ascii="Times New Roman" w:eastAsia="Times New Roman" w:hAnsi="Times New Roman" w:cs="Times New Roman"/>
          <w:color w:val="000000"/>
          <w:vertAlign w:val="superscript"/>
          <w:lang w:eastAsia="bg-BG"/>
        </w:rPr>
      </w:pPr>
    </w:p>
    <w:p w14:paraId="39DD2A87" w14:textId="2D528DCB" w:rsidR="00B23FF6" w:rsidRPr="00B23FF6" w:rsidRDefault="00B23FF6" w:rsidP="00B23FF6">
      <w:pPr>
        <w:spacing w:line="240" w:lineRule="auto"/>
        <w:rPr>
          <w:rFonts w:eastAsia="Times New Roman" w:cs="Arial"/>
          <w:color w:val="000000"/>
          <w:lang w:val="en-US" w:eastAsia="bg-BG"/>
        </w:rPr>
      </w:pPr>
      <w:r w:rsidRPr="00B23FF6">
        <w:rPr>
          <w:rFonts w:eastAsia="Times New Roman" w:cs="Arial"/>
          <w:color w:val="000000"/>
          <w:vertAlign w:val="superscript"/>
          <w:lang w:eastAsia="bg-BG"/>
        </w:rPr>
        <w:t>+</w:t>
      </w:r>
      <w:r w:rsidRPr="00B23FF6">
        <w:rPr>
          <w:rFonts w:eastAsia="Times New Roman" w:cs="Arial"/>
          <w:color w:val="000000"/>
          <w:lang w:eastAsia="bg-BG"/>
        </w:rPr>
        <w:t>Алвеоларна ехинококоза: Обикновено се прилага лечение за 28-дневни периоди, както при кистозна ехинококоза, което може да продължи месеци или дори години. Настоящите проследявания предполагат, че след продължително лечение времето на преживяемост значително се идължава. При ограничен брой пациенти е установено, че продължителното лечение води до пълно излекуване</w:t>
      </w:r>
      <w:r w:rsidRPr="00B23FF6">
        <w:rPr>
          <w:rFonts w:eastAsia="Times New Roman" w:cs="Arial"/>
          <w:color w:val="000000"/>
          <w:lang w:val="en-US" w:eastAsia="bg-BG"/>
        </w:rPr>
        <w:t>.</w:t>
      </w:r>
    </w:p>
    <w:p w14:paraId="7775BC19"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vertAlign w:val="superscript"/>
          <w:lang w:eastAsia="bg-BG"/>
        </w:rPr>
        <w:t>±</w:t>
      </w:r>
      <w:r w:rsidRPr="00B23FF6">
        <w:rPr>
          <w:rFonts w:eastAsia="Times New Roman" w:cs="Arial"/>
          <w:color w:val="000000"/>
          <w:lang w:eastAsia="bg-BG"/>
        </w:rPr>
        <w:t>Невроцистицеркоза: Пациенти, лекувани за невроцистицеркоза трябва да получат подходяща кортикостериодна терапия и антиконвулсанти, според необходимостта. Препоръчват се перорални или интравенозни кортикостериоди за предотвратяване на мозъчни хипертонични епизоди по време на първата седмица от лечението.</w:t>
      </w:r>
    </w:p>
    <w:p w14:paraId="03DA0594" w14:textId="77777777" w:rsidR="00B23FF6" w:rsidRPr="00B23FF6" w:rsidRDefault="00B23FF6" w:rsidP="00B23FF6">
      <w:pPr>
        <w:spacing w:line="240" w:lineRule="auto"/>
        <w:rPr>
          <w:rFonts w:ascii="Times New Roman" w:eastAsia="Times New Roman" w:hAnsi="Times New Roman" w:cs="Times New Roman"/>
          <w:sz w:val="24"/>
          <w:szCs w:val="24"/>
          <w:lang w:eastAsia="bg-BG"/>
        </w:rPr>
      </w:pPr>
    </w:p>
    <w:tbl>
      <w:tblPr>
        <w:tblStyle w:val="TableGrid"/>
        <w:tblW w:w="0" w:type="auto"/>
        <w:tblLook w:val="04A0" w:firstRow="1" w:lastRow="0" w:firstColumn="1" w:lastColumn="0" w:noHBand="0" w:noVBand="1"/>
      </w:tblPr>
      <w:tblGrid>
        <w:gridCol w:w="3115"/>
        <w:gridCol w:w="3102"/>
        <w:gridCol w:w="3133"/>
      </w:tblGrid>
      <w:tr w:rsidR="00B23FF6" w14:paraId="45B7A0A0" w14:textId="77777777" w:rsidTr="00B23FF6">
        <w:tc>
          <w:tcPr>
            <w:tcW w:w="3166" w:type="dxa"/>
          </w:tcPr>
          <w:p w14:paraId="5BCCDAA2" w14:textId="329FD5CD" w:rsidR="00B23FF6" w:rsidRDefault="00B23FF6" w:rsidP="00B23FF6">
            <w:r>
              <w:rPr>
                <w:b/>
                <w:bCs/>
              </w:rPr>
              <w:t>Инфекция</w:t>
            </w:r>
          </w:p>
        </w:tc>
        <w:tc>
          <w:tcPr>
            <w:tcW w:w="3167" w:type="dxa"/>
          </w:tcPr>
          <w:p w14:paraId="5CEC6130" w14:textId="38D9EF57" w:rsidR="00B23FF6" w:rsidRDefault="00B23FF6" w:rsidP="00B23FF6">
            <w:r>
              <w:rPr>
                <w:b/>
                <w:bCs/>
              </w:rPr>
              <w:t>Дозировка при възрастни и деца</w:t>
            </w:r>
          </w:p>
        </w:tc>
        <w:tc>
          <w:tcPr>
            <w:tcW w:w="3167" w:type="dxa"/>
          </w:tcPr>
          <w:p w14:paraId="735958FC" w14:textId="1BBFBC97" w:rsidR="00B23FF6" w:rsidRDefault="00B23FF6" w:rsidP="00B23FF6">
            <w:r>
              <w:rPr>
                <w:b/>
                <w:bCs/>
              </w:rPr>
              <w:t>Продължителност на лечението</w:t>
            </w:r>
          </w:p>
        </w:tc>
      </w:tr>
      <w:tr w:rsidR="00B23FF6" w14:paraId="73BA9B12" w14:textId="77777777" w:rsidTr="00B23FF6">
        <w:tc>
          <w:tcPr>
            <w:tcW w:w="3166" w:type="dxa"/>
          </w:tcPr>
          <w:p w14:paraId="3099F550" w14:textId="25B2BA7C" w:rsidR="00B23FF6" w:rsidRDefault="00B23FF6" w:rsidP="00B23FF6">
            <w:r>
              <w:t>Капилариоза</w:t>
            </w:r>
          </w:p>
        </w:tc>
        <w:tc>
          <w:tcPr>
            <w:tcW w:w="3167" w:type="dxa"/>
          </w:tcPr>
          <w:p w14:paraId="1D64DA14" w14:textId="54A8E16A" w:rsidR="00B23FF6" w:rsidRDefault="00B23FF6" w:rsidP="00B23FF6">
            <w:r>
              <w:t xml:space="preserve">400 </w:t>
            </w:r>
            <w:r>
              <w:rPr>
                <w:lang w:val="en-US"/>
              </w:rPr>
              <w:t>mg</w:t>
            </w:r>
          </w:p>
        </w:tc>
        <w:tc>
          <w:tcPr>
            <w:tcW w:w="3167" w:type="dxa"/>
          </w:tcPr>
          <w:p w14:paraId="410EE6D7" w14:textId="6DDC8C73" w:rsidR="00B23FF6" w:rsidRDefault="00B23FF6" w:rsidP="00B23FF6">
            <w:r>
              <w:t>Всеки ден в продължение на 10 дни. #Обикновено е необходим само един курс на лечение, но могат да бъдат назначени допълнителни курсове, ако клиничните и паразитологичните находки останат положителни.</w:t>
            </w:r>
          </w:p>
        </w:tc>
      </w:tr>
      <w:tr w:rsidR="00B23FF6" w14:paraId="18BAFC2D" w14:textId="77777777" w:rsidTr="00B23FF6">
        <w:tc>
          <w:tcPr>
            <w:tcW w:w="3166" w:type="dxa"/>
          </w:tcPr>
          <w:p w14:paraId="58DC00FE" w14:textId="41051C07" w:rsidR="00B23FF6" w:rsidRDefault="00B23FF6" w:rsidP="00B23FF6">
            <w:r>
              <w:t>Гнатостомиоза</w:t>
            </w:r>
          </w:p>
        </w:tc>
        <w:tc>
          <w:tcPr>
            <w:tcW w:w="3167" w:type="dxa"/>
          </w:tcPr>
          <w:p w14:paraId="0B1EE911" w14:textId="7C1102F2" w:rsidR="00B23FF6" w:rsidRDefault="00B23FF6" w:rsidP="00B23FF6">
            <w:r>
              <w:t xml:space="preserve">400 </w:t>
            </w:r>
            <w:r>
              <w:rPr>
                <w:lang w:val="en-US"/>
              </w:rPr>
              <w:t>mg</w:t>
            </w:r>
          </w:p>
        </w:tc>
        <w:tc>
          <w:tcPr>
            <w:tcW w:w="3167" w:type="dxa"/>
          </w:tcPr>
          <w:p w14:paraId="33AAE5EA" w14:textId="77777777" w:rsidR="00B23FF6" w:rsidRDefault="00B23FF6" w:rsidP="00B23FF6">
            <w:r>
              <w:t>Всеки ден в продължение на 10 до</w:t>
            </w:r>
          </w:p>
          <w:p w14:paraId="3BDFEE05" w14:textId="3E432058" w:rsidR="00B23FF6" w:rsidRDefault="00B23FF6" w:rsidP="00B23FF6">
            <w:r>
              <w:t>20 дни. (# вж. по-горе)</w:t>
            </w:r>
          </w:p>
        </w:tc>
      </w:tr>
      <w:tr w:rsidR="00B23FF6" w14:paraId="61FDF2EA" w14:textId="77777777" w:rsidTr="00B23FF6">
        <w:tc>
          <w:tcPr>
            <w:tcW w:w="3166" w:type="dxa"/>
          </w:tcPr>
          <w:p w14:paraId="58691354" w14:textId="303C9DBF" w:rsidR="00B23FF6" w:rsidRDefault="00B23FF6" w:rsidP="00B23FF6">
            <w:r>
              <w:t>Трихинелоза</w:t>
            </w:r>
          </w:p>
        </w:tc>
        <w:tc>
          <w:tcPr>
            <w:tcW w:w="3167" w:type="dxa"/>
          </w:tcPr>
          <w:p w14:paraId="52175435" w14:textId="207C70B2" w:rsidR="00B23FF6" w:rsidRDefault="00B23FF6" w:rsidP="00B23FF6">
            <w:r>
              <w:t xml:space="preserve">400 </w:t>
            </w:r>
            <w:r>
              <w:rPr>
                <w:lang w:val="en-US"/>
              </w:rPr>
              <w:t>mg</w:t>
            </w:r>
          </w:p>
        </w:tc>
        <w:tc>
          <w:tcPr>
            <w:tcW w:w="3167" w:type="dxa"/>
          </w:tcPr>
          <w:p w14:paraId="64065529" w14:textId="60FC1B01" w:rsidR="00B23FF6" w:rsidRDefault="00B23FF6" w:rsidP="00B23FF6">
            <w:r>
              <w:t>Два пъта дневно, в продължение на 5 до 10 дай. (# вж. по-горе)</w:t>
            </w:r>
          </w:p>
        </w:tc>
      </w:tr>
      <w:tr w:rsidR="00B23FF6" w14:paraId="5BF3F9A5" w14:textId="77777777" w:rsidTr="00B23FF6">
        <w:tc>
          <w:tcPr>
            <w:tcW w:w="3166" w:type="dxa"/>
          </w:tcPr>
          <w:p w14:paraId="665CDFDC" w14:textId="42A4D3FF" w:rsidR="00B23FF6" w:rsidRDefault="00B23FF6" w:rsidP="00B23FF6">
            <w:r>
              <w:t>Токсокароза</w:t>
            </w:r>
          </w:p>
        </w:tc>
        <w:tc>
          <w:tcPr>
            <w:tcW w:w="3167" w:type="dxa"/>
          </w:tcPr>
          <w:p w14:paraId="1404E77F" w14:textId="4865C749" w:rsidR="00B23FF6" w:rsidRDefault="00B23FF6" w:rsidP="00B23FF6">
            <w:r>
              <w:t xml:space="preserve">400 </w:t>
            </w:r>
            <w:r>
              <w:rPr>
                <w:lang w:val="en-US"/>
              </w:rPr>
              <w:t>mg</w:t>
            </w:r>
          </w:p>
        </w:tc>
        <w:tc>
          <w:tcPr>
            <w:tcW w:w="3167" w:type="dxa"/>
          </w:tcPr>
          <w:p w14:paraId="1B31AE2F" w14:textId="039B19B5" w:rsidR="00B23FF6" w:rsidRDefault="00B23FF6" w:rsidP="00B23FF6">
            <w:r>
              <w:t>Два пъти дневно, в продължение на 5 до 10 дни. (# вж. по-горе)</w:t>
            </w:r>
          </w:p>
        </w:tc>
      </w:tr>
    </w:tbl>
    <w:p w14:paraId="4B4D75CE" w14:textId="77777777" w:rsidR="00B23FF6" w:rsidRDefault="00B23FF6" w:rsidP="00B23FF6">
      <w:pPr>
        <w:spacing w:line="240" w:lineRule="auto"/>
        <w:rPr>
          <w:rFonts w:ascii="Times New Roman" w:eastAsia="Times New Roman" w:hAnsi="Times New Roman" w:cs="Times New Roman"/>
          <w:color w:val="000000"/>
          <w:u w:val="single"/>
          <w:lang w:eastAsia="bg-BG"/>
        </w:rPr>
      </w:pPr>
    </w:p>
    <w:p w14:paraId="65E648FF" w14:textId="6C065DE8"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Пациенти в старческа възраст</w:t>
      </w:r>
    </w:p>
    <w:p w14:paraId="4E8B498F"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Опитът при пациенти на възраст на и над 65 години е ограничен. Данните показват, че не е необходимо коригиране на дозата, все пак, албендазол трябва да се прилага с внимание при пациенти в старческа възраст с данни за чернодробна дисфункция (вж. Чернодробно увреждане и точка 5.2).</w:t>
      </w:r>
    </w:p>
    <w:p w14:paraId="60B71DFD" w14:textId="77777777" w:rsidR="00B23FF6" w:rsidRPr="00B23FF6" w:rsidRDefault="00B23FF6" w:rsidP="00B23FF6">
      <w:pPr>
        <w:spacing w:line="240" w:lineRule="auto"/>
        <w:rPr>
          <w:rFonts w:eastAsia="Times New Roman" w:cs="Arial"/>
          <w:color w:val="000000"/>
          <w:u w:val="single"/>
          <w:lang w:eastAsia="bg-BG"/>
        </w:rPr>
      </w:pPr>
    </w:p>
    <w:p w14:paraId="5091D481" w14:textId="4D8E21E5"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Бъбречно увреждане</w:t>
      </w:r>
    </w:p>
    <w:p w14:paraId="059245BD"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Тъй като бъбречното елиминиране на албендазол и на основния му метаболит - албендазол сулфоксид е незначително, е малко вероятно клирънсът на тези вещества да се промени при такива пациенти. Не е необходимо коригиране на дозата, но пациентите с данни за бъбречно увреждане трябва внимателно да се проследяват.</w:t>
      </w:r>
    </w:p>
    <w:p w14:paraId="13C959A8" w14:textId="77777777" w:rsidR="00B23FF6" w:rsidRPr="00B23FF6" w:rsidRDefault="00B23FF6" w:rsidP="00B23FF6">
      <w:pPr>
        <w:spacing w:line="240" w:lineRule="auto"/>
        <w:rPr>
          <w:rFonts w:eastAsia="Times New Roman" w:cs="Arial"/>
          <w:color w:val="000000"/>
          <w:u w:val="single"/>
          <w:lang w:eastAsia="bg-BG"/>
        </w:rPr>
      </w:pPr>
    </w:p>
    <w:p w14:paraId="578A1436" w14:textId="75AD48A8"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Чернодробно увреждане</w:t>
      </w:r>
    </w:p>
    <w:p w14:paraId="6736506E" w14:textId="77777777" w:rsidR="00B23FF6" w:rsidRPr="00B23FF6" w:rsidRDefault="00B23FF6" w:rsidP="00B23FF6">
      <w:pPr>
        <w:spacing w:line="240" w:lineRule="auto"/>
        <w:rPr>
          <w:rFonts w:ascii="Times New Roman" w:eastAsia="Times New Roman" w:hAnsi="Times New Roman" w:cs="Times New Roman"/>
          <w:sz w:val="24"/>
          <w:szCs w:val="24"/>
          <w:lang w:eastAsia="bg-BG"/>
        </w:rPr>
      </w:pPr>
      <w:r w:rsidRPr="00B23FF6">
        <w:rPr>
          <w:rFonts w:eastAsia="Times New Roman" w:cs="Arial"/>
          <w:color w:val="000000"/>
          <w:lang w:eastAsia="bg-BG"/>
        </w:rPr>
        <w:t>Тъй като албендазол се метаболизира бързо в черния дроб до основния фармакологично активен метаболит - албендазол сулфоксид, се очаква чернодробното увреждане да има значителни ефекти върху фармакокинетиката на албендазол сулфоксид. Пациенти, които преди започване на лечение с албендазол са имали отклонения в резултатите на чернодробните функционални изследвания (трансаминази), трябва внимателно да се проследяват и лечението трябва да се преустанови, ако чернодробните ензими са значително повишени или стойностите на показателите от пълната кръвна картина се понижат до клинично значимо ниво (вж. точка 4.4 и 4.8).</w:t>
      </w:r>
    </w:p>
    <w:p w14:paraId="0AA80EB8" w14:textId="77777777" w:rsidR="00B23FF6" w:rsidRPr="00B23FF6" w:rsidRDefault="00B23FF6" w:rsidP="00B23FF6"/>
    <w:p w14:paraId="1BF2EFF4" w14:textId="3E02DEFF" w:rsidR="001A6EBD" w:rsidRDefault="002C50EE" w:rsidP="00471F10">
      <w:pPr>
        <w:pStyle w:val="Heading2"/>
      </w:pPr>
      <w:r>
        <w:t>4.3. Противопоказания</w:t>
      </w:r>
    </w:p>
    <w:p w14:paraId="0F31B6EE" w14:textId="01437738" w:rsidR="00B23FF6" w:rsidRDefault="00B23FF6" w:rsidP="00B23FF6"/>
    <w:p w14:paraId="79946ECD" w14:textId="77777777" w:rsidR="00B23FF6" w:rsidRPr="00B23FF6" w:rsidRDefault="00B23FF6" w:rsidP="00B23FF6">
      <w:pPr>
        <w:rPr>
          <w:sz w:val="24"/>
          <w:szCs w:val="24"/>
          <w:lang w:eastAsia="bg-BG"/>
        </w:rPr>
      </w:pPr>
      <w:r w:rsidRPr="00B23FF6">
        <w:rPr>
          <w:lang w:eastAsia="bg-BG"/>
        </w:rPr>
        <w:t>Зентел не трябва да се прилага по време на бременност или при жени, които предполагат, че са бременни.</w:t>
      </w:r>
    </w:p>
    <w:p w14:paraId="7F8EA4D3" w14:textId="77777777" w:rsidR="00B23FF6" w:rsidRDefault="00B23FF6" w:rsidP="00B23FF6">
      <w:pPr>
        <w:rPr>
          <w:lang w:eastAsia="bg-BG"/>
        </w:rPr>
      </w:pPr>
    </w:p>
    <w:p w14:paraId="14416003" w14:textId="453AF3BD" w:rsidR="00B23FF6" w:rsidRDefault="00B23FF6" w:rsidP="00B23FF6">
      <w:pPr>
        <w:rPr>
          <w:lang w:eastAsia="bg-BG"/>
        </w:rPr>
      </w:pPr>
      <w:r w:rsidRPr="00B23FF6">
        <w:rPr>
          <w:lang w:eastAsia="bg-BG"/>
        </w:rPr>
        <w:t>Зентел е противопоказан при пациенти с анамнеза за свръхчувствителност към албендазол или към някое от помощните вещества, изброени в точка 6.1.</w:t>
      </w:r>
    </w:p>
    <w:p w14:paraId="01A58184" w14:textId="77777777" w:rsidR="00B23FF6" w:rsidRPr="00B23FF6" w:rsidRDefault="00B23FF6" w:rsidP="00B23FF6"/>
    <w:p w14:paraId="0C106098" w14:textId="60AB5669" w:rsidR="001A6EBD" w:rsidRDefault="002C50EE" w:rsidP="00471F10">
      <w:pPr>
        <w:pStyle w:val="Heading2"/>
      </w:pPr>
      <w:r>
        <w:t>4.4. Специални предупреждения и предпазни мерки при употреба</w:t>
      </w:r>
    </w:p>
    <w:p w14:paraId="281EEB70" w14:textId="45664EFD" w:rsidR="00B23FF6" w:rsidRDefault="00B23FF6" w:rsidP="00B23FF6"/>
    <w:p w14:paraId="66919DE0"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 xml:space="preserve">Приложение при чревни инфекции и кожна ларва мигранс </w:t>
      </w:r>
      <w:r w:rsidRPr="00B23FF6">
        <w:rPr>
          <w:rFonts w:eastAsia="Times New Roman" w:cs="Arial"/>
          <w:color w:val="000000"/>
          <w:lang w:eastAsia="bg-BG"/>
        </w:rPr>
        <w:t>(краткотрайно лечение с ниски дози):</w:t>
      </w:r>
    </w:p>
    <w:p w14:paraId="705D222B" w14:textId="77777777" w:rsidR="00B23FF6" w:rsidRPr="00B23FF6" w:rsidRDefault="00B23FF6" w:rsidP="00B23FF6">
      <w:pPr>
        <w:spacing w:line="240" w:lineRule="auto"/>
        <w:rPr>
          <w:rFonts w:eastAsia="Times New Roman" w:cs="Arial"/>
          <w:sz w:val="24"/>
          <w:szCs w:val="24"/>
          <w:lang w:eastAsia="bg-BG"/>
        </w:rPr>
      </w:pPr>
    </w:p>
    <w:p w14:paraId="0B5070D0" w14:textId="68DFE4E5"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С цел да се избегне прилагане на албендазол по време на ранна бременност, при жени в детеродна</w:t>
      </w:r>
    </w:p>
    <w:p w14:paraId="00F115EF" w14:textId="3FF4CAED" w:rsidR="00B23FF6" w:rsidRPr="00B23FF6" w:rsidRDefault="00B23FF6" w:rsidP="00B23FF6">
      <w:pPr>
        <w:rPr>
          <w:rFonts w:eastAsia="Times New Roman" w:cs="Arial"/>
          <w:color w:val="000000"/>
          <w:lang w:eastAsia="bg-BG"/>
        </w:rPr>
      </w:pPr>
      <w:r w:rsidRPr="00B23FF6">
        <w:rPr>
          <w:rFonts w:eastAsia="Times New Roman" w:cs="Arial"/>
          <w:color w:val="000000"/>
          <w:lang w:eastAsia="bg-BG"/>
        </w:rPr>
        <w:t>възраст, лечението със Зентел трябва да започне през първата седмица от менструалния цикъл или след отрицателен тест за бременност.</w:t>
      </w:r>
    </w:p>
    <w:p w14:paraId="2D19B0F4" w14:textId="4DA645B9" w:rsidR="00B23FF6" w:rsidRPr="00B23FF6" w:rsidRDefault="00B23FF6" w:rsidP="00B23FF6">
      <w:pPr>
        <w:rPr>
          <w:rFonts w:eastAsia="Times New Roman" w:cs="Arial"/>
          <w:color w:val="000000"/>
          <w:lang w:eastAsia="bg-BG"/>
        </w:rPr>
      </w:pPr>
    </w:p>
    <w:p w14:paraId="2D071C98"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При лечение с албендазол може да се прояви вече съществуваща невроцистицеркоза, особено в области с повишена честота на инфекции с тении. При пациентите могат да се проявят неврологични симптоми, като гърчове, повишено вътречерепно налягане и фокални симптоми, в резултат на възпалителна реакция, причинена от смъртта на паразитите в мозъка. Симптомите могат да се проявят скоро след лечението и незабавно трябва да се започне подходяща терапия с кортикостероиди и антиконвулсанти.</w:t>
      </w:r>
    </w:p>
    <w:p w14:paraId="68C32E36" w14:textId="77777777" w:rsidR="00B23FF6" w:rsidRPr="00B23FF6" w:rsidRDefault="00B23FF6" w:rsidP="00B23FF6">
      <w:pPr>
        <w:spacing w:line="240" w:lineRule="auto"/>
        <w:rPr>
          <w:rFonts w:eastAsia="Times New Roman" w:cs="Arial"/>
          <w:b/>
          <w:bCs/>
          <w:color w:val="000000"/>
          <w:lang w:eastAsia="bg-BG"/>
        </w:rPr>
      </w:pPr>
    </w:p>
    <w:p w14:paraId="04E0BDB4" w14:textId="00F8EDB0"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 xml:space="preserve">Приложение при системни хелминтни инфекции </w:t>
      </w:r>
      <w:r w:rsidRPr="00B23FF6">
        <w:rPr>
          <w:rFonts w:eastAsia="Times New Roman" w:cs="Arial"/>
          <w:color w:val="000000"/>
          <w:lang w:eastAsia="bg-BG"/>
        </w:rPr>
        <w:t>(продължително лечение с високи дози):</w:t>
      </w:r>
    </w:p>
    <w:p w14:paraId="3A8CA6F1" w14:textId="77777777" w:rsidR="00B23FF6" w:rsidRPr="00B23FF6" w:rsidRDefault="00B23FF6" w:rsidP="00B23FF6">
      <w:pPr>
        <w:spacing w:line="240" w:lineRule="auto"/>
        <w:rPr>
          <w:rFonts w:eastAsia="Times New Roman" w:cs="Arial"/>
          <w:color w:val="000000"/>
          <w:lang w:eastAsia="bg-BG"/>
        </w:rPr>
      </w:pPr>
    </w:p>
    <w:p w14:paraId="3CDA44A2" w14:textId="22D0AD14"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 xml:space="preserve">Лечението с албендазол е свързано с леко до умерено повишаване на нивата на чернодробните ензими. Обикновено чернодробните ензими се нормализират след спиране на лечението. Получени са също съобщения за хепатит (вж. точка 4.8). Преди започване на всеки курс на лечение и най-малко на всеки две седмици по време на </w:t>
      </w:r>
      <w:r w:rsidRPr="00B23FF6">
        <w:rPr>
          <w:rFonts w:eastAsia="Times New Roman" w:cs="Arial"/>
          <w:color w:val="000000"/>
          <w:lang w:eastAsia="bg-BG"/>
        </w:rPr>
        <w:lastRenderedPageBreak/>
        <w:t>лечението трябва да бъдат провеждани изследвания за проследяване на чернодробната функция. Ако нивата на чернодробните ензими са значително повишени (повече от два пъти над горната граница на нормата), приемът на албендазол трябва да се преустанови.</w:t>
      </w:r>
    </w:p>
    <w:p w14:paraId="1C87D511"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Лечението с албендазол може да започне отново, когато чернодробните ензими достигнат нормални стойности, но пациентите трябва да бъдат внимателно наблюдавани за повторното им повишаване.</w:t>
      </w:r>
    </w:p>
    <w:p w14:paraId="67F3B15D" w14:textId="77777777" w:rsidR="00B23FF6" w:rsidRPr="00B23FF6" w:rsidRDefault="00B23FF6" w:rsidP="00B23FF6">
      <w:pPr>
        <w:spacing w:line="240" w:lineRule="auto"/>
        <w:rPr>
          <w:rFonts w:eastAsia="Times New Roman" w:cs="Arial"/>
          <w:color w:val="000000"/>
          <w:lang w:eastAsia="bg-BG"/>
        </w:rPr>
      </w:pPr>
    </w:p>
    <w:p w14:paraId="2205BB54" w14:textId="40ED3AC0"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Установено е, че албендазол предизвиква костно-мозъчна супресия, поради това в началото на лечението и на всеки две седмици по време на всеки 28-дневен курс на лечение, трябва да се прави изследване на кръвната картина. Пациентите с чернодробно заболяване, включително чернодробна ехинококоза, са по-податливи на костно-мозъчна супресия, водеща до панцитопения, апластична анемия, агранулоцитоза и левкопения, затова е необходимо внимателно проследяване на кръвната картина. Приемът на албендазол трябва да се преустанови, ако настъпи клинично значимо понижаване на броя на кръвните клетки (вж. точка 4.2 и 4.8).</w:t>
      </w:r>
    </w:p>
    <w:p w14:paraId="061D39C4" w14:textId="77777777" w:rsidR="00B23FF6" w:rsidRPr="00B23FF6" w:rsidRDefault="00B23FF6" w:rsidP="00B23FF6">
      <w:pPr>
        <w:spacing w:line="240" w:lineRule="auto"/>
        <w:rPr>
          <w:rFonts w:eastAsia="Times New Roman" w:cs="Arial"/>
          <w:color w:val="000000"/>
          <w:lang w:eastAsia="bg-BG"/>
        </w:rPr>
      </w:pPr>
    </w:p>
    <w:p w14:paraId="50F04A4D" w14:textId="0AE81FEB"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За да се избегне прием на албендазол по време на ранна бременност, жените в детеродна възраст трябва:</w:t>
      </w:r>
    </w:p>
    <w:p w14:paraId="2D5F3C13" w14:textId="791ECF86"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val="en-US" w:eastAsia="bg-BG"/>
        </w:rPr>
        <w:t xml:space="preserve">- </w:t>
      </w:r>
      <w:r w:rsidRPr="00B23FF6">
        <w:rPr>
          <w:rFonts w:eastAsia="Times New Roman" w:cs="Arial"/>
          <w:color w:val="000000"/>
          <w:lang w:eastAsia="bg-BG"/>
        </w:rPr>
        <w:t>да започват лечение само след отрицателен тест за бременност. Тези тестове трябва да се повтарят поне веднъж, преди започване на следващ курс на лечение.</w:t>
      </w:r>
    </w:p>
    <w:p w14:paraId="39905F0C" w14:textId="298D2B13"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w:t>
      </w:r>
      <w:r w:rsidRPr="00B23FF6">
        <w:rPr>
          <w:rFonts w:eastAsia="Times New Roman" w:cs="Arial"/>
          <w:color w:val="000000"/>
          <w:lang w:val="en-US" w:eastAsia="bg-BG"/>
        </w:rPr>
        <w:t xml:space="preserve"> </w:t>
      </w:r>
      <w:r w:rsidRPr="00B23FF6">
        <w:rPr>
          <w:rFonts w:eastAsia="Times New Roman" w:cs="Arial"/>
          <w:color w:val="000000"/>
          <w:lang w:eastAsia="bg-BG"/>
        </w:rPr>
        <w:t>да бъдат посъветвани, да предприемат ефикасни предпазни мерки за контрацепция по време на лечението за системна хелминтна инфекция и в рамките на един месец след завършване на лечението с албендазол.</w:t>
      </w:r>
    </w:p>
    <w:p w14:paraId="2C7DD5A5" w14:textId="77777777" w:rsidR="00B23FF6" w:rsidRPr="00B23FF6" w:rsidRDefault="00B23FF6" w:rsidP="00B23FF6">
      <w:pPr>
        <w:spacing w:line="240" w:lineRule="auto"/>
        <w:rPr>
          <w:rFonts w:eastAsia="Times New Roman" w:cs="Arial"/>
          <w:color w:val="000000"/>
          <w:lang w:eastAsia="bg-BG"/>
        </w:rPr>
      </w:pPr>
    </w:p>
    <w:p w14:paraId="729B2766" w14:textId="27BA2DDA"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Симптоми, свързани с възпалителна реакция, предизвикана от смъртта на паразита в мозъка, могат да се проявят при пациенти, приемащи албендазол за лечение на невроцистицеркоза (напр. гърчове, повишено вътречерепно налягане, фокални симптоми). Те трябва да се лекуват с подходяща кортикостероидна терапия и антиконвулсанти. Препоръчват се перорални или интравенозни кортикостероиди за предотвратяване на церебрални хипертонични епизоди по време на първата седмица от лечението.</w:t>
      </w:r>
    </w:p>
    <w:p w14:paraId="487D3330" w14:textId="77777777" w:rsidR="00B23FF6" w:rsidRPr="00B23FF6" w:rsidRDefault="00B23FF6" w:rsidP="00B23FF6">
      <w:pPr>
        <w:spacing w:line="240" w:lineRule="auto"/>
        <w:rPr>
          <w:rFonts w:eastAsia="Times New Roman" w:cs="Arial"/>
          <w:color w:val="000000"/>
          <w:lang w:eastAsia="bg-BG"/>
        </w:rPr>
      </w:pPr>
    </w:p>
    <w:p w14:paraId="45435E4E" w14:textId="7279DF6C"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При лечение на пациенти с албендазол за други заболявания, може да се прояви предшестваща невроцистицеркоза, особено в области с повишена честота на инфекции с тении. При пациентите могат да се проявят неврологични симптоми, като гърчове, повишено вътречерепно налягане и фокални симптоми, в резултат на възпалителна реакция, причинена от смъртта на паразитите в мозъка. Симптомите могат да се проявят скоро след лечението и незабавно трябва да се започне подходяща терапия с кортикостероиди и антиконвулсанти.</w:t>
      </w:r>
    </w:p>
    <w:p w14:paraId="4EB0D997" w14:textId="77777777" w:rsidR="00B23FF6" w:rsidRPr="00B23FF6" w:rsidRDefault="00B23FF6" w:rsidP="00B23FF6">
      <w:pPr>
        <w:spacing w:line="240" w:lineRule="auto"/>
        <w:rPr>
          <w:rFonts w:eastAsia="Times New Roman" w:cs="Arial"/>
          <w:color w:val="000000"/>
          <w:lang w:eastAsia="bg-BG"/>
        </w:rPr>
      </w:pPr>
    </w:p>
    <w:p w14:paraId="44859FB1" w14:textId="06218325"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Помощни вещества</w:t>
      </w:r>
    </w:p>
    <w:p w14:paraId="796A4606" w14:textId="77777777" w:rsidR="00B23FF6" w:rsidRPr="00B23FF6" w:rsidRDefault="00B23FF6" w:rsidP="00B23FF6">
      <w:pPr>
        <w:spacing w:line="240" w:lineRule="auto"/>
        <w:rPr>
          <w:rFonts w:eastAsia="Times New Roman" w:cs="Arial"/>
          <w:color w:val="000000"/>
          <w:lang w:eastAsia="bg-BG"/>
        </w:rPr>
      </w:pPr>
    </w:p>
    <w:p w14:paraId="554C1C78" w14:textId="719843B4"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малабеорбция не трябва да приемат това лекарство.</w:t>
      </w:r>
    </w:p>
    <w:p w14:paraId="63ED1942" w14:textId="77777777" w:rsidR="00B23FF6" w:rsidRPr="00B23FF6" w:rsidRDefault="00B23FF6" w:rsidP="00B23FF6">
      <w:pPr>
        <w:spacing w:line="240" w:lineRule="auto"/>
        <w:rPr>
          <w:rFonts w:eastAsia="Times New Roman" w:cs="Arial"/>
          <w:sz w:val="24"/>
          <w:szCs w:val="24"/>
          <w:lang w:eastAsia="bg-BG"/>
        </w:rPr>
      </w:pPr>
    </w:p>
    <w:p w14:paraId="4625DC8D" w14:textId="77777777" w:rsidR="00B23FF6" w:rsidRPr="00B23FF6" w:rsidRDefault="00B23FF6" w:rsidP="00B23FF6">
      <w:pPr>
        <w:rPr>
          <w:rFonts w:eastAsia="Times New Roman" w:cs="Arial"/>
          <w:sz w:val="24"/>
          <w:szCs w:val="24"/>
          <w:lang w:eastAsia="bg-BG"/>
        </w:rPr>
      </w:pPr>
      <w:r w:rsidRPr="00B23FF6">
        <w:rPr>
          <w:rFonts w:eastAsia="Times New Roman" w:cs="Arial"/>
          <w:color w:val="000000"/>
          <w:lang w:eastAsia="bg-BG"/>
        </w:rPr>
        <w:t xml:space="preserve">Зентел съдържа по-малко от 1 </w:t>
      </w:r>
      <w:r w:rsidRPr="00B23FF6">
        <w:rPr>
          <w:rFonts w:eastAsia="Times New Roman" w:cs="Arial"/>
          <w:color w:val="000000"/>
          <w:lang w:val="en-US"/>
        </w:rPr>
        <w:t xml:space="preserve">mmol </w:t>
      </w:r>
      <w:r w:rsidRPr="00B23FF6">
        <w:rPr>
          <w:rFonts w:eastAsia="Times New Roman" w:cs="Arial"/>
          <w:color w:val="000000"/>
          <w:lang w:eastAsia="bg-BG"/>
        </w:rPr>
        <w:t xml:space="preserve">натрий (23 </w:t>
      </w:r>
      <w:r w:rsidRPr="00B23FF6">
        <w:rPr>
          <w:rFonts w:eastAsia="Times New Roman" w:cs="Arial"/>
          <w:color w:val="000000"/>
          <w:lang w:val="en-US"/>
        </w:rPr>
        <w:t xml:space="preserve">mg) </w:t>
      </w:r>
      <w:r w:rsidRPr="00B23FF6">
        <w:rPr>
          <w:rFonts w:eastAsia="Times New Roman" w:cs="Arial"/>
          <w:color w:val="000000"/>
          <w:lang w:eastAsia="bg-BG"/>
        </w:rPr>
        <w:t>на таблетка, т.е. може да се каже, че практически</w:t>
      </w:r>
      <w:r w:rsidRPr="00B23FF6">
        <w:rPr>
          <w:rFonts w:eastAsia="Times New Roman" w:cs="Arial"/>
          <w:color w:val="000000"/>
          <w:lang w:val="en-US" w:eastAsia="bg-BG"/>
        </w:rPr>
        <w:t xml:space="preserve"> </w:t>
      </w:r>
      <w:r w:rsidRPr="00B23FF6">
        <w:rPr>
          <w:rFonts w:eastAsia="Times New Roman" w:cs="Arial"/>
          <w:color w:val="000000"/>
          <w:lang w:eastAsia="bg-BG"/>
        </w:rPr>
        <w:t>не съдържа натрий.</w:t>
      </w:r>
    </w:p>
    <w:p w14:paraId="0E043AB9" w14:textId="77777777" w:rsidR="00B23FF6" w:rsidRPr="00B23FF6" w:rsidRDefault="00B23FF6" w:rsidP="00B23FF6">
      <w:pPr>
        <w:spacing w:line="240" w:lineRule="auto"/>
        <w:rPr>
          <w:rFonts w:eastAsia="Times New Roman" w:cs="Arial"/>
          <w:color w:val="000000"/>
          <w:lang w:eastAsia="bg-BG"/>
        </w:rPr>
      </w:pPr>
    </w:p>
    <w:p w14:paraId="358AF11A" w14:textId="202030FE"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 xml:space="preserve">Зентел съдържа 0,98 </w:t>
      </w:r>
      <w:r w:rsidRPr="00B23FF6">
        <w:rPr>
          <w:rFonts w:eastAsia="Times New Roman" w:cs="Arial"/>
          <w:color w:val="000000"/>
          <w:lang w:val="en-US"/>
        </w:rPr>
        <w:t xml:space="preserve">mg </w:t>
      </w:r>
      <w:r w:rsidRPr="00B23FF6">
        <w:rPr>
          <w:rFonts w:eastAsia="Times New Roman" w:cs="Arial"/>
          <w:color w:val="000000"/>
          <w:lang w:eastAsia="bg-BG"/>
        </w:rPr>
        <w:t xml:space="preserve">бензинов алкохол на таблетка. Бензиловият алкохол може да причини алергични реакции. Да не се използва за повече от една седмица при малки </w:t>
      </w:r>
      <w:r w:rsidRPr="00B23FF6">
        <w:rPr>
          <w:rFonts w:eastAsia="Times New Roman" w:cs="Arial"/>
          <w:color w:val="000000"/>
          <w:lang w:eastAsia="bg-BG"/>
        </w:rPr>
        <w:lastRenderedPageBreak/>
        <w:t>деца (на възраст под 3 години), тъй като съществува повишен риск, който се дължи на кумулиране при малки деца. Големи обеми трябва да се използват с повишено внимание и само ако е необходимо, особено при кърмене, при лица с чернодробно или бъбречно увреждане поради риск от кумулиране и токсичност (метаболитна ацидоза).</w:t>
      </w:r>
    </w:p>
    <w:p w14:paraId="03030BC5" w14:textId="77777777" w:rsidR="00B23FF6" w:rsidRPr="00B23FF6" w:rsidRDefault="00B23FF6" w:rsidP="00B23FF6">
      <w:pPr>
        <w:spacing w:line="240" w:lineRule="auto"/>
        <w:rPr>
          <w:rFonts w:eastAsia="Times New Roman" w:cs="Arial"/>
          <w:color w:val="000000"/>
          <w:lang w:eastAsia="bg-BG"/>
        </w:rPr>
      </w:pPr>
    </w:p>
    <w:p w14:paraId="2E505128" w14:textId="3EA96135"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 xml:space="preserve">Този лекарствен продукт съдържа по-малко от 1 </w:t>
      </w:r>
      <w:r w:rsidRPr="00B23FF6">
        <w:rPr>
          <w:rFonts w:eastAsia="Times New Roman" w:cs="Arial"/>
          <w:color w:val="000000"/>
          <w:lang w:val="en-US"/>
        </w:rPr>
        <w:t xml:space="preserve">mg </w:t>
      </w:r>
      <w:r w:rsidRPr="00B23FF6">
        <w:rPr>
          <w:rFonts w:eastAsia="Times New Roman" w:cs="Arial"/>
          <w:color w:val="000000"/>
          <w:lang w:eastAsia="bg-BG"/>
        </w:rPr>
        <w:t>пропиленгликол на таблетка.</w:t>
      </w:r>
    </w:p>
    <w:p w14:paraId="5D2A6674" w14:textId="77777777" w:rsidR="00B23FF6" w:rsidRPr="00B23FF6" w:rsidRDefault="00B23FF6" w:rsidP="00B23FF6">
      <w:pPr>
        <w:spacing w:line="240" w:lineRule="auto"/>
        <w:rPr>
          <w:rFonts w:eastAsia="Times New Roman" w:cs="Arial"/>
          <w:color w:val="000000"/>
          <w:lang w:eastAsia="bg-BG"/>
        </w:rPr>
      </w:pPr>
    </w:p>
    <w:p w14:paraId="5A4635C9" w14:textId="534D7265"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 xml:space="preserve">Зентел съдържа азобагрилото </w:t>
      </w:r>
      <w:r w:rsidRPr="00B23FF6">
        <w:rPr>
          <w:rFonts w:eastAsia="Times New Roman" w:cs="Arial"/>
          <w:color w:val="000000"/>
          <w:lang w:val="en-US"/>
        </w:rPr>
        <w:t xml:space="preserve">FD&amp;C </w:t>
      </w:r>
      <w:r w:rsidRPr="00B23FF6">
        <w:rPr>
          <w:rFonts w:eastAsia="Times New Roman" w:cs="Arial"/>
          <w:color w:val="000000"/>
          <w:lang w:eastAsia="bg-BG"/>
        </w:rPr>
        <w:t>жълто #6, което може да причини алергични реакции.</w:t>
      </w:r>
    </w:p>
    <w:p w14:paraId="7ECDB62D" w14:textId="77777777" w:rsidR="00B23FF6" w:rsidRPr="00B23FF6" w:rsidRDefault="00B23FF6" w:rsidP="00B23FF6"/>
    <w:p w14:paraId="7ABEA351" w14:textId="77E5F087"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B4955D1" w14:textId="576E069F" w:rsidR="00B23FF6" w:rsidRDefault="00B23FF6" w:rsidP="00B23FF6"/>
    <w:p w14:paraId="17CE82BB" w14:textId="77777777" w:rsidR="00B23FF6" w:rsidRPr="00B23FF6" w:rsidRDefault="00B23FF6" w:rsidP="00B23FF6">
      <w:pPr>
        <w:rPr>
          <w:sz w:val="24"/>
          <w:szCs w:val="24"/>
          <w:lang w:eastAsia="bg-BG"/>
        </w:rPr>
      </w:pPr>
      <w:r w:rsidRPr="00B23FF6">
        <w:rPr>
          <w:lang w:eastAsia="bg-BG"/>
        </w:rPr>
        <w:t>Съобщавано е, че циметидин, празиквантел и дексаметазон повишават плазмените нива на метаболита на албендазол, отговорен за системната ефикасност на продукта.</w:t>
      </w:r>
    </w:p>
    <w:p w14:paraId="6290C02E" w14:textId="77777777" w:rsidR="00B23FF6" w:rsidRDefault="00B23FF6" w:rsidP="00B23FF6">
      <w:pPr>
        <w:rPr>
          <w:lang w:eastAsia="bg-BG"/>
        </w:rPr>
      </w:pPr>
    </w:p>
    <w:p w14:paraId="6879F668" w14:textId="13A60168" w:rsidR="00B23FF6" w:rsidRPr="00B23FF6" w:rsidRDefault="00B23FF6" w:rsidP="00B23FF6">
      <w:pPr>
        <w:rPr>
          <w:sz w:val="24"/>
          <w:szCs w:val="24"/>
          <w:lang w:eastAsia="bg-BG"/>
        </w:rPr>
      </w:pPr>
      <w:r w:rsidRPr="00B23FF6">
        <w:rPr>
          <w:lang w:eastAsia="bg-BG"/>
        </w:rPr>
        <w:t>Ритонавир, фенитоин, карбамазепин и фенобарбитал може да имат потенциал да намалят плазмените концентрации на активния метаболит на албендазол - албендазол сулфоксид. Клиничното значение на това не е известно, но може да доведе до понижаване на ефикасността, особено при лечение на системни хелминтни инфекции. Пациентите трябва да бъдат проследявани относно ефикасността и може да се нуждаят от алтернативни дозови режими или терапии.</w:t>
      </w:r>
    </w:p>
    <w:p w14:paraId="3300D77B" w14:textId="77777777" w:rsidR="00B23FF6" w:rsidRPr="00B23FF6" w:rsidRDefault="00B23FF6" w:rsidP="00B23FF6"/>
    <w:p w14:paraId="15A75A66" w14:textId="751F9F22" w:rsidR="00A71DCF" w:rsidRDefault="002C50EE" w:rsidP="00A93499">
      <w:pPr>
        <w:pStyle w:val="Heading2"/>
      </w:pPr>
      <w:r>
        <w:t>4.6. Фертилитет, бременност и кърмене</w:t>
      </w:r>
    </w:p>
    <w:p w14:paraId="5928D914" w14:textId="0F1CCCAE" w:rsidR="00B23FF6" w:rsidRDefault="00B23FF6" w:rsidP="00B23FF6"/>
    <w:p w14:paraId="4887E5CC" w14:textId="77777777" w:rsidR="00B23FF6" w:rsidRPr="00B23FF6" w:rsidRDefault="00B23FF6" w:rsidP="00B23FF6">
      <w:pPr>
        <w:pStyle w:val="Heading3"/>
        <w:rPr>
          <w:rFonts w:eastAsia="Times New Roman"/>
          <w:u w:val="single"/>
          <w:lang w:eastAsia="bg-BG"/>
        </w:rPr>
      </w:pPr>
      <w:r w:rsidRPr="00B23FF6">
        <w:rPr>
          <w:rFonts w:eastAsia="Times New Roman"/>
          <w:u w:val="single"/>
          <w:lang w:eastAsia="bg-BG"/>
        </w:rPr>
        <w:t>Бременност</w:t>
      </w:r>
    </w:p>
    <w:p w14:paraId="2087AAAA" w14:textId="77777777" w:rsidR="00B23FF6" w:rsidRPr="00B23FF6" w:rsidRDefault="00B23FF6" w:rsidP="00B23FF6">
      <w:pPr>
        <w:rPr>
          <w:sz w:val="24"/>
          <w:szCs w:val="24"/>
          <w:lang w:eastAsia="bg-BG"/>
        </w:rPr>
      </w:pPr>
      <w:r w:rsidRPr="00B23FF6">
        <w:rPr>
          <w:lang w:eastAsia="bg-BG"/>
        </w:rPr>
        <w:t>Албендазол не трябва да се прилага по време на бременност или при жени, които предполагат, че са бременни (вж. точка 4.3).</w:t>
      </w:r>
    </w:p>
    <w:p w14:paraId="2774D189" w14:textId="77777777" w:rsidR="00B23FF6" w:rsidRDefault="00B23FF6" w:rsidP="00B23FF6">
      <w:pPr>
        <w:rPr>
          <w:lang w:eastAsia="bg-BG"/>
        </w:rPr>
      </w:pPr>
    </w:p>
    <w:p w14:paraId="0FAAF049" w14:textId="5CC25CF4" w:rsidR="00B23FF6" w:rsidRPr="00B23FF6" w:rsidRDefault="00B23FF6" w:rsidP="00B23FF6">
      <w:pPr>
        <w:pStyle w:val="Heading3"/>
        <w:rPr>
          <w:rFonts w:eastAsia="Times New Roman"/>
          <w:u w:val="single"/>
          <w:lang w:eastAsia="bg-BG"/>
        </w:rPr>
      </w:pPr>
      <w:r w:rsidRPr="00B23FF6">
        <w:rPr>
          <w:rFonts w:eastAsia="Times New Roman"/>
          <w:u w:val="single"/>
          <w:lang w:eastAsia="bg-BG"/>
        </w:rPr>
        <w:t>Кърмене</w:t>
      </w:r>
    </w:p>
    <w:p w14:paraId="2BD0E0A9" w14:textId="77777777" w:rsidR="00B23FF6" w:rsidRPr="00B23FF6" w:rsidRDefault="00B23FF6" w:rsidP="00B23FF6">
      <w:pPr>
        <w:rPr>
          <w:sz w:val="24"/>
          <w:szCs w:val="24"/>
          <w:lang w:eastAsia="bg-BG"/>
        </w:rPr>
      </w:pPr>
      <w:r w:rsidRPr="00B23FF6">
        <w:rPr>
          <w:lang w:eastAsia="bg-BG"/>
        </w:rPr>
        <w:t>Не са налични достатъчно данни за приложение на албендазол по време на кърмене при хора и при животни.</w:t>
      </w:r>
    </w:p>
    <w:p w14:paraId="5EE4DEB7" w14:textId="77777777" w:rsidR="00B23FF6" w:rsidRPr="00B23FF6" w:rsidRDefault="00B23FF6" w:rsidP="00B23FF6"/>
    <w:p w14:paraId="6201597D" w14:textId="13DC629A" w:rsidR="00EE6C97" w:rsidRDefault="002C50EE" w:rsidP="00A93499">
      <w:pPr>
        <w:pStyle w:val="Heading2"/>
      </w:pPr>
      <w:r>
        <w:t>4.7. Ефекти върху способността за шофиране и работа с машини</w:t>
      </w:r>
    </w:p>
    <w:p w14:paraId="08BF7A9A" w14:textId="34CF201C" w:rsidR="00B23FF6" w:rsidRDefault="00B23FF6" w:rsidP="00B23FF6"/>
    <w:p w14:paraId="090FA25E" w14:textId="2F781905" w:rsidR="00B23FF6" w:rsidRDefault="00B23FF6" w:rsidP="00B23FF6">
      <w:pPr>
        <w:rPr>
          <w:lang w:eastAsia="bg-BG"/>
        </w:rPr>
      </w:pPr>
      <w:r w:rsidRPr="00B23FF6">
        <w:rPr>
          <w:lang w:eastAsia="bg-BG"/>
        </w:rPr>
        <w:t>Не са провеждани проучвания за установяване на ефекта на албендазол върху способността за шофиране или работа с машини. Въпреки това, по време на шофиране или работа с машини, трябва да се има предвид, че е съобщавано замайване при лечение с албендазол (вж. точка 4.8).</w:t>
      </w:r>
    </w:p>
    <w:p w14:paraId="2D648FC9" w14:textId="77777777" w:rsidR="00B23FF6" w:rsidRPr="00B23FF6" w:rsidRDefault="00B23FF6" w:rsidP="00B23FF6">
      <w:pPr>
        <w:rPr>
          <w:sz w:val="24"/>
          <w:szCs w:val="24"/>
          <w:lang w:eastAsia="bg-BG"/>
        </w:rPr>
      </w:pPr>
    </w:p>
    <w:p w14:paraId="389A90F4" w14:textId="33E0B333" w:rsidR="00BA5B74" w:rsidRDefault="002C50EE" w:rsidP="00A93499">
      <w:pPr>
        <w:pStyle w:val="Heading2"/>
      </w:pPr>
      <w:r>
        <w:t>4.8. Нежелани лекарствени реакции</w:t>
      </w:r>
    </w:p>
    <w:p w14:paraId="4E477495" w14:textId="265055CB" w:rsidR="00B23FF6" w:rsidRDefault="00B23FF6" w:rsidP="00B23FF6"/>
    <w:p w14:paraId="50D43612"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 xml:space="preserve">Използвани са данни от обширни клинични проучвания, за определяне на честотата на нежеланите реакции от много чести до редки. Честотите на всички други нежелани реакции (т.е. такива, наблюдавани при &lt; 1/1 000), са определени основно в резултат на </w:t>
      </w:r>
      <w:r w:rsidRPr="00B23FF6">
        <w:rPr>
          <w:rFonts w:eastAsia="Times New Roman" w:cs="Arial"/>
          <w:color w:val="000000"/>
          <w:lang w:eastAsia="bg-BG"/>
        </w:rPr>
        <w:lastRenderedPageBreak/>
        <w:t>данните от постмаркетинговото наблюдение и по тази причина се отнасят по-скоро до докладваната, отколкото до действителната честота.</w:t>
      </w:r>
    </w:p>
    <w:p w14:paraId="714B929F" w14:textId="77777777" w:rsidR="00B23FF6" w:rsidRPr="00B23FF6" w:rsidRDefault="00B23FF6" w:rsidP="00B23FF6">
      <w:pPr>
        <w:spacing w:line="240" w:lineRule="auto"/>
        <w:rPr>
          <w:rFonts w:eastAsia="Times New Roman" w:cs="Arial"/>
          <w:color w:val="000000"/>
          <w:lang w:eastAsia="bg-BG"/>
        </w:rPr>
      </w:pPr>
    </w:p>
    <w:p w14:paraId="782B311E" w14:textId="541CD606"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Използвана е следната класификация на честотата на нежеланите реакции:</w:t>
      </w:r>
    </w:p>
    <w:p w14:paraId="4866F8C8" w14:textId="77777777" w:rsidR="00B23FF6" w:rsidRPr="00B23FF6" w:rsidRDefault="00B23FF6" w:rsidP="00B23FF6">
      <w:pPr>
        <w:spacing w:line="240" w:lineRule="auto"/>
        <w:rPr>
          <w:rFonts w:eastAsia="Times New Roman" w:cs="Arial"/>
          <w:color w:val="000000"/>
          <w:lang w:eastAsia="bg-BG"/>
        </w:rPr>
      </w:pPr>
    </w:p>
    <w:p w14:paraId="2C085146" w14:textId="549DE4FF"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Много чести: ≥ 1/10</w:t>
      </w:r>
    </w:p>
    <w:p w14:paraId="5622AA31"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Чести: ≥ 1/100 до &lt; 1/10</w:t>
      </w:r>
    </w:p>
    <w:p w14:paraId="1A82EFCF" w14:textId="77777777" w:rsidR="00B23FF6" w:rsidRPr="00B23FF6" w:rsidRDefault="00B23FF6" w:rsidP="00B23FF6">
      <w:pPr>
        <w:spacing w:line="240" w:lineRule="auto"/>
        <w:rPr>
          <w:rFonts w:eastAsia="Times New Roman" w:cs="Arial"/>
          <w:color w:val="000000"/>
          <w:lang w:eastAsia="bg-BG"/>
        </w:rPr>
      </w:pPr>
      <w:r w:rsidRPr="00B23FF6">
        <w:rPr>
          <w:rFonts w:eastAsia="Times New Roman" w:cs="Arial"/>
          <w:color w:val="000000"/>
          <w:lang w:eastAsia="bg-BG"/>
        </w:rPr>
        <w:t xml:space="preserve">Нечести:≥ 1/1 000 до &lt; 1/100 </w:t>
      </w:r>
    </w:p>
    <w:p w14:paraId="46DAD804" w14:textId="77777777" w:rsidR="00B23FF6" w:rsidRPr="00B23FF6" w:rsidRDefault="00B23FF6" w:rsidP="00B23FF6">
      <w:pPr>
        <w:spacing w:line="240" w:lineRule="auto"/>
        <w:rPr>
          <w:rFonts w:eastAsia="Times New Roman" w:cs="Arial"/>
          <w:color w:val="000000"/>
          <w:lang w:eastAsia="bg-BG"/>
        </w:rPr>
      </w:pPr>
      <w:r w:rsidRPr="00B23FF6">
        <w:rPr>
          <w:rFonts w:eastAsia="Times New Roman" w:cs="Arial"/>
          <w:color w:val="000000"/>
          <w:lang w:eastAsia="bg-BG"/>
        </w:rPr>
        <w:t xml:space="preserve">Редки: ≥ 1/10 000 до &lt; 1/1 000 </w:t>
      </w:r>
    </w:p>
    <w:p w14:paraId="0AE809BF" w14:textId="2C36A168"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Много редки: &lt; 1/10 000</w:t>
      </w:r>
    </w:p>
    <w:p w14:paraId="6CD94BD3" w14:textId="2C1D186C" w:rsidR="00B23FF6" w:rsidRPr="00B23FF6" w:rsidRDefault="00B23FF6" w:rsidP="00B23FF6">
      <w:pPr>
        <w:rPr>
          <w:rFonts w:cs="Arial"/>
        </w:rPr>
      </w:pPr>
    </w:p>
    <w:p w14:paraId="60382F34" w14:textId="77777777"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 xml:space="preserve">Приложение при чревни инфекции и кожна ларва мигранс </w:t>
      </w:r>
      <w:r w:rsidRPr="00B23FF6">
        <w:rPr>
          <w:rFonts w:eastAsia="Times New Roman" w:cs="Arial"/>
          <w:color w:val="000000"/>
          <w:lang w:eastAsia="bg-BG"/>
        </w:rPr>
        <w:t>(краткотрайно лечение с ниски дози):</w:t>
      </w:r>
    </w:p>
    <w:p w14:paraId="580047A5" w14:textId="77777777" w:rsidR="00B23FF6" w:rsidRPr="00B23FF6" w:rsidRDefault="00B23FF6" w:rsidP="00B23FF6">
      <w:pPr>
        <w:spacing w:line="240" w:lineRule="auto"/>
        <w:rPr>
          <w:rFonts w:eastAsia="Times New Roman" w:cs="Arial"/>
          <w:b/>
          <w:bCs/>
          <w:color w:val="000000"/>
          <w:lang w:eastAsia="bg-BG"/>
        </w:rPr>
      </w:pPr>
    </w:p>
    <w:p w14:paraId="6677CD88" w14:textId="577253A8"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имунната система</w:t>
      </w:r>
    </w:p>
    <w:p w14:paraId="1D14CCF9"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Редки: Реакции на свръхчувствителност, включително обрив, пруритус и уртикария</w:t>
      </w:r>
    </w:p>
    <w:p w14:paraId="52D57E5A" w14:textId="77777777" w:rsidR="00B23FF6" w:rsidRPr="00B23FF6" w:rsidRDefault="00B23FF6" w:rsidP="00B23FF6">
      <w:pPr>
        <w:spacing w:line="240" w:lineRule="auto"/>
        <w:rPr>
          <w:rFonts w:eastAsia="Times New Roman" w:cs="Arial"/>
          <w:b/>
          <w:bCs/>
          <w:color w:val="000000"/>
          <w:lang w:eastAsia="bg-BG"/>
        </w:rPr>
      </w:pPr>
      <w:bookmarkStart w:id="3" w:name="bookmark3"/>
    </w:p>
    <w:p w14:paraId="42083BE2" w14:textId="1DC96933"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нервната система</w:t>
      </w:r>
      <w:bookmarkEnd w:id="3"/>
    </w:p>
    <w:p w14:paraId="50EE1542"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Не чести: Главоболие и замаяност</w:t>
      </w:r>
    </w:p>
    <w:p w14:paraId="066FE1B2" w14:textId="77777777" w:rsidR="00B23FF6" w:rsidRPr="00B23FF6" w:rsidRDefault="00B23FF6" w:rsidP="00B23FF6">
      <w:pPr>
        <w:spacing w:line="240" w:lineRule="auto"/>
        <w:rPr>
          <w:rFonts w:eastAsia="Times New Roman" w:cs="Arial"/>
          <w:b/>
          <w:bCs/>
          <w:color w:val="000000"/>
          <w:lang w:eastAsia="bg-BG"/>
        </w:rPr>
      </w:pPr>
      <w:bookmarkStart w:id="4" w:name="bookmark5"/>
    </w:p>
    <w:p w14:paraId="58B25BBE" w14:textId="635D1EB5"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Стомашно-чревни нарушения</w:t>
      </w:r>
      <w:bookmarkEnd w:id="4"/>
    </w:p>
    <w:p w14:paraId="4D766EE6"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Нечести: Симптоми от страна на горните отдели на стомашно-чревния тракт (напр. епигастрална или коремна болка, гадене, повръщане) и диария.</w:t>
      </w:r>
    </w:p>
    <w:p w14:paraId="55D9E828" w14:textId="77777777" w:rsidR="00B23FF6" w:rsidRPr="00B23FF6" w:rsidRDefault="00B23FF6" w:rsidP="00B23FF6">
      <w:pPr>
        <w:spacing w:line="240" w:lineRule="auto"/>
        <w:rPr>
          <w:rFonts w:eastAsia="Times New Roman" w:cs="Arial"/>
          <w:b/>
          <w:bCs/>
          <w:color w:val="000000"/>
          <w:lang w:eastAsia="bg-BG"/>
        </w:rPr>
      </w:pPr>
      <w:bookmarkStart w:id="5" w:name="bookmark7"/>
    </w:p>
    <w:p w14:paraId="53895674" w14:textId="0D321846"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Хепато-билиарни нарушения:</w:t>
      </w:r>
      <w:bookmarkEnd w:id="5"/>
    </w:p>
    <w:p w14:paraId="56C6855E"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Редки: Повишаване на стойностите на чернодробните ензими</w:t>
      </w:r>
    </w:p>
    <w:p w14:paraId="1D379020" w14:textId="77777777" w:rsidR="00B23FF6" w:rsidRPr="00B23FF6" w:rsidRDefault="00B23FF6" w:rsidP="00B23FF6">
      <w:pPr>
        <w:spacing w:line="240" w:lineRule="auto"/>
        <w:rPr>
          <w:rFonts w:eastAsia="Times New Roman" w:cs="Arial"/>
          <w:b/>
          <w:bCs/>
          <w:color w:val="000000"/>
          <w:lang w:eastAsia="bg-BG"/>
        </w:rPr>
      </w:pPr>
      <w:bookmarkStart w:id="6" w:name="bookmark9"/>
    </w:p>
    <w:p w14:paraId="18F75033" w14:textId="23AC1F40"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кожата и подкожната тъкан</w:t>
      </w:r>
      <w:bookmarkEnd w:id="6"/>
    </w:p>
    <w:p w14:paraId="62CC8154"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 xml:space="preserve">Много редки: Еритема мултиформе, синдром на </w:t>
      </w:r>
      <w:r w:rsidRPr="00B23FF6">
        <w:rPr>
          <w:rFonts w:eastAsia="Times New Roman" w:cs="Arial"/>
          <w:color w:val="000000"/>
          <w:lang w:val="en-US"/>
        </w:rPr>
        <w:t>Stevens-Johnson</w:t>
      </w:r>
    </w:p>
    <w:p w14:paraId="72A86269" w14:textId="77777777" w:rsidR="00B23FF6" w:rsidRPr="00B23FF6" w:rsidRDefault="00B23FF6" w:rsidP="00B23FF6">
      <w:pPr>
        <w:spacing w:line="240" w:lineRule="auto"/>
        <w:rPr>
          <w:rFonts w:eastAsia="Times New Roman" w:cs="Arial"/>
          <w:b/>
          <w:bCs/>
          <w:color w:val="000000"/>
          <w:lang w:eastAsia="bg-BG"/>
        </w:rPr>
      </w:pPr>
      <w:bookmarkStart w:id="7" w:name="bookmark11"/>
    </w:p>
    <w:p w14:paraId="5A8A5452" w14:textId="77A0E61A"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 xml:space="preserve">Приложение при системни хелминтни инфекции </w:t>
      </w:r>
      <w:r w:rsidRPr="00B23FF6">
        <w:rPr>
          <w:rFonts w:eastAsia="Times New Roman" w:cs="Arial"/>
          <w:color w:val="000000"/>
          <w:lang w:eastAsia="bg-BG"/>
        </w:rPr>
        <w:t>(продължително лечение с високи дози):</w:t>
      </w:r>
      <w:bookmarkEnd w:id="7"/>
    </w:p>
    <w:p w14:paraId="2D12A54E" w14:textId="77777777" w:rsidR="00B23FF6" w:rsidRPr="00B23FF6" w:rsidRDefault="00B23FF6" w:rsidP="00B23FF6">
      <w:pPr>
        <w:spacing w:line="240" w:lineRule="auto"/>
        <w:rPr>
          <w:rFonts w:eastAsia="Times New Roman" w:cs="Arial"/>
          <w:b/>
          <w:bCs/>
          <w:color w:val="000000"/>
          <w:lang w:eastAsia="bg-BG"/>
        </w:rPr>
      </w:pPr>
    </w:p>
    <w:p w14:paraId="07D1C1B5" w14:textId="40D456CC"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кръвта и лимфната система</w:t>
      </w:r>
    </w:p>
    <w:p w14:paraId="1500F028"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Нечести: Левкопения</w:t>
      </w:r>
    </w:p>
    <w:p w14:paraId="6009F93C"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Много редки: Панцитопения, апластична анемия, агранулоцитоза</w:t>
      </w:r>
    </w:p>
    <w:p w14:paraId="3C34B48D" w14:textId="33E44D8B"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Пациенти с чернодробно заболяване, включително чернодробна ехинококоза, са по-податливи на</w:t>
      </w:r>
      <w:r>
        <w:rPr>
          <w:rFonts w:eastAsia="Times New Roman" w:cs="Arial"/>
          <w:lang w:val="en-US" w:eastAsia="bg-BG"/>
        </w:rPr>
        <w:t xml:space="preserve"> </w:t>
      </w:r>
      <w:r w:rsidRPr="00B23FF6">
        <w:rPr>
          <w:rFonts w:eastAsia="Times New Roman" w:cs="Arial"/>
          <w:color w:val="000000"/>
          <w:lang w:eastAsia="bg-BG"/>
        </w:rPr>
        <w:t>костно-мозъчна супресия (вж. точка 4.2 и 4.4)</w:t>
      </w:r>
    </w:p>
    <w:p w14:paraId="5733BE72" w14:textId="77777777" w:rsidR="00B23FF6" w:rsidRPr="00B23FF6" w:rsidRDefault="00B23FF6" w:rsidP="00B23FF6">
      <w:pPr>
        <w:spacing w:line="240" w:lineRule="auto"/>
        <w:rPr>
          <w:rFonts w:eastAsia="Times New Roman" w:cs="Arial"/>
          <w:b/>
          <w:bCs/>
          <w:color w:val="000000"/>
          <w:lang w:eastAsia="bg-BG"/>
        </w:rPr>
      </w:pPr>
      <w:bookmarkStart w:id="8" w:name="bookmark14"/>
    </w:p>
    <w:p w14:paraId="4CFF5492" w14:textId="3F5C68F8"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имунната система</w:t>
      </w:r>
      <w:bookmarkEnd w:id="8"/>
    </w:p>
    <w:p w14:paraId="7A5C4C96"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Нечести: Реакции на свръхчувствителност, включително обрив, пруритус и уртикария</w:t>
      </w:r>
    </w:p>
    <w:p w14:paraId="53DDAA35" w14:textId="77777777" w:rsidR="00B23FF6" w:rsidRPr="00B23FF6" w:rsidRDefault="00B23FF6" w:rsidP="00B23FF6">
      <w:pPr>
        <w:spacing w:line="240" w:lineRule="auto"/>
        <w:rPr>
          <w:rFonts w:eastAsia="Times New Roman" w:cs="Arial"/>
          <w:b/>
          <w:bCs/>
          <w:color w:val="000000"/>
          <w:lang w:eastAsia="bg-BG"/>
        </w:rPr>
      </w:pPr>
      <w:bookmarkStart w:id="9" w:name="bookmark16"/>
    </w:p>
    <w:p w14:paraId="41F317BE" w14:textId="771DF8C6"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нервната система</w:t>
      </w:r>
      <w:bookmarkEnd w:id="9"/>
    </w:p>
    <w:p w14:paraId="25E2BA9A"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Много чести: Главоболие</w:t>
      </w:r>
    </w:p>
    <w:p w14:paraId="061D72FA"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Чести: Замаяност</w:t>
      </w:r>
    </w:p>
    <w:p w14:paraId="5CF66745" w14:textId="77777777" w:rsidR="00B23FF6" w:rsidRPr="00B23FF6" w:rsidRDefault="00B23FF6" w:rsidP="00B23FF6">
      <w:pPr>
        <w:spacing w:line="240" w:lineRule="auto"/>
        <w:rPr>
          <w:rFonts w:eastAsia="Times New Roman" w:cs="Arial"/>
          <w:b/>
          <w:bCs/>
          <w:color w:val="000000"/>
          <w:lang w:eastAsia="bg-BG"/>
        </w:rPr>
      </w:pPr>
      <w:bookmarkStart w:id="10" w:name="bookmark18"/>
    </w:p>
    <w:p w14:paraId="32D089CF" w14:textId="79D78AD8"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Стомашно-чревни нарушения</w:t>
      </w:r>
      <w:bookmarkEnd w:id="10"/>
    </w:p>
    <w:p w14:paraId="05438B64"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Чести: Стомашно-чревни нарушения (коремна болка, гадене, повръщане)</w:t>
      </w:r>
    </w:p>
    <w:p w14:paraId="257456FD" w14:textId="77777777" w:rsidR="00B23FF6" w:rsidRPr="00B23FF6" w:rsidRDefault="00B23FF6" w:rsidP="00B23FF6">
      <w:pPr>
        <w:spacing w:line="240" w:lineRule="auto"/>
        <w:rPr>
          <w:rFonts w:eastAsia="Times New Roman" w:cs="Arial"/>
          <w:color w:val="000000"/>
          <w:lang w:eastAsia="bg-BG"/>
        </w:rPr>
      </w:pPr>
    </w:p>
    <w:p w14:paraId="0B472FDB" w14:textId="73E4A3FF"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Стомашно-чревните нарушения са свързани с приема на албендазол по време на лечение на пациенти с ехинококоза.</w:t>
      </w:r>
    </w:p>
    <w:p w14:paraId="77E11CC5" w14:textId="77777777" w:rsidR="00B23FF6" w:rsidRPr="00B23FF6" w:rsidRDefault="00B23FF6" w:rsidP="00B23FF6">
      <w:pPr>
        <w:spacing w:line="240" w:lineRule="auto"/>
        <w:rPr>
          <w:rFonts w:eastAsia="Times New Roman" w:cs="Arial"/>
          <w:b/>
          <w:bCs/>
          <w:color w:val="000000"/>
          <w:lang w:eastAsia="bg-BG"/>
        </w:rPr>
      </w:pPr>
      <w:bookmarkStart w:id="11" w:name="bookmark20"/>
    </w:p>
    <w:p w14:paraId="4503A4B2" w14:textId="7B39EA5E"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Хепато-билнарни нарушения</w:t>
      </w:r>
      <w:bookmarkEnd w:id="11"/>
    </w:p>
    <w:p w14:paraId="37D22D16"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Много чести: Леко до умерено повишаване на нивата на чернодробните ензими</w:t>
      </w:r>
    </w:p>
    <w:p w14:paraId="15187877"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Нечести: Хепатит</w:t>
      </w:r>
    </w:p>
    <w:p w14:paraId="7BF144E6" w14:textId="77777777" w:rsidR="00B23FF6" w:rsidRPr="00B23FF6" w:rsidRDefault="00B23FF6" w:rsidP="00B23FF6">
      <w:pPr>
        <w:spacing w:line="240" w:lineRule="auto"/>
        <w:rPr>
          <w:rFonts w:eastAsia="Times New Roman" w:cs="Arial"/>
          <w:b/>
          <w:bCs/>
          <w:color w:val="000000"/>
          <w:lang w:eastAsia="bg-BG"/>
        </w:rPr>
      </w:pPr>
      <w:bookmarkStart w:id="12" w:name="bookmark22"/>
    </w:p>
    <w:p w14:paraId="66D22E0B" w14:textId="12199EE4"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Нарушения на кожата и подкожната тъкан</w:t>
      </w:r>
      <w:bookmarkEnd w:id="12"/>
    </w:p>
    <w:p w14:paraId="283D3A68"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Чести: Обратима алопеция (изтъняване на косата и умерена загуба на коса)</w:t>
      </w:r>
    </w:p>
    <w:p w14:paraId="4FF67C86"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 xml:space="preserve">Много редки: Еритема мултиформе, синдром на </w:t>
      </w:r>
      <w:r w:rsidRPr="00B23FF6">
        <w:rPr>
          <w:rFonts w:eastAsia="Times New Roman" w:cs="Arial"/>
          <w:color w:val="000000"/>
          <w:lang w:val="en-US"/>
        </w:rPr>
        <w:t>Stevens-Johnson</w:t>
      </w:r>
    </w:p>
    <w:p w14:paraId="34161364" w14:textId="77777777" w:rsidR="00B23FF6" w:rsidRPr="00B23FF6" w:rsidRDefault="00B23FF6" w:rsidP="00B23FF6">
      <w:pPr>
        <w:spacing w:line="240" w:lineRule="auto"/>
        <w:rPr>
          <w:rFonts w:eastAsia="Times New Roman" w:cs="Arial"/>
          <w:b/>
          <w:bCs/>
          <w:color w:val="000000"/>
          <w:lang w:eastAsia="bg-BG"/>
        </w:rPr>
      </w:pPr>
      <w:bookmarkStart w:id="13" w:name="bookmark24"/>
    </w:p>
    <w:p w14:paraId="3E140B3A" w14:textId="71ED34F8" w:rsidR="00B23FF6" w:rsidRPr="00B23FF6" w:rsidRDefault="00B23FF6" w:rsidP="00B23FF6">
      <w:pPr>
        <w:spacing w:line="240" w:lineRule="auto"/>
        <w:rPr>
          <w:rFonts w:eastAsia="Times New Roman" w:cs="Arial"/>
          <w:lang w:eastAsia="bg-BG"/>
        </w:rPr>
      </w:pPr>
      <w:r w:rsidRPr="00B23FF6">
        <w:rPr>
          <w:rFonts w:eastAsia="Times New Roman" w:cs="Arial"/>
          <w:b/>
          <w:bCs/>
          <w:color w:val="000000"/>
          <w:lang w:eastAsia="bg-BG"/>
        </w:rPr>
        <w:t>Общи нарушения и ефекти на мястото на приложение</w:t>
      </w:r>
      <w:bookmarkEnd w:id="13"/>
    </w:p>
    <w:p w14:paraId="21FF9527"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Чести: Повишена температура</w:t>
      </w:r>
    </w:p>
    <w:p w14:paraId="733EB262" w14:textId="4DF2C290" w:rsidR="00B23FF6" w:rsidRPr="00B23FF6" w:rsidRDefault="00B23FF6" w:rsidP="00B23FF6">
      <w:pPr>
        <w:rPr>
          <w:rFonts w:cs="Arial"/>
        </w:rPr>
      </w:pPr>
    </w:p>
    <w:p w14:paraId="51B49D74"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u w:val="single"/>
          <w:lang w:eastAsia="bg-BG"/>
        </w:rPr>
        <w:t>Съобщаване на подозирани нежелани реакции</w:t>
      </w:r>
    </w:p>
    <w:p w14:paraId="19094FFF"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01F1E203" w14:textId="77777777" w:rsidR="00B23FF6" w:rsidRPr="00B23FF6" w:rsidRDefault="00B23FF6" w:rsidP="00B23FF6">
      <w:pPr>
        <w:spacing w:line="240" w:lineRule="auto"/>
        <w:rPr>
          <w:rFonts w:eastAsia="Times New Roman" w:cs="Arial"/>
          <w:color w:val="000000"/>
          <w:lang w:eastAsia="bg-BG"/>
        </w:rPr>
      </w:pPr>
    </w:p>
    <w:p w14:paraId="154EAFD9" w14:textId="05A40F76"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Изпълнителна агенция по лекарствата</w:t>
      </w:r>
    </w:p>
    <w:p w14:paraId="06BCD2E1"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ул., Дамян Груев” № 8</w:t>
      </w:r>
    </w:p>
    <w:p w14:paraId="14F2BA50"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1303 София</w:t>
      </w:r>
    </w:p>
    <w:p w14:paraId="3EE247DC"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тел.:+359 2 890 34 17</w:t>
      </w:r>
    </w:p>
    <w:p w14:paraId="09EB90A0" w14:textId="77777777" w:rsidR="00B23FF6" w:rsidRPr="00B23FF6" w:rsidRDefault="00B23FF6" w:rsidP="00B23FF6">
      <w:pPr>
        <w:spacing w:line="240" w:lineRule="auto"/>
        <w:rPr>
          <w:rFonts w:eastAsia="Times New Roman" w:cs="Arial"/>
          <w:lang w:eastAsia="bg-BG"/>
        </w:rPr>
      </w:pPr>
      <w:r w:rsidRPr="00B23FF6">
        <w:rPr>
          <w:rFonts w:eastAsia="Times New Roman" w:cs="Arial"/>
          <w:color w:val="000000"/>
          <w:lang w:eastAsia="bg-BG"/>
        </w:rPr>
        <w:t xml:space="preserve">уебсайт: </w:t>
      </w:r>
      <w:hyperlink r:id="rId5" w:history="1">
        <w:r w:rsidRPr="00B23FF6">
          <w:rPr>
            <w:rFonts w:eastAsia="Times New Roman" w:cs="Arial"/>
            <w:color w:val="000000"/>
            <w:u w:val="single"/>
            <w:lang w:val="en-US"/>
          </w:rPr>
          <w:t>www.bda.bg</w:t>
        </w:r>
      </w:hyperlink>
    </w:p>
    <w:p w14:paraId="751EE2FB" w14:textId="77777777" w:rsidR="00B23FF6" w:rsidRPr="00B23FF6" w:rsidRDefault="00B23FF6" w:rsidP="00B23FF6"/>
    <w:p w14:paraId="4A5904B1" w14:textId="587F9C78" w:rsidR="00EE6C97" w:rsidRDefault="002C50EE" w:rsidP="00A93499">
      <w:pPr>
        <w:pStyle w:val="Heading2"/>
      </w:pPr>
      <w:r>
        <w:t>4.9. Предозиране</w:t>
      </w:r>
    </w:p>
    <w:p w14:paraId="32A292AB" w14:textId="21E17341" w:rsidR="00B23FF6" w:rsidRDefault="00B23FF6" w:rsidP="00B23FF6"/>
    <w:p w14:paraId="610F42E1" w14:textId="7B95A691" w:rsidR="00B23FF6" w:rsidRPr="00B23FF6" w:rsidRDefault="00B23FF6" w:rsidP="00B23FF6">
      <w:r>
        <w:t>Последващите мерки трябва да са в съответствие с клиничната практика или както се препоръчва от националния център по отравяния, при наличие на такъв център.</w:t>
      </w:r>
    </w:p>
    <w:p w14:paraId="02081B24" w14:textId="36FE76F4" w:rsidR="00395555" w:rsidRPr="00395555" w:rsidRDefault="002C50EE" w:rsidP="008A6AF2">
      <w:pPr>
        <w:pStyle w:val="Heading1"/>
      </w:pPr>
      <w:r>
        <w:t>5. ФАРМАКОЛОГИЧНИ СВОЙСТВА</w:t>
      </w:r>
    </w:p>
    <w:p w14:paraId="3B9FA2B5" w14:textId="609D8AAD" w:rsidR="00EE6C97" w:rsidRDefault="002C50EE" w:rsidP="00A93499">
      <w:pPr>
        <w:pStyle w:val="Heading2"/>
      </w:pPr>
      <w:r>
        <w:t>5.1. Фармакодинамични свойства</w:t>
      </w:r>
    </w:p>
    <w:p w14:paraId="16DDED1C" w14:textId="5ADE11FA" w:rsidR="00B23FF6" w:rsidRDefault="00B23FF6" w:rsidP="00B23FF6"/>
    <w:p w14:paraId="62B13C66"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АТС код: Р02СА03</w:t>
      </w:r>
    </w:p>
    <w:p w14:paraId="37D59277" w14:textId="77777777" w:rsidR="00B23FF6" w:rsidRPr="0063778B" w:rsidRDefault="00B23FF6" w:rsidP="00B23FF6">
      <w:pPr>
        <w:spacing w:line="240" w:lineRule="auto"/>
        <w:rPr>
          <w:rFonts w:eastAsia="Times New Roman" w:cs="Arial"/>
          <w:color w:val="000000"/>
          <w:u w:val="single"/>
          <w:lang w:eastAsia="bg-BG"/>
        </w:rPr>
      </w:pPr>
    </w:p>
    <w:p w14:paraId="44671375" w14:textId="1C88669F"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u w:val="single"/>
          <w:lang w:eastAsia="bg-BG"/>
        </w:rPr>
        <w:t>Механизъм на действие</w:t>
      </w:r>
    </w:p>
    <w:p w14:paraId="750A74D0" w14:textId="77777777" w:rsidR="00B23FF6" w:rsidRPr="0063778B" w:rsidRDefault="00B23FF6" w:rsidP="00B23FF6">
      <w:pPr>
        <w:spacing w:line="240" w:lineRule="auto"/>
        <w:rPr>
          <w:rFonts w:eastAsia="Times New Roman" w:cs="Arial"/>
          <w:color w:val="000000"/>
          <w:lang w:eastAsia="bg-BG"/>
        </w:rPr>
      </w:pPr>
    </w:p>
    <w:p w14:paraId="416259C1" w14:textId="1760BB9F"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Албендазол е бензимидазолов карбамат с антипротозойна и антихелминтна активност срещу чревни и тъканни паразити. Албендазол проявява ларвицидна, овицидна и вермицидна активност и се счита, че упражнява антихелминтния си ефект чрез подтискане на полимеризацията на тубулин. Това причинява нарушаване на метаболизма на хелминтите, включително намаляване на енергията, което обездвижва, а след това убива чувствителните хелминти.</w:t>
      </w:r>
    </w:p>
    <w:p w14:paraId="2D9F8FEC" w14:textId="77777777" w:rsidR="00B23FF6" w:rsidRPr="0063778B" w:rsidRDefault="00B23FF6" w:rsidP="00B23FF6">
      <w:pPr>
        <w:spacing w:line="240" w:lineRule="auto"/>
        <w:rPr>
          <w:rFonts w:eastAsia="Times New Roman" w:cs="Arial"/>
          <w:b/>
          <w:bCs/>
          <w:color w:val="000000"/>
          <w:lang w:eastAsia="bg-BG"/>
        </w:rPr>
      </w:pPr>
    </w:p>
    <w:p w14:paraId="751A0A51" w14:textId="2D30364A"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Чревни инфекции и Кожна ларва мигранс</w:t>
      </w:r>
    </w:p>
    <w:p w14:paraId="030AB107"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Албендазол е активен срещу следните чревни паразити:</w:t>
      </w:r>
    </w:p>
    <w:p w14:paraId="71E7CF60" w14:textId="77777777" w:rsidR="00B23FF6" w:rsidRPr="0063778B" w:rsidRDefault="00B23FF6" w:rsidP="00B23FF6">
      <w:pPr>
        <w:spacing w:line="240" w:lineRule="auto"/>
        <w:rPr>
          <w:rFonts w:eastAsia="Times New Roman" w:cs="Arial"/>
          <w:b/>
          <w:bCs/>
          <w:color w:val="000000"/>
          <w:lang w:eastAsia="bg-BG"/>
        </w:rPr>
      </w:pPr>
    </w:p>
    <w:p w14:paraId="4C3606B9" w14:textId="5D611ECF"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Нематоди</w:t>
      </w:r>
    </w:p>
    <w:p w14:paraId="4FACD55A"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i/>
          <w:iCs/>
          <w:color w:val="000000"/>
          <w:lang w:val="en-US"/>
        </w:rPr>
        <w:t>Ascaris lumbricoides</w:t>
      </w:r>
      <w:r w:rsidRPr="00B23FF6">
        <w:rPr>
          <w:rFonts w:eastAsia="Times New Roman" w:cs="Arial"/>
          <w:color w:val="000000"/>
          <w:lang w:val="en-US"/>
        </w:rPr>
        <w:t xml:space="preserve"> </w:t>
      </w:r>
      <w:r w:rsidRPr="00B23FF6">
        <w:rPr>
          <w:rFonts w:eastAsia="Times New Roman" w:cs="Arial"/>
          <w:color w:val="000000"/>
          <w:lang w:eastAsia="bg-BG"/>
        </w:rPr>
        <w:t>(кръгли червеи)</w:t>
      </w:r>
    </w:p>
    <w:p w14:paraId="3481CEFD"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i/>
          <w:iCs/>
          <w:color w:val="000000"/>
          <w:lang w:val="en-US"/>
        </w:rPr>
        <w:lastRenderedPageBreak/>
        <w:t xml:space="preserve">Trichuris </w:t>
      </w:r>
      <w:proofErr w:type="spellStart"/>
      <w:r w:rsidRPr="00B23FF6">
        <w:rPr>
          <w:rFonts w:eastAsia="Times New Roman" w:cs="Arial"/>
          <w:i/>
          <w:iCs/>
          <w:color w:val="000000"/>
          <w:lang w:val="en-US"/>
        </w:rPr>
        <w:t>trichiura</w:t>
      </w:r>
      <w:proofErr w:type="spellEnd"/>
      <w:r w:rsidRPr="00B23FF6">
        <w:rPr>
          <w:rFonts w:eastAsia="Times New Roman" w:cs="Arial"/>
          <w:color w:val="000000"/>
          <w:lang w:val="en-US"/>
        </w:rPr>
        <w:t xml:space="preserve"> </w:t>
      </w:r>
      <w:r w:rsidRPr="00B23FF6">
        <w:rPr>
          <w:rFonts w:eastAsia="Times New Roman" w:cs="Arial"/>
          <w:color w:val="000000"/>
          <w:lang w:eastAsia="bg-BG"/>
        </w:rPr>
        <w:t>(камшичест червей)</w:t>
      </w:r>
    </w:p>
    <w:p w14:paraId="72EE8BF6"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i/>
          <w:iCs/>
          <w:color w:val="000000"/>
          <w:lang w:val="en-US"/>
        </w:rPr>
        <w:t>Enterobius vermicularis</w:t>
      </w:r>
      <w:r w:rsidRPr="00B23FF6">
        <w:rPr>
          <w:rFonts w:eastAsia="Times New Roman" w:cs="Arial"/>
          <w:color w:val="000000"/>
          <w:lang w:val="en-US"/>
        </w:rPr>
        <w:t xml:space="preserve"> </w:t>
      </w:r>
      <w:r w:rsidRPr="00B23FF6">
        <w:rPr>
          <w:rFonts w:eastAsia="Times New Roman" w:cs="Arial"/>
          <w:color w:val="000000"/>
          <w:lang w:eastAsia="bg-BG"/>
        </w:rPr>
        <w:t>(острици и нишковидни червеи)</w:t>
      </w:r>
    </w:p>
    <w:p w14:paraId="447C4438" w14:textId="77777777" w:rsidR="00B23FF6" w:rsidRPr="00B23FF6" w:rsidRDefault="00B23FF6" w:rsidP="00B23FF6">
      <w:pPr>
        <w:spacing w:line="240" w:lineRule="auto"/>
        <w:rPr>
          <w:rFonts w:eastAsia="Times New Roman" w:cs="Arial"/>
          <w:sz w:val="24"/>
          <w:szCs w:val="24"/>
          <w:lang w:eastAsia="bg-BG"/>
        </w:rPr>
      </w:pPr>
      <w:proofErr w:type="spellStart"/>
      <w:r w:rsidRPr="00B23FF6">
        <w:rPr>
          <w:rFonts w:eastAsia="Times New Roman" w:cs="Arial"/>
          <w:i/>
          <w:iCs/>
          <w:color w:val="000000"/>
          <w:lang w:val="en-US"/>
        </w:rPr>
        <w:t>Ancilostoma</w:t>
      </w:r>
      <w:proofErr w:type="spellEnd"/>
      <w:r w:rsidRPr="00B23FF6">
        <w:rPr>
          <w:rFonts w:eastAsia="Times New Roman" w:cs="Arial"/>
          <w:i/>
          <w:iCs/>
          <w:color w:val="000000"/>
          <w:lang w:val="en-US"/>
        </w:rPr>
        <w:t xml:space="preserve"> duodenale</w:t>
      </w:r>
      <w:r w:rsidRPr="00B23FF6">
        <w:rPr>
          <w:rFonts w:eastAsia="Times New Roman" w:cs="Arial"/>
          <w:color w:val="000000"/>
          <w:lang w:val="en-US"/>
        </w:rPr>
        <w:t xml:space="preserve"> </w:t>
      </w:r>
      <w:r w:rsidRPr="00B23FF6">
        <w:rPr>
          <w:rFonts w:eastAsia="Times New Roman" w:cs="Arial"/>
          <w:color w:val="000000"/>
          <w:lang w:eastAsia="bg-BG"/>
        </w:rPr>
        <w:t>(червеи с кукички)</w:t>
      </w:r>
    </w:p>
    <w:p w14:paraId="6E51E8E4" w14:textId="77777777" w:rsidR="00B23FF6" w:rsidRPr="00B23FF6" w:rsidRDefault="00B23FF6" w:rsidP="00B23FF6">
      <w:pPr>
        <w:spacing w:line="240" w:lineRule="auto"/>
        <w:rPr>
          <w:rFonts w:eastAsia="Times New Roman" w:cs="Arial"/>
          <w:sz w:val="24"/>
          <w:szCs w:val="24"/>
          <w:lang w:eastAsia="bg-BG"/>
        </w:rPr>
      </w:pPr>
      <w:proofErr w:type="spellStart"/>
      <w:r w:rsidRPr="00B23FF6">
        <w:rPr>
          <w:rFonts w:eastAsia="Times New Roman" w:cs="Arial"/>
          <w:i/>
          <w:iCs/>
          <w:color w:val="000000"/>
          <w:lang w:val="en-US"/>
        </w:rPr>
        <w:t>Necator</w:t>
      </w:r>
      <w:proofErr w:type="spellEnd"/>
      <w:r w:rsidRPr="00B23FF6">
        <w:rPr>
          <w:rFonts w:eastAsia="Times New Roman" w:cs="Arial"/>
          <w:i/>
          <w:iCs/>
          <w:color w:val="000000"/>
          <w:lang w:val="en-US"/>
        </w:rPr>
        <w:t xml:space="preserve"> americanus</w:t>
      </w:r>
      <w:r w:rsidRPr="00B23FF6">
        <w:rPr>
          <w:rFonts w:eastAsia="Times New Roman" w:cs="Arial"/>
          <w:color w:val="000000"/>
          <w:lang w:val="en-US"/>
        </w:rPr>
        <w:t xml:space="preserve"> </w:t>
      </w:r>
      <w:r w:rsidRPr="00B23FF6">
        <w:rPr>
          <w:rFonts w:eastAsia="Times New Roman" w:cs="Arial"/>
          <w:color w:val="000000"/>
          <w:lang w:eastAsia="bg-BG"/>
        </w:rPr>
        <w:t>(червеи с кукички)</w:t>
      </w:r>
    </w:p>
    <w:p w14:paraId="576056C8" w14:textId="77777777" w:rsidR="00B23FF6" w:rsidRPr="00B23FF6" w:rsidRDefault="00B23FF6" w:rsidP="00B23FF6">
      <w:pPr>
        <w:spacing w:line="240" w:lineRule="auto"/>
        <w:rPr>
          <w:rFonts w:eastAsia="Times New Roman" w:cs="Arial"/>
          <w:sz w:val="24"/>
          <w:szCs w:val="24"/>
          <w:lang w:eastAsia="bg-BG"/>
        </w:rPr>
      </w:pPr>
      <w:proofErr w:type="spellStart"/>
      <w:r w:rsidRPr="00B23FF6">
        <w:rPr>
          <w:rFonts w:eastAsia="Times New Roman" w:cs="Arial"/>
          <w:i/>
          <w:iCs/>
          <w:color w:val="000000"/>
          <w:lang w:val="en-US"/>
        </w:rPr>
        <w:t>Strongiloides</w:t>
      </w:r>
      <w:proofErr w:type="spellEnd"/>
      <w:r w:rsidRPr="00B23FF6">
        <w:rPr>
          <w:rFonts w:eastAsia="Times New Roman" w:cs="Arial"/>
          <w:i/>
          <w:iCs/>
          <w:color w:val="000000"/>
          <w:lang w:val="en-US"/>
        </w:rPr>
        <w:t xml:space="preserve"> </w:t>
      </w:r>
      <w:proofErr w:type="spellStart"/>
      <w:r w:rsidRPr="00B23FF6">
        <w:rPr>
          <w:rFonts w:eastAsia="Times New Roman" w:cs="Arial"/>
          <w:i/>
          <w:iCs/>
          <w:color w:val="000000"/>
          <w:lang w:val="en-US"/>
        </w:rPr>
        <w:t>stercoralis</w:t>
      </w:r>
      <w:proofErr w:type="spellEnd"/>
    </w:p>
    <w:p w14:paraId="25EE1C7C"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color w:val="000000"/>
          <w:lang w:eastAsia="bg-BG"/>
        </w:rPr>
        <w:t>Червеи с кукички, които причиняват кожна ларва мигранс</w:t>
      </w:r>
    </w:p>
    <w:p w14:paraId="07B1B8A4" w14:textId="77777777" w:rsidR="00B23FF6" w:rsidRPr="0063778B" w:rsidRDefault="00B23FF6" w:rsidP="00B23FF6">
      <w:pPr>
        <w:spacing w:line="240" w:lineRule="auto"/>
        <w:rPr>
          <w:rFonts w:eastAsia="Times New Roman" w:cs="Arial"/>
          <w:b/>
          <w:bCs/>
          <w:color w:val="000000"/>
          <w:lang w:eastAsia="bg-BG"/>
        </w:rPr>
      </w:pPr>
      <w:bookmarkStart w:id="14" w:name="bookmark4"/>
    </w:p>
    <w:p w14:paraId="3AC7951E" w14:textId="650B9075"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Цестодн</w:t>
      </w:r>
      <w:bookmarkEnd w:id="14"/>
    </w:p>
    <w:p w14:paraId="15B07219" w14:textId="77777777" w:rsidR="00B23FF6" w:rsidRPr="00B23FF6" w:rsidRDefault="00B23FF6" w:rsidP="00B23FF6">
      <w:pPr>
        <w:spacing w:line="240" w:lineRule="auto"/>
        <w:rPr>
          <w:rFonts w:eastAsia="Times New Roman" w:cs="Arial"/>
          <w:sz w:val="24"/>
          <w:szCs w:val="24"/>
          <w:lang w:eastAsia="bg-BG"/>
        </w:rPr>
      </w:pPr>
      <w:proofErr w:type="spellStart"/>
      <w:r w:rsidRPr="00B23FF6">
        <w:rPr>
          <w:rFonts w:eastAsia="Times New Roman" w:cs="Arial"/>
          <w:i/>
          <w:iCs/>
          <w:color w:val="000000"/>
          <w:lang w:val="en-US"/>
        </w:rPr>
        <w:t>Hymenolepsis</w:t>
      </w:r>
      <w:proofErr w:type="spellEnd"/>
      <w:r w:rsidRPr="00B23FF6">
        <w:rPr>
          <w:rFonts w:eastAsia="Times New Roman" w:cs="Arial"/>
          <w:i/>
          <w:iCs/>
          <w:color w:val="000000"/>
          <w:lang w:val="en-US"/>
        </w:rPr>
        <w:t xml:space="preserve"> </w:t>
      </w:r>
      <w:r w:rsidRPr="00B23FF6">
        <w:rPr>
          <w:rFonts w:eastAsia="Times New Roman" w:cs="Arial"/>
          <w:i/>
          <w:iCs/>
          <w:color w:val="000000"/>
          <w:lang w:eastAsia="bg-BG"/>
        </w:rPr>
        <w:t xml:space="preserve">папа </w:t>
      </w:r>
      <w:r w:rsidRPr="00B23FF6">
        <w:rPr>
          <w:rFonts w:eastAsia="Times New Roman" w:cs="Arial"/>
          <w:i/>
          <w:iCs/>
          <w:color w:val="000000"/>
          <w:lang w:val="en-US"/>
        </w:rPr>
        <w:t xml:space="preserve">Taenia </w:t>
      </w:r>
      <w:proofErr w:type="spellStart"/>
      <w:r w:rsidRPr="00B23FF6">
        <w:rPr>
          <w:rFonts w:eastAsia="Times New Roman" w:cs="Arial"/>
          <w:i/>
          <w:iCs/>
          <w:color w:val="000000"/>
          <w:lang w:val="en-US"/>
        </w:rPr>
        <w:t>solium</w:t>
      </w:r>
      <w:proofErr w:type="spellEnd"/>
      <w:r w:rsidRPr="00B23FF6">
        <w:rPr>
          <w:rFonts w:eastAsia="Times New Roman" w:cs="Arial"/>
          <w:i/>
          <w:iCs/>
          <w:color w:val="000000"/>
          <w:lang w:val="en-US"/>
        </w:rPr>
        <w:t xml:space="preserve"> Taenia </w:t>
      </w:r>
      <w:proofErr w:type="spellStart"/>
      <w:r w:rsidRPr="00B23FF6">
        <w:rPr>
          <w:rFonts w:eastAsia="Times New Roman" w:cs="Arial"/>
          <w:i/>
          <w:iCs/>
          <w:color w:val="000000"/>
          <w:lang w:val="en-US"/>
        </w:rPr>
        <w:t>saginata</w:t>
      </w:r>
      <w:proofErr w:type="spellEnd"/>
    </w:p>
    <w:p w14:paraId="07C74AC9" w14:textId="77777777" w:rsidR="00B23FF6" w:rsidRPr="0063778B" w:rsidRDefault="00B23FF6" w:rsidP="00B23FF6">
      <w:pPr>
        <w:spacing w:line="240" w:lineRule="auto"/>
        <w:rPr>
          <w:rFonts w:eastAsia="Times New Roman" w:cs="Arial"/>
          <w:b/>
          <w:bCs/>
          <w:color w:val="000000"/>
          <w:lang w:eastAsia="bg-BG"/>
        </w:rPr>
      </w:pPr>
      <w:bookmarkStart w:id="15" w:name="bookmark6"/>
    </w:p>
    <w:p w14:paraId="2D15E686" w14:textId="480520C7"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Трематоди</w:t>
      </w:r>
      <w:bookmarkEnd w:id="15"/>
    </w:p>
    <w:p w14:paraId="3C397A6C" w14:textId="77777777" w:rsidR="00B23FF6" w:rsidRPr="00B23FF6" w:rsidRDefault="00B23FF6" w:rsidP="00B23FF6">
      <w:pPr>
        <w:spacing w:line="240" w:lineRule="auto"/>
        <w:rPr>
          <w:rFonts w:eastAsia="Times New Roman" w:cs="Arial"/>
          <w:sz w:val="24"/>
          <w:szCs w:val="24"/>
          <w:lang w:eastAsia="bg-BG"/>
        </w:rPr>
      </w:pPr>
      <w:r w:rsidRPr="00B23FF6">
        <w:rPr>
          <w:rFonts w:eastAsia="Times New Roman" w:cs="Arial"/>
          <w:i/>
          <w:iCs/>
          <w:color w:val="000000"/>
          <w:lang w:val="en-US"/>
        </w:rPr>
        <w:t xml:space="preserve">Opisthorchis </w:t>
      </w:r>
      <w:proofErr w:type="spellStart"/>
      <w:r w:rsidRPr="00B23FF6">
        <w:rPr>
          <w:rFonts w:eastAsia="Times New Roman" w:cs="Arial"/>
          <w:i/>
          <w:iCs/>
          <w:color w:val="000000"/>
          <w:lang w:val="en-US"/>
        </w:rPr>
        <w:t>viverrini</w:t>
      </w:r>
      <w:proofErr w:type="spellEnd"/>
      <w:r w:rsidRPr="00B23FF6">
        <w:rPr>
          <w:rFonts w:eastAsia="Times New Roman" w:cs="Arial"/>
          <w:color w:val="000000"/>
          <w:lang w:val="en-US"/>
        </w:rPr>
        <w:t xml:space="preserve"> </w:t>
      </w:r>
      <w:r w:rsidRPr="00B23FF6">
        <w:rPr>
          <w:rFonts w:eastAsia="Times New Roman" w:cs="Arial"/>
          <w:color w:val="000000"/>
          <w:lang w:eastAsia="bg-BG"/>
        </w:rPr>
        <w:t xml:space="preserve">и </w:t>
      </w:r>
      <w:r w:rsidRPr="00B23FF6">
        <w:rPr>
          <w:rFonts w:eastAsia="Times New Roman" w:cs="Arial"/>
          <w:i/>
          <w:iCs/>
          <w:color w:val="000000"/>
          <w:lang w:val="en-US"/>
        </w:rPr>
        <w:t>Clonorchis sinensis</w:t>
      </w:r>
    </w:p>
    <w:p w14:paraId="4AEEFB89" w14:textId="77777777" w:rsidR="00B23FF6" w:rsidRPr="0063778B" w:rsidRDefault="00B23FF6" w:rsidP="00B23FF6">
      <w:pPr>
        <w:spacing w:line="240" w:lineRule="auto"/>
        <w:rPr>
          <w:rFonts w:eastAsia="Times New Roman" w:cs="Arial"/>
          <w:b/>
          <w:bCs/>
          <w:color w:val="000000"/>
          <w:lang w:eastAsia="bg-BG"/>
        </w:rPr>
      </w:pPr>
      <w:bookmarkStart w:id="16" w:name="bookmark8"/>
    </w:p>
    <w:p w14:paraId="041A4F9D" w14:textId="038CC85B" w:rsidR="00B23FF6" w:rsidRPr="00B23FF6" w:rsidRDefault="00B23FF6" w:rsidP="00B23FF6">
      <w:pPr>
        <w:spacing w:line="240" w:lineRule="auto"/>
        <w:rPr>
          <w:rFonts w:eastAsia="Times New Roman" w:cs="Arial"/>
          <w:sz w:val="24"/>
          <w:szCs w:val="24"/>
          <w:lang w:eastAsia="bg-BG"/>
        </w:rPr>
      </w:pPr>
      <w:r w:rsidRPr="00B23FF6">
        <w:rPr>
          <w:rFonts w:eastAsia="Times New Roman" w:cs="Arial"/>
          <w:b/>
          <w:bCs/>
          <w:color w:val="000000"/>
          <w:lang w:eastAsia="bg-BG"/>
        </w:rPr>
        <w:t>Протозои</w:t>
      </w:r>
      <w:bookmarkEnd w:id="16"/>
    </w:p>
    <w:p w14:paraId="1464969D" w14:textId="715FC4E5" w:rsidR="00B23FF6" w:rsidRPr="0063778B" w:rsidRDefault="00B23FF6" w:rsidP="00B23FF6">
      <w:pPr>
        <w:rPr>
          <w:rFonts w:eastAsia="Times New Roman" w:cs="Arial"/>
          <w:i/>
          <w:iCs/>
          <w:color w:val="000000"/>
          <w:lang w:eastAsia="bg-BG"/>
        </w:rPr>
      </w:pPr>
      <w:r w:rsidRPr="0063778B">
        <w:rPr>
          <w:rFonts w:eastAsia="Times New Roman" w:cs="Arial"/>
          <w:i/>
          <w:iCs/>
          <w:color w:val="000000"/>
          <w:lang w:val="en-US"/>
        </w:rPr>
        <w:t xml:space="preserve">Giardia lamblia </w:t>
      </w:r>
      <w:r w:rsidRPr="0063778B">
        <w:rPr>
          <w:rFonts w:eastAsia="Times New Roman" w:cs="Arial"/>
          <w:i/>
          <w:iCs/>
          <w:color w:val="000000"/>
          <w:lang w:eastAsia="bg-BG"/>
        </w:rPr>
        <w:t>(интестинална</w:t>
      </w:r>
      <w:r w:rsidRPr="0063778B">
        <w:rPr>
          <w:rFonts w:eastAsia="Times New Roman" w:cs="Arial"/>
          <w:color w:val="000000"/>
          <w:lang w:eastAsia="bg-BG"/>
        </w:rPr>
        <w:t xml:space="preserve"> или </w:t>
      </w:r>
      <w:r w:rsidRPr="0063778B">
        <w:rPr>
          <w:rFonts w:eastAsia="Times New Roman" w:cs="Arial"/>
          <w:i/>
          <w:iCs/>
          <w:color w:val="000000"/>
          <w:lang w:eastAsia="bg-BG"/>
        </w:rPr>
        <w:t>дуоденална).</w:t>
      </w:r>
    </w:p>
    <w:p w14:paraId="021183C0" w14:textId="74F80848" w:rsidR="0063778B" w:rsidRPr="0063778B" w:rsidRDefault="0063778B" w:rsidP="00B23FF6">
      <w:pPr>
        <w:rPr>
          <w:rFonts w:eastAsia="Times New Roman" w:cs="Arial"/>
          <w:i/>
          <w:iCs/>
          <w:color w:val="000000"/>
          <w:lang w:eastAsia="bg-BG"/>
        </w:rPr>
      </w:pPr>
    </w:p>
    <w:p w14:paraId="5EBB0F07"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b/>
          <w:bCs/>
          <w:color w:val="000000"/>
          <w:lang w:eastAsia="bg-BG"/>
        </w:rPr>
        <w:t>Системни хелминтни инфекции</w:t>
      </w:r>
    </w:p>
    <w:p w14:paraId="0AEFA9E2" w14:textId="77777777" w:rsidR="0063778B" w:rsidRPr="0063778B" w:rsidRDefault="0063778B" w:rsidP="0063778B">
      <w:pPr>
        <w:spacing w:line="240" w:lineRule="auto"/>
        <w:rPr>
          <w:rFonts w:eastAsia="Times New Roman" w:cs="Arial"/>
          <w:color w:val="000000"/>
          <w:lang w:eastAsia="bg-BG"/>
        </w:rPr>
      </w:pPr>
    </w:p>
    <w:p w14:paraId="493C5988" w14:textId="2AFB6F75"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 xml:space="preserve">Албендазол е ефикасен при лечение на тьканни паразити, включително кистозна ехинококоза и алвеоларна ехинококоза, причинени, съответно от инфестация на </w:t>
      </w:r>
      <w:r w:rsidRPr="0063778B">
        <w:rPr>
          <w:rFonts w:eastAsia="Times New Roman" w:cs="Arial"/>
          <w:i/>
          <w:iCs/>
          <w:color w:val="000000"/>
          <w:lang w:val="en-US"/>
        </w:rPr>
        <w:t xml:space="preserve">Echinococcus </w:t>
      </w:r>
      <w:proofErr w:type="spellStart"/>
      <w:r w:rsidRPr="0063778B">
        <w:rPr>
          <w:rFonts w:eastAsia="Times New Roman" w:cs="Arial"/>
          <w:i/>
          <w:iCs/>
          <w:color w:val="000000"/>
          <w:lang w:val="en-US"/>
        </w:rPr>
        <w:t>granulosus</w:t>
      </w:r>
      <w:proofErr w:type="spellEnd"/>
      <w:r w:rsidRPr="0063778B">
        <w:rPr>
          <w:rFonts w:eastAsia="Times New Roman" w:cs="Arial"/>
          <w:color w:val="000000"/>
          <w:lang w:val="en-US"/>
        </w:rPr>
        <w:t xml:space="preserve"> </w:t>
      </w:r>
      <w:r w:rsidRPr="0063778B">
        <w:rPr>
          <w:rFonts w:eastAsia="Times New Roman" w:cs="Arial"/>
          <w:color w:val="000000"/>
          <w:lang w:eastAsia="bg-BG"/>
        </w:rPr>
        <w:t xml:space="preserve">и </w:t>
      </w:r>
      <w:r w:rsidRPr="0063778B">
        <w:rPr>
          <w:rFonts w:eastAsia="Times New Roman" w:cs="Arial"/>
          <w:i/>
          <w:iCs/>
          <w:color w:val="000000"/>
          <w:lang w:val="en-US"/>
        </w:rPr>
        <w:t xml:space="preserve">Echinococcus </w:t>
      </w:r>
      <w:proofErr w:type="spellStart"/>
      <w:r w:rsidRPr="0063778B">
        <w:rPr>
          <w:rFonts w:eastAsia="Times New Roman" w:cs="Arial"/>
          <w:i/>
          <w:iCs/>
          <w:color w:val="000000"/>
          <w:lang w:val="en-US"/>
        </w:rPr>
        <w:t>multilocularis</w:t>
      </w:r>
      <w:proofErr w:type="spellEnd"/>
      <w:r w:rsidRPr="0063778B">
        <w:rPr>
          <w:rFonts w:eastAsia="Times New Roman" w:cs="Arial"/>
          <w:i/>
          <w:iCs/>
          <w:color w:val="000000"/>
          <w:lang w:val="en-US"/>
        </w:rPr>
        <w:t>.</w:t>
      </w:r>
      <w:r w:rsidRPr="0063778B">
        <w:rPr>
          <w:rFonts w:eastAsia="Times New Roman" w:cs="Arial"/>
          <w:color w:val="000000"/>
          <w:lang w:val="en-US"/>
        </w:rPr>
        <w:t xml:space="preserve"> </w:t>
      </w:r>
      <w:r w:rsidRPr="0063778B">
        <w:rPr>
          <w:rFonts w:eastAsia="Times New Roman" w:cs="Arial"/>
          <w:color w:val="000000"/>
          <w:lang w:eastAsia="bg-BG"/>
        </w:rPr>
        <w:t xml:space="preserve">Албендазол е ефикасен също и при лечение на невроцистицеркоза, причинена от инфестация на ларвната форма на </w:t>
      </w:r>
      <w:r w:rsidRPr="0063778B">
        <w:rPr>
          <w:rFonts w:eastAsia="Times New Roman" w:cs="Arial"/>
          <w:i/>
          <w:iCs/>
          <w:color w:val="000000"/>
          <w:lang w:val="en-US"/>
        </w:rPr>
        <w:t xml:space="preserve">Taenia </w:t>
      </w:r>
      <w:proofErr w:type="spellStart"/>
      <w:r w:rsidRPr="0063778B">
        <w:rPr>
          <w:rFonts w:eastAsia="Times New Roman" w:cs="Arial"/>
          <w:i/>
          <w:iCs/>
          <w:color w:val="000000"/>
          <w:lang w:val="en-US"/>
        </w:rPr>
        <w:t>solium</w:t>
      </w:r>
      <w:proofErr w:type="spellEnd"/>
      <w:r w:rsidRPr="0063778B">
        <w:rPr>
          <w:rFonts w:eastAsia="Times New Roman" w:cs="Arial"/>
          <w:i/>
          <w:iCs/>
          <w:color w:val="000000"/>
          <w:lang w:val="en-US"/>
        </w:rPr>
        <w:t>;</w:t>
      </w:r>
      <w:r w:rsidRPr="0063778B">
        <w:rPr>
          <w:rFonts w:eastAsia="Times New Roman" w:cs="Arial"/>
          <w:color w:val="000000"/>
          <w:lang w:val="en-US"/>
        </w:rPr>
        <w:t xml:space="preserve"> </w:t>
      </w:r>
      <w:r w:rsidRPr="0063778B">
        <w:rPr>
          <w:rFonts w:eastAsia="Times New Roman" w:cs="Arial"/>
          <w:color w:val="000000"/>
          <w:lang w:eastAsia="bg-BG"/>
        </w:rPr>
        <w:t xml:space="preserve">капилариоза, причинена от </w:t>
      </w:r>
      <w:proofErr w:type="spellStart"/>
      <w:r w:rsidRPr="0063778B">
        <w:rPr>
          <w:rFonts w:eastAsia="Times New Roman" w:cs="Arial"/>
          <w:i/>
          <w:iCs/>
          <w:color w:val="000000"/>
          <w:lang w:val="en-US"/>
        </w:rPr>
        <w:t>Capillaria</w:t>
      </w:r>
      <w:proofErr w:type="spellEnd"/>
      <w:r w:rsidRPr="0063778B">
        <w:rPr>
          <w:rFonts w:eastAsia="Times New Roman" w:cs="Arial"/>
          <w:i/>
          <w:iCs/>
          <w:color w:val="000000"/>
          <w:lang w:val="en-US"/>
        </w:rPr>
        <w:t xml:space="preserve"> </w:t>
      </w:r>
      <w:proofErr w:type="spellStart"/>
      <w:r w:rsidRPr="0063778B">
        <w:rPr>
          <w:rFonts w:eastAsia="Times New Roman" w:cs="Arial"/>
          <w:i/>
          <w:iCs/>
          <w:color w:val="000000"/>
          <w:lang w:val="en-US"/>
        </w:rPr>
        <w:t>philippinensis</w:t>
      </w:r>
      <w:proofErr w:type="spellEnd"/>
      <w:r w:rsidRPr="0063778B">
        <w:rPr>
          <w:rFonts w:eastAsia="Times New Roman" w:cs="Arial"/>
          <w:color w:val="000000"/>
          <w:lang w:val="en-US"/>
        </w:rPr>
        <w:t xml:space="preserve"> </w:t>
      </w:r>
      <w:r w:rsidRPr="0063778B">
        <w:rPr>
          <w:rFonts w:eastAsia="Times New Roman" w:cs="Arial"/>
          <w:color w:val="000000"/>
          <w:lang w:eastAsia="bg-BG"/>
        </w:rPr>
        <w:t xml:space="preserve">и гнатостомиоза, причинена от инфестация на </w:t>
      </w:r>
      <w:proofErr w:type="spellStart"/>
      <w:r w:rsidRPr="0063778B">
        <w:rPr>
          <w:rFonts w:eastAsia="Times New Roman" w:cs="Arial"/>
          <w:i/>
          <w:iCs/>
          <w:color w:val="000000"/>
          <w:lang w:val="en-US"/>
        </w:rPr>
        <w:t>Gnathostoma</w:t>
      </w:r>
      <w:proofErr w:type="spellEnd"/>
      <w:r w:rsidRPr="0063778B">
        <w:rPr>
          <w:rFonts w:eastAsia="Times New Roman" w:cs="Arial"/>
          <w:i/>
          <w:iCs/>
          <w:color w:val="000000"/>
          <w:lang w:val="en-US"/>
        </w:rPr>
        <w:t xml:space="preserve"> </w:t>
      </w:r>
      <w:proofErr w:type="spellStart"/>
      <w:r w:rsidRPr="0063778B">
        <w:rPr>
          <w:rFonts w:eastAsia="Times New Roman" w:cs="Arial"/>
          <w:i/>
          <w:iCs/>
          <w:color w:val="000000"/>
          <w:lang w:val="en-US"/>
        </w:rPr>
        <w:t>spinigerum</w:t>
      </w:r>
      <w:proofErr w:type="spellEnd"/>
      <w:r w:rsidRPr="0063778B">
        <w:rPr>
          <w:rFonts w:eastAsia="Times New Roman" w:cs="Arial"/>
          <w:i/>
          <w:iCs/>
          <w:color w:val="000000"/>
          <w:lang w:val="en-US"/>
        </w:rPr>
        <w:t>.</w:t>
      </w:r>
    </w:p>
    <w:p w14:paraId="017E9DB3" w14:textId="77777777" w:rsidR="0063778B" w:rsidRPr="0063778B" w:rsidRDefault="0063778B" w:rsidP="0063778B">
      <w:pPr>
        <w:spacing w:line="240" w:lineRule="auto"/>
        <w:rPr>
          <w:rFonts w:eastAsia="Times New Roman" w:cs="Arial"/>
          <w:color w:val="000000"/>
          <w:lang w:eastAsia="bg-BG"/>
        </w:rPr>
      </w:pPr>
    </w:p>
    <w:p w14:paraId="2B439604" w14:textId="2754F66E"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 xml:space="preserve">Установено е, че при лечение на пациенти с кисти (при клинични проучвания), причинени от </w:t>
      </w:r>
      <w:r w:rsidRPr="0063778B">
        <w:rPr>
          <w:rFonts w:eastAsia="Times New Roman" w:cs="Arial"/>
          <w:i/>
          <w:iCs/>
          <w:color w:val="000000"/>
          <w:lang w:val="en-US"/>
        </w:rPr>
        <w:t xml:space="preserve">Echinococcus </w:t>
      </w:r>
      <w:proofErr w:type="spellStart"/>
      <w:r w:rsidRPr="0063778B">
        <w:rPr>
          <w:rFonts w:eastAsia="Times New Roman" w:cs="Arial"/>
          <w:i/>
          <w:iCs/>
          <w:color w:val="000000"/>
          <w:lang w:val="en-US"/>
        </w:rPr>
        <w:t>granulosus</w:t>
      </w:r>
      <w:proofErr w:type="spellEnd"/>
      <w:r w:rsidRPr="0063778B">
        <w:rPr>
          <w:rFonts w:eastAsia="Times New Roman" w:cs="Arial"/>
          <w:i/>
          <w:iCs/>
          <w:color w:val="000000"/>
          <w:lang w:val="en-US"/>
        </w:rPr>
        <w:t>,</w:t>
      </w:r>
      <w:r w:rsidRPr="0063778B">
        <w:rPr>
          <w:rFonts w:eastAsia="Times New Roman" w:cs="Arial"/>
          <w:color w:val="000000"/>
          <w:lang w:val="en-US"/>
        </w:rPr>
        <w:t xml:space="preserve"> </w:t>
      </w:r>
      <w:r w:rsidRPr="0063778B">
        <w:rPr>
          <w:rFonts w:eastAsia="Times New Roman" w:cs="Arial"/>
          <w:color w:val="000000"/>
          <w:lang w:eastAsia="bg-BG"/>
        </w:rPr>
        <w:t>албендазол ерадикира кистите или значително намалява размера им при до 80% от пациентите.</w:t>
      </w:r>
    </w:p>
    <w:p w14:paraId="20DD0C17" w14:textId="77777777" w:rsidR="0063778B" w:rsidRPr="0063778B" w:rsidRDefault="0063778B" w:rsidP="0063778B">
      <w:pPr>
        <w:spacing w:line="240" w:lineRule="auto"/>
        <w:rPr>
          <w:rFonts w:eastAsia="Times New Roman" w:cs="Arial"/>
          <w:color w:val="000000"/>
          <w:lang w:eastAsia="bg-BG"/>
        </w:rPr>
      </w:pPr>
    </w:p>
    <w:p w14:paraId="5ADEE899" w14:textId="7174974B"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Когато след лечение с албендазол кистите са изследвани за жизнеспособност, 90% от тях са нежизнеспособни при лабораторни проучвания или при проучвания с животни, в сравнение с едва 10% от нелекуваните кисти.</w:t>
      </w:r>
    </w:p>
    <w:p w14:paraId="499F124A" w14:textId="77777777" w:rsidR="0063778B" w:rsidRPr="0063778B" w:rsidRDefault="0063778B" w:rsidP="0063778B">
      <w:pPr>
        <w:spacing w:line="240" w:lineRule="auto"/>
        <w:rPr>
          <w:rFonts w:eastAsia="Times New Roman" w:cs="Arial"/>
          <w:color w:val="000000"/>
          <w:lang w:eastAsia="bg-BG"/>
        </w:rPr>
      </w:pPr>
    </w:p>
    <w:p w14:paraId="348E2AEC" w14:textId="5B258653"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 xml:space="preserve">При лечението на кисти, причинени от </w:t>
      </w:r>
      <w:r w:rsidRPr="0063778B">
        <w:rPr>
          <w:rFonts w:eastAsia="Times New Roman" w:cs="Arial"/>
          <w:i/>
          <w:iCs/>
          <w:color w:val="000000"/>
          <w:lang w:val="en-US"/>
        </w:rPr>
        <w:t xml:space="preserve">Echinococcus </w:t>
      </w:r>
      <w:proofErr w:type="spellStart"/>
      <w:r w:rsidRPr="0063778B">
        <w:rPr>
          <w:rFonts w:eastAsia="Times New Roman" w:cs="Arial"/>
          <w:i/>
          <w:iCs/>
          <w:color w:val="000000"/>
          <w:lang w:val="en-US"/>
        </w:rPr>
        <w:t>multilocularis</w:t>
      </w:r>
      <w:proofErr w:type="spellEnd"/>
      <w:r w:rsidRPr="0063778B">
        <w:rPr>
          <w:rFonts w:eastAsia="Times New Roman" w:cs="Arial"/>
          <w:i/>
          <w:iCs/>
          <w:color w:val="000000"/>
          <w:lang w:val="en-US"/>
        </w:rPr>
        <w:t>,</w:t>
      </w:r>
      <w:r w:rsidRPr="0063778B">
        <w:rPr>
          <w:rFonts w:eastAsia="Times New Roman" w:cs="Arial"/>
          <w:color w:val="000000"/>
          <w:lang w:val="en-US"/>
        </w:rPr>
        <w:t xml:space="preserve"> </w:t>
      </w:r>
      <w:r w:rsidRPr="0063778B">
        <w:rPr>
          <w:rFonts w:eastAsia="Times New Roman" w:cs="Arial"/>
          <w:color w:val="000000"/>
          <w:lang w:eastAsia="bg-BG"/>
        </w:rPr>
        <w:t>малка част от пациентите се считат за излекувани, а при мнозинството от тях е настъпило подобрение или стабилизиране на заболяването, дължащо се на лечението с албендазол.</w:t>
      </w:r>
    </w:p>
    <w:p w14:paraId="6A62A073" w14:textId="77777777" w:rsidR="0063778B" w:rsidRPr="00B23FF6" w:rsidRDefault="0063778B" w:rsidP="00B23FF6"/>
    <w:p w14:paraId="173D7F1D" w14:textId="7A3F19C2" w:rsidR="00EE6C97" w:rsidRDefault="002C50EE" w:rsidP="00A93499">
      <w:pPr>
        <w:pStyle w:val="Heading2"/>
      </w:pPr>
      <w:r>
        <w:t>5.2. Фармакокинетични свойства</w:t>
      </w:r>
    </w:p>
    <w:p w14:paraId="61CC30AB" w14:textId="71740070" w:rsidR="0063778B" w:rsidRDefault="0063778B" w:rsidP="0063778B"/>
    <w:p w14:paraId="5DC6A1B1" w14:textId="77777777" w:rsidR="0063778B" w:rsidRPr="0063778B" w:rsidRDefault="0063778B" w:rsidP="0063778B">
      <w:pPr>
        <w:pStyle w:val="Heading3"/>
        <w:rPr>
          <w:rFonts w:eastAsia="Times New Roman"/>
          <w:u w:val="single"/>
          <w:lang w:eastAsia="bg-BG"/>
        </w:rPr>
      </w:pPr>
      <w:r w:rsidRPr="0063778B">
        <w:rPr>
          <w:rFonts w:eastAsia="Times New Roman"/>
          <w:u w:val="single"/>
          <w:lang w:eastAsia="bg-BG"/>
        </w:rPr>
        <w:t>Абсорбция</w:t>
      </w:r>
    </w:p>
    <w:p w14:paraId="2835DC51"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При хора след перорален прием албендазол се абсорбира в ниска степен (по-малко от 5%).</w:t>
      </w:r>
    </w:p>
    <w:p w14:paraId="3551E12C"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Системният фармакологичен ефект на албендазол се увеличава, ако дозата се приложи заедно с храна, богата на мазнини, което увеличава абсорбцията с приблизително пет пъти.</w:t>
      </w:r>
    </w:p>
    <w:p w14:paraId="7CE76133" w14:textId="77777777" w:rsidR="0063778B" w:rsidRPr="0063778B" w:rsidRDefault="0063778B" w:rsidP="0063778B">
      <w:pPr>
        <w:spacing w:line="240" w:lineRule="auto"/>
        <w:rPr>
          <w:rFonts w:eastAsia="Times New Roman" w:cs="Arial"/>
          <w:color w:val="000000"/>
          <w:u w:val="single"/>
          <w:lang w:eastAsia="bg-BG"/>
        </w:rPr>
      </w:pPr>
    </w:p>
    <w:p w14:paraId="21383558" w14:textId="03555D42" w:rsidR="0063778B" w:rsidRPr="0063778B" w:rsidRDefault="0063778B" w:rsidP="0063778B">
      <w:pPr>
        <w:pStyle w:val="Heading3"/>
        <w:rPr>
          <w:rFonts w:eastAsia="Times New Roman"/>
          <w:u w:val="single"/>
          <w:lang w:eastAsia="bg-BG"/>
        </w:rPr>
      </w:pPr>
      <w:r w:rsidRPr="0063778B">
        <w:rPr>
          <w:rFonts w:eastAsia="Times New Roman"/>
          <w:u w:val="single"/>
          <w:lang w:eastAsia="bg-BG"/>
        </w:rPr>
        <w:lastRenderedPageBreak/>
        <w:t>Разпределение</w:t>
      </w:r>
    </w:p>
    <w:p w14:paraId="04633B14"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 xml:space="preserve">Докладвано е, че след перорално приложение на единична доза от 400 </w:t>
      </w:r>
      <w:r w:rsidRPr="0063778B">
        <w:rPr>
          <w:rFonts w:eastAsia="Times New Roman" w:cs="Arial"/>
          <w:color w:val="000000"/>
          <w:lang w:val="en-US"/>
        </w:rPr>
        <w:t xml:space="preserve">mg </w:t>
      </w:r>
      <w:r w:rsidRPr="0063778B">
        <w:rPr>
          <w:rFonts w:eastAsia="Times New Roman" w:cs="Arial"/>
          <w:color w:val="000000"/>
          <w:lang w:eastAsia="bg-BG"/>
        </w:rPr>
        <w:t xml:space="preserve">албендазол, фармакологично активният метаболит албендазол сулфоксид, достига плазмени концентрации от 1,6 до 6,0 </w:t>
      </w:r>
      <w:proofErr w:type="spellStart"/>
      <w:r w:rsidRPr="0063778B">
        <w:rPr>
          <w:rFonts w:eastAsia="Times New Roman" w:cs="Arial"/>
          <w:color w:val="000000"/>
          <w:lang w:val="en-US"/>
        </w:rPr>
        <w:t>micromol</w:t>
      </w:r>
      <w:proofErr w:type="spellEnd"/>
      <w:r w:rsidRPr="0063778B">
        <w:rPr>
          <w:rFonts w:eastAsia="Times New Roman" w:cs="Arial"/>
          <w:color w:val="000000"/>
          <w:lang w:val="en-US"/>
        </w:rPr>
        <w:t xml:space="preserve">/l, </w:t>
      </w:r>
      <w:r w:rsidRPr="0063778B">
        <w:rPr>
          <w:rFonts w:eastAsia="Times New Roman" w:cs="Arial"/>
          <w:color w:val="000000"/>
          <w:lang w:eastAsia="bg-BG"/>
        </w:rPr>
        <w:t>когато е приет по време на закуска.</w:t>
      </w:r>
    </w:p>
    <w:p w14:paraId="430125F0" w14:textId="77777777" w:rsidR="0063778B" w:rsidRPr="0063778B" w:rsidRDefault="0063778B" w:rsidP="0063778B">
      <w:pPr>
        <w:spacing w:line="240" w:lineRule="auto"/>
        <w:rPr>
          <w:rFonts w:eastAsia="Times New Roman" w:cs="Arial"/>
          <w:color w:val="000000"/>
          <w:u w:val="single"/>
          <w:lang w:eastAsia="bg-BG"/>
        </w:rPr>
      </w:pPr>
    </w:p>
    <w:p w14:paraId="6DDE1407" w14:textId="5388D285" w:rsidR="0063778B" w:rsidRPr="0063778B" w:rsidRDefault="0063778B" w:rsidP="0063778B">
      <w:pPr>
        <w:pStyle w:val="Heading3"/>
        <w:rPr>
          <w:rFonts w:eastAsia="Times New Roman"/>
          <w:u w:val="single"/>
          <w:lang w:eastAsia="bg-BG"/>
        </w:rPr>
      </w:pPr>
      <w:r w:rsidRPr="0063778B">
        <w:rPr>
          <w:rFonts w:eastAsia="Times New Roman"/>
          <w:u w:val="single"/>
          <w:lang w:eastAsia="bg-BG"/>
        </w:rPr>
        <w:t>Биотрансформация</w:t>
      </w:r>
    </w:p>
    <w:p w14:paraId="7BB33F5C"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Албендазол бързо претърпява екстензивен метаболизъм при първо преминаване през черния дроб, и обикновено не се открива в плазмата. Първичният метаболит е албендазол сулфоксид, за който се счита, че има основно значение за ефикасността срещу системните тьканни инфекции.</w:t>
      </w:r>
    </w:p>
    <w:p w14:paraId="4888896A" w14:textId="77777777" w:rsidR="0063778B" w:rsidRPr="0063778B" w:rsidRDefault="0063778B" w:rsidP="0063778B">
      <w:pPr>
        <w:spacing w:line="240" w:lineRule="auto"/>
        <w:rPr>
          <w:rFonts w:eastAsia="Times New Roman" w:cs="Arial"/>
          <w:color w:val="000000"/>
          <w:u w:val="single"/>
          <w:lang w:eastAsia="bg-BG"/>
        </w:rPr>
      </w:pPr>
    </w:p>
    <w:p w14:paraId="26929F24" w14:textId="1E193810" w:rsidR="0063778B" w:rsidRPr="0063778B" w:rsidRDefault="0063778B" w:rsidP="0063778B">
      <w:pPr>
        <w:pStyle w:val="Heading3"/>
        <w:rPr>
          <w:rFonts w:eastAsia="Times New Roman"/>
          <w:u w:val="single"/>
          <w:lang w:eastAsia="bg-BG"/>
        </w:rPr>
      </w:pPr>
      <w:r w:rsidRPr="0063778B">
        <w:rPr>
          <w:rFonts w:eastAsia="Times New Roman"/>
          <w:u w:val="single"/>
          <w:lang w:eastAsia="bg-BG"/>
        </w:rPr>
        <w:t>Елиминиране</w:t>
      </w:r>
    </w:p>
    <w:p w14:paraId="61EFDF26"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Плазменият полуживот на албендазол сулфоксид е 8,5 часа.</w:t>
      </w:r>
    </w:p>
    <w:p w14:paraId="316052C5" w14:textId="77777777" w:rsidR="0063778B" w:rsidRPr="0063778B" w:rsidRDefault="0063778B" w:rsidP="0063778B">
      <w:pPr>
        <w:spacing w:line="240" w:lineRule="auto"/>
        <w:rPr>
          <w:rFonts w:eastAsia="Times New Roman" w:cs="Arial"/>
          <w:color w:val="000000"/>
          <w:lang w:eastAsia="bg-BG"/>
        </w:rPr>
      </w:pPr>
    </w:p>
    <w:p w14:paraId="4A50A20D" w14:textId="390C8BEA"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Албендазол сулфоксид и метаболитите му се елиминират предимно чрез жлъчката, като само малка част се установява в урината. Доказано е, че няколко седмици след продължително лечение с високи дози настъпва елиминиране от кистите.</w:t>
      </w:r>
    </w:p>
    <w:p w14:paraId="0A41AD3F" w14:textId="57542356" w:rsidR="0063778B" w:rsidRPr="0063778B" w:rsidRDefault="0063778B" w:rsidP="0063778B">
      <w:pPr>
        <w:rPr>
          <w:rFonts w:cs="Arial"/>
        </w:rPr>
      </w:pPr>
    </w:p>
    <w:p w14:paraId="31F22E6F"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b/>
          <w:bCs/>
          <w:color w:val="000000"/>
          <w:lang w:eastAsia="bg-BG"/>
        </w:rPr>
        <w:t>Специални групи пациенти</w:t>
      </w:r>
    </w:p>
    <w:p w14:paraId="7FC5398D" w14:textId="77777777" w:rsidR="0063778B" w:rsidRPr="0063778B" w:rsidRDefault="0063778B" w:rsidP="0063778B">
      <w:pPr>
        <w:spacing w:line="240" w:lineRule="auto"/>
        <w:rPr>
          <w:rFonts w:eastAsia="Times New Roman" w:cs="Arial"/>
          <w:b/>
          <w:bCs/>
          <w:color w:val="000000"/>
          <w:lang w:eastAsia="bg-BG"/>
        </w:rPr>
      </w:pPr>
    </w:p>
    <w:p w14:paraId="32EC2653" w14:textId="02909588" w:rsidR="0063778B" w:rsidRPr="0063778B" w:rsidRDefault="0063778B" w:rsidP="0063778B">
      <w:pPr>
        <w:spacing w:line="240" w:lineRule="auto"/>
        <w:rPr>
          <w:rFonts w:eastAsia="Times New Roman" w:cs="Arial"/>
          <w:sz w:val="24"/>
          <w:szCs w:val="24"/>
          <w:lang w:eastAsia="bg-BG"/>
        </w:rPr>
      </w:pPr>
      <w:r w:rsidRPr="0063778B">
        <w:rPr>
          <w:rFonts w:eastAsia="Times New Roman" w:cs="Arial"/>
          <w:b/>
          <w:bCs/>
          <w:color w:val="000000"/>
          <w:lang w:eastAsia="bg-BG"/>
        </w:rPr>
        <w:t>Пациенти в старческа възраст</w:t>
      </w:r>
    </w:p>
    <w:p w14:paraId="28871B5D"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 xml:space="preserve">Въпреки че не са провеждани проучвания за ефекта на възрастта върху фармакокинетиката на албендазол сулфоксид, данни от </w:t>
      </w:r>
      <w:r w:rsidRPr="0063778B">
        <w:rPr>
          <w:rFonts w:eastAsia="Times New Roman" w:cs="Arial"/>
          <w:i/>
          <w:iCs/>
          <w:color w:val="000000"/>
          <w:lang w:eastAsia="bg-BG"/>
        </w:rPr>
        <w:t>26</w:t>
      </w:r>
      <w:r w:rsidRPr="0063778B">
        <w:rPr>
          <w:rFonts w:eastAsia="Times New Roman" w:cs="Arial"/>
          <w:color w:val="000000"/>
          <w:lang w:eastAsia="bg-BG"/>
        </w:rPr>
        <w:t xml:space="preserve"> пациенти с хидатидни кисти (до 79 години) предполагат фармакокинетика, подобна на тази при здрави млади лица. Броят на пациентите в старческа възраст, лекувани за хидатидно заболяване или за невроцистицеркоза е ограничен, но не са установени проблеми, свързани с по-възрастната популация.</w:t>
      </w:r>
    </w:p>
    <w:p w14:paraId="798C10F6" w14:textId="77777777" w:rsidR="0063778B" w:rsidRPr="0063778B" w:rsidRDefault="0063778B" w:rsidP="0063778B">
      <w:pPr>
        <w:spacing w:line="240" w:lineRule="auto"/>
        <w:rPr>
          <w:rFonts w:eastAsia="Times New Roman" w:cs="Arial"/>
          <w:b/>
          <w:bCs/>
          <w:color w:val="000000"/>
          <w:lang w:eastAsia="bg-BG"/>
        </w:rPr>
      </w:pPr>
    </w:p>
    <w:p w14:paraId="62319720" w14:textId="4C3DCA70" w:rsidR="0063778B" w:rsidRPr="0063778B" w:rsidRDefault="0063778B" w:rsidP="0063778B">
      <w:pPr>
        <w:spacing w:line="240" w:lineRule="auto"/>
        <w:rPr>
          <w:rFonts w:eastAsia="Times New Roman" w:cs="Arial"/>
          <w:sz w:val="24"/>
          <w:szCs w:val="24"/>
          <w:lang w:eastAsia="bg-BG"/>
        </w:rPr>
      </w:pPr>
      <w:r w:rsidRPr="0063778B">
        <w:rPr>
          <w:rFonts w:eastAsia="Times New Roman" w:cs="Arial"/>
          <w:b/>
          <w:bCs/>
          <w:color w:val="000000"/>
          <w:lang w:eastAsia="bg-BG"/>
        </w:rPr>
        <w:t>Бъбречно увреждане</w:t>
      </w:r>
    </w:p>
    <w:p w14:paraId="237F8663" w14:textId="77777777" w:rsidR="0063778B" w:rsidRPr="0063778B" w:rsidRDefault="0063778B" w:rsidP="0063778B">
      <w:pPr>
        <w:spacing w:line="240" w:lineRule="auto"/>
        <w:rPr>
          <w:rFonts w:eastAsia="Times New Roman" w:cs="Arial"/>
          <w:sz w:val="24"/>
          <w:szCs w:val="24"/>
          <w:lang w:eastAsia="bg-BG"/>
        </w:rPr>
      </w:pPr>
      <w:r w:rsidRPr="0063778B">
        <w:rPr>
          <w:rFonts w:eastAsia="Times New Roman" w:cs="Arial"/>
          <w:color w:val="000000"/>
          <w:lang w:eastAsia="bg-BG"/>
        </w:rPr>
        <w:t>Фармакокинетиката на албендазол при пациенти с увредена бъбречна функция не е проучвана.</w:t>
      </w:r>
    </w:p>
    <w:p w14:paraId="297D6FB9" w14:textId="77777777" w:rsidR="0063778B" w:rsidRPr="0063778B" w:rsidRDefault="0063778B" w:rsidP="0063778B">
      <w:pPr>
        <w:spacing w:line="240" w:lineRule="auto"/>
        <w:rPr>
          <w:rFonts w:eastAsia="Times New Roman" w:cs="Arial"/>
          <w:b/>
          <w:bCs/>
          <w:color w:val="000000"/>
          <w:lang w:eastAsia="bg-BG"/>
        </w:rPr>
      </w:pPr>
    </w:p>
    <w:p w14:paraId="6E533CAF" w14:textId="0D73AB40" w:rsidR="0063778B" w:rsidRPr="0063778B" w:rsidRDefault="0063778B" w:rsidP="0063778B">
      <w:pPr>
        <w:spacing w:line="240" w:lineRule="auto"/>
        <w:rPr>
          <w:rFonts w:eastAsia="Times New Roman" w:cs="Arial"/>
          <w:sz w:val="24"/>
          <w:szCs w:val="24"/>
          <w:lang w:eastAsia="bg-BG"/>
        </w:rPr>
      </w:pPr>
      <w:r w:rsidRPr="0063778B">
        <w:rPr>
          <w:rFonts w:eastAsia="Times New Roman" w:cs="Arial"/>
          <w:b/>
          <w:bCs/>
          <w:color w:val="000000"/>
          <w:lang w:eastAsia="bg-BG"/>
        </w:rPr>
        <w:t>Чернодробно увреждане</w:t>
      </w:r>
    </w:p>
    <w:p w14:paraId="51DC76ED" w14:textId="4C33CBE5" w:rsidR="0063778B" w:rsidRPr="0063778B" w:rsidRDefault="0063778B" w:rsidP="0063778B">
      <w:pPr>
        <w:rPr>
          <w:rFonts w:eastAsia="Times New Roman" w:cs="Arial"/>
          <w:color w:val="000000"/>
          <w:lang w:eastAsia="bg-BG"/>
        </w:rPr>
      </w:pPr>
      <w:r w:rsidRPr="0063778B">
        <w:rPr>
          <w:rFonts w:eastAsia="Times New Roman" w:cs="Arial"/>
          <w:color w:val="000000"/>
          <w:lang w:eastAsia="bg-BG"/>
        </w:rPr>
        <w:t>Фармакокинетиката на албендазол при пациенти с увредена чернодробна функция не е проучвана.</w:t>
      </w:r>
    </w:p>
    <w:p w14:paraId="7A21F92A" w14:textId="77777777" w:rsidR="0063778B" w:rsidRPr="0063778B" w:rsidRDefault="0063778B" w:rsidP="0063778B"/>
    <w:p w14:paraId="0CC65FE3" w14:textId="55FF304D" w:rsidR="00EE6C97" w:rsidRDefault="002C50EE" w:rsidP="00A93499">
      <w:pPr>
        <w:pStyle w:val="Heading2"/>
      </w:pPr>
      <w:r>
        <w:t>5.3. Предклинични данни за безопасност</w:t>
      </w:r>
    </w:p>
    <w:p w14:paraId="39ECE891" w14:textId="50A2E069" w:rsidR="0063778B" w:rsidRDefault="0063778B" w:rsidP="0063778B"/>
    <w:p w14:paraId="1387FEE7" w14:textId="3AADF5D4" w:rsidR="0063778B" w:rsidRPr="0063778B" w:rsidRDefault="0063778B" w:rsidP="0063778B">
      <w:r>
        <w:t xml:space="preserve">Доказано е, че албендазол е тератогенен и ембриотоксичен при плъхове и зайци. В изследвания </w:t>
      </w:r>
      <w:r>
        <w:rPr>
          <w:i/>
          <w:iCs/>
          <w:lang w:val="en-US"/>
        </w:rPr>
        <w:t>in vivo</w:t>
      </w:r>
      <w:r>
        <w:rPr>
          <w:lang w:val="en-US"/>
        </w:rPr>
        <w:t xml:space="preserve"> </w:t>
      </w:r>
      <w:r>
        <w:t xml:space="preserve">и </w:t>
      </w:r>
      <w:r>
        <w:rPr>
          <w:i/>
          <w:iCs/>
          <w:lang w:val="en-US"/>
        </w:rPr>
        <w:t>in vitro</w:t>
      </w:r>
      <w:r>
        <w:rPr>
          <w:lang w:val="en-US"/>
        </w:rPr>
        <w:t xml:space="preserve"> </w:t>
      </w:r>
      <w:r>
        <w:t xml:space="preserve">(вкл. тест на </w:t>
      </w:r>
      <w:r>
        <w:rPr>
          <w:lang w:val="en-US"/>
        </w:rPr>
        <w:t xml:space="preserve">Ames inactivated and activated) </w:t>
      </w:r>
      <w:r>
        <w:t>няма данни за мутагенен или генотоксичен ефект на албендазол. В дългосрочните проучвания за токсичност, проведени при плъхове и мишки с дневни дози до 30 пъти над препоръчваните при хора, не са наблюдавани туморни формации, свързани с лечението.</w:t>
      </w:r>
    </w:p>
    <w:p w14:paraId="357049A8" w14:textId="1CEB2F72" w:rsidR="00BB22B4" w:rsidRDefault="002C50EE" w:rsidP="00471F10">
      <w:pPr>
        <w:pStyle w:val="Heading1"/>
      </w:pPr>
      <w:r>
        <w:t>7. ПРИТЕЖАТЕЛ НА РАЗРЕШЕНИЕТО ЗА УПОТРЕБА</w:t>
      </w:r>
    </w:p>
    <w:p w14:paraId="0587FBAA" w14:textId="4CCE54AA" w:rsidR="0063778B" w:rsidRDefault="0063778B" w:rsidP="0063778B"/>
    <w:p w14:paraId="5103B60F" w14:textId="77777777" w:rsidR="0063778B" w:rsidRPr="0063778B" w:rsidRDefault="0063778B" w:rsidP="0063778B">
      <w:pPr>
        <w:rPr>
          <w:sz w:val="24"/>
          <w:szCs w:val="24"/>
          <w:lang w:val="en-US" w:eastAsia="bg-BG"/>
        </w:rPr>
      </w:pPr>
      <w:r w:rsidRPr="0063778B">
        <w:rPr>
          <w:lang w:val="en-US"/>
        </w:rPr>
        <w:t>GlaxoSmithKline Trading Services Limited</w:t>
      </w:r>
    </w:p>
    <w:p w14:paraId="166C380A" w14:textId="77777777" w:rsidR="0063778B" w:rsidRPr="0063778B" w:rsidRDefault="0063778B" w:rsidP="0063778B">
      <w:pPr>
        <w:rPr>
          <w:sz w:val="24"/>
          <w:szCs w:val="24"/>
          <w:lang w:val="en-US" w:eastAsia="bg-BG"/>
        </w:rPr>
      </w:pPr>
      <w:r w:rsidRPr="0063778B">
        <w:rPr>
          <w:lang w:val="en-US"/>
        </w:rPr>
        <w:t>12 Riverwalk,</w:t>
      </w:r>
    </w:p>
    <w:p w14:paraId="50AEA243" w14:textId="77777777" w:rsidR="0063778B" w:rsidRPr="0063778B" w:rsidRDefault="0063778B" w:rsidP="0063778B">
      <w:pPr>
        <w:rPr>
          <w:sz w:val="24"/>
          <w:szCs w:val="24"/>
          <w:lang w:val="en-US" w:eastAsia="bg-BG"/>
        </w:rPr>
      </w:pPr>
      <w:r w:rsidRPr="0063778B">
        <w:rPr>
          <w:lang w:val="en-US"/>
        </w:rPr>
        <w:lastRenderedPageBreak/>
        <w:t>Citywest Business Campus,</w:t>
      </w:r>
    </w:p>
    <w:p w14:paraId="5693BAE2" w14:textId="77777777" w:rsidR="0063778B" w:rsidRPr="0063778B" w:rsidRDefault="0063778B" w:rsidP="0063778B">
      <w:pPr>
        <w:rPr>
          <w:sz w:val="24"/>
          <w:szCs w:val="24"/>
          <w:lang w:val="en-US" w:eastAsia="bg-BG"/>
        </w:rPr>
      </w:pPr>
      <w:r w:rsidRPr="0063778B">
        <w:rPr>
          <w:lang w:val="en-US"/>
        </w:rPr>
        <w:t>Dublin 24,</w:t>
      </w:r>
    </w:p>
    <w:p w14:paraId="2292E888" w14:textId="7C754212" w:rsidR="0063778B" w:rsidRPr="0063778B" w:rsidRDefault="0063778B" w:rsidP="0063778B">
      <w:r w:rsidRPr="0063778B">
        <w:rPr>
          <w:lang w:eastAsia="bg-BG"/>
        </w:rPr>
        <w:t>Ирландия</w:t>
      </w:r>
    </w:p>
    <w:p w14:paraId="0A53321D" w14:textId="76641743" w:rsidR="00EE6C97" w:rsidRDefault="00936AD0" w:rsidP="00A93499">
      <w:pPr>
        <w:pStyle w:val="Heading1"/>
      </w:pPr>
      <w:r>
        <w:t>8.</w:t>
      </w:r>
      <w:r w:rsidR="002C50EE">
        <w:t>НОМЕР НА РАЗРЕШЕНИЕТО ЗА УПОТРЕБА</w:t>
      </w:r>
    </w:p>
    <w:p w14:paraId="78DD52F5" w14:textId="5DC47750" w:rsidR="0063778B" w:rsidRDefault="0063778B" w:rsidP="0063778B"/>
    <w:p w14:paraId="55223112" w14:textId="2B6CA839" w:rsidR="0063778B" w:rsidRPr="0063778B" w:rsidRDefault="0063778B" w:rsidP="0063778B">
      <w:r>
        <w:t>№20110176</w:t>
      </w:r>
    </w:p>
    <w:p w14:paraId="3715C10B" w14:textId="62E7062D" w:rsidR="00BB22B4" w:rsidRDefault="002C50EE" w:rsidP="00471F10">
      <w:pPr>
        <w:pStyle w:val="Heading1"/>
      </w:pPr>
      <w:r>
        <w:t>9. ДАТА НА ПЪРВО РАЗРЕШАВАНЕ/ПОДНОВЯВАНЕ НА РАЗРЕШЕНИЕТО ЗА УПОТРЕБА</w:t>
      </w:r>
    </w:p>
    <w:p w14:paraId="53E4E4AE" w14:textId="0F25DC7A" w:rsidR="0063778B" w:rsidRDefault="0063778B" w:rsidP="0063778B"/>
    <w:p w14:paraId="357956D3" w14:textId="77777777" w:rsidR="0063778B" w:rsidRPr="0063778B" w:rsidRDefault="0063778B" w:rsidP="0063778B">
      <w:pPr>
        <w:rPr>
          <w:sz w:val="24"/>
          <w:szCs w:val="24"/>
          <w:lang w:eastAsia="bg-BG"/>
        </w:rPr>
      </w:pPr>
      <w:r w:rsidRPr="0063778B">
        <w:rPr>
          <w:lang w:eastAsia="bg-BG"/>
        </w:rPr>
        <w:t>Дата на първо разрешаване: 22 март 2011 г.</w:t>
      </w:r>
    </w:p>
    <w:p w14:paraId="0B04AA22" w14:textId="77777777" w:rsidR="0063778B" w:rsidRPr="0063778B" w:rsidRDefault="0063778B" w:rsidP="0063778B">
      <w:pPr>
        <w:rPr>
          <w:sz w:val="24"/>
          <w:szCs w:val="24"/>
          <w:lang w:eastAsia="bg-BG"/>
        </w:rPr>
      </w:pPr>
      <w:r w:rsidRPr="0063778B">
        <w:rPr>
          <w:lang w:eastAsia="bg-BG"/>
        </w:rPr>
        <w:t>Дата на последно подновяване: 23 март 2016 г.</w:t>
      </w:r>
    </w:p>
    <w:p w14:paraId="3A87F210" w14:textId="77777777" w:rsidR="0063778B" w:rsidRPr="0063778B" w:rsidRDefault="0063778B" w:rsidP="0063778B"/>
    <w:p w14:paraId="43FB38A2" w14:textId="0C18A683" w:rsidR="007C605B" w:rsidRDefault="002C50EE" w:rsidP="005726E3">
      <w:pPr>
        <w:pStyle w:val="Heading1"/>
      </w:pPr>
      <w:r>
        <w:t>10. ДАТА НА АКТУАЛИЗИРАНЕ НА ТЕКСТА</w:t>
      </w:r>
      <w:bookmarkEnd w:id="0"/>
    </w:p>
    <w:p w14:paraId="472617BD" w14:textId="3BA44A42" w:rsidR="00BB22B4" w:rsidRPr="00BB22B4" w:rsidRDefault="00BB22B4" w:rsidP="00EE6C97"/>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3778B"/>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3FF6"/>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659F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3810</Words>
  <Characters>21722</Characters>
  <Application>Microsoft Office Word</Application>
  <DocSecurity>0</DocSecurity>
  <Lines>181</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2023-01-17T17:43:00Z</dcterms:created>
  <dcterms:modified xsi:type="dcterms:W3CDTF">2023-01-17T17:43:00Z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