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0A9EBC20" w14:textId="0308FB46" w:rsidR="009F77A4" w:rsidRDefault="00DD466D" w:rsidP="00387A66">
      <w:pPr>
        <w:pStyle w:val="Heading1"/>
      </w:pPr>
      <w:r>
        <w:t>1.ИМЕ НА ЛЕКАРСТВЕНИЯ ПРОДУКТ</w:t>
      </w:r>
    </w:p>
    <w:p w14:paraId="51A754CF" w14:textId="77777777" w:rsidR="00D455B6" w:rsidRDefault="00D455B6" w:rsidP="00D455B6"/>
    <w:p w14:paraId="2102DFF2" w14:textId="77777777" w:rsidR="00D455B6" w:rsidRDefault="00D455B6" w:rsidP="00D455B6">
      <w:pPr>
        <w:rPr>
          <w:lang w:eastAsia="bg-BG"/>
        </w:rPr>
      </w:pPr>
      <w:r w:rsidRPr="00D455B6">
        <w:rPr>
          <w:lang w:eastAsia="bg-BG"/>
        </w:rPr>
        <w:t xml:space="preserve">Зепилен 1 </w:t>
      </w:r>
      <w:r w:rsidRPr="00D455B6">
        <w:rPr>
          <w:lang w:val="en-US"/>
        </w:rPr>
        <w:t xml:space="preserve">g </w:t>
      </w:r>
      <w:r w:rsidRPr="00D455B6">
        <w:rPr>
          <w:lang w:eastAsia="bg-BG"/>
        </w:rPr>
        <w:t xml:space="preserve">прах за инжекционен/ инфузионен разтвор </w:t>
      </w:r>
    </w:p>
    <w:p w14:paraId="6F5863FF" w14:textId="7FF2CF2D" w:rsidR="00D455B6" w:rsidRPr="00D455B6" w:rsidRDefault="00D455B6" w:rsidP="00D455B6">
      <w:pPr>
        <w:rPr>
          <w:sz w:val="24"/>
          <w:szCs w:val="24"/>
          <w:lang w:val="en-US" w:eastAsia="bg-BG"/>
        </w:rPr>
      </w:pPr>
      <w:proofErr w:type="spellStart"/>
      <w:r w:rsidRPr="00D455B6">
        <w:rPr>
          <w:lang w:val="en-US"/>
        </w:rPr>
        <w:t>Zepilen</w:t>
      </w:r>
      <w:proofErr w:type="spellEnd"/>
      <w:r w:rsidRPr="00D455B6">
        <w:rPr>
          <w:lang w:val="en-US"/>
        </w:rPr>
        <w:t xml:space="preserve"> </w:t>
      </w:r>
      <w:r w:rsidRPr="00D455B6">
        <w:rPr>
          <w:lang w:eastAsia="bg-BG"/>
        </w:rPr>
        <w:t xml:space="preserve">1 </w:t>
      </w:r>
      <w:r w:rsidRPr="00D455B6">
        <w:rPr>
          <w:lang w:val="en-US"/>
        </w:rPr>
        <w:t>g powder for solution for injection/ infusion</w:t>
      </w:r>
    </w:p>
    <w:p w14:paraId="5054B318" w14:textId="77777777" w:rsidR="00D455B6" w:rsidRPr="00D455B6" w:rsidRDefault="00D455B6" w:rsidP="00D455B6"/>
    <w:p w14:paraId="0DF202EC" w14:textId="10882A08" w:rsidR="00F53FB7" w:rsidRDefault="00DD466D" w:rsidP="00A93499">
      <w:pPr>
        <w:pStyle w:val="Heading1"/>
      </w:pPr>
      <w:r>
        <w:t>2. КАЧЕСТВЕН И КОЛИЧЕСТВЕН СЪСТАВ</w:t>
      </w:r>
    </w:p>
    <w:p w14:paraId="2C091947" w14:textId="77777777" w:rsidR="00D455B6" w:rsidRDefault="00D455B6" w:rsidP="00D455B6"/>
    <w:p w14:paraId="0D7CA608" w14:textId="77777777" w:rsidR="00D455B6" w:rsidRPr="00D455B6" w:rsidRDefault="00D455B6" w:rsidP="00D455B6">
      <w:pPr>
        <w:rPr>
          <w:sz w:val="24"/>
          <w:szCs w:val="24"/>
          <w:lang w:eastAsia="bg-BG"/>
        </w:rPr>
      </w:pPr>
      <w:r w:rsidRPr="00D455B6">
        <w:rPr>
          <w:lang w:eastAsia="bg-BG"/>
        </w:rPr>
        <w:t xml:space="preserve">Всеки флакон съдържа 1 </w:t>
      </w:r>
      <w:r w:rsidRPr="00D455B6">
        <w:rPr>
          <w:lang w:val="en-US"/>
        </w:rPr>
        <w:t xml:space="preserve">g </w:t>
      </w:r>
      <w:r w:rsidRPr="00D455B6">
        <w:rPr>
          <w:lang w:eastAsia="bg-BG"/>
        </w:rPr>
        <w:t xml:space="preserve">цефазолин </w:t>
      </w:r>
      <w:r w:rsidRPr="00D455B6">
        <w:rPr>
          <w:lang w:val="en-US"/>
        </w:rPr>
        <w:t xml:space="preserve">(cefazolin) </w:t>
      </w:r>
      <w:r w:rsidRPr="00D455B6">
        <w:rPr>
          <w:lang w:eastAsia="bg-BG"/>
        </w:rPr>
        <w:t xml:space="preserve">под формата на цефазолин натрий </w:t>
      </w:r>
      <w:r w:rsidRPr="00D455B6">
        <w:rPr>
          <w:lang w:val="en-US"/>
        </w:rPr>
        <w:t>(cefazolin sodium).</w:t>
      </w:r>
    </w:p>
    <w:p w14:paraId="5D658A18" w14:textId="77777777" w:rsidR="00D455B6" w:rsidRPr="00D455B6" w:rsidRDefault="00D455B6" w:rsidP="00D455B6"/>
    <w:p w14:paraId="4CABB9ED" w14:textId="2740FB4D" w:rsidR="00F53FB7" w:rsidRDefault="00DD466D" w:rsidP="00A93499">
      <w:pPr>
        <w:pStyle w:val="Heading1"/>
      </w:pPr>
      <w:r>
        <w:t>3. ЛЕКАРСТВЕНА ФОРМА</w:t>
      </w:r>
    </w:p>
    <w:p w14:paraId="683AAA14" w14:textId="77777777" w:rsidR="00D455B6" w:rsidRDefault="00D455B6" w:rsidP="00D455B6"/>
    <w:p w14:paraId="066249B8" w14:textId="77777777" w:rsidR="00D455B6" w:rsidRPr="00D455B6" w:rsidRDefault="00D455B6" w:rsidP="00D455B6">
      <w:pPr>
        <w:rPr>
          <w:sz w:val="24"/>
          <w:szCs w:val="24"/>
          <w:lang w:eastAsia="bg-BG"/>
        </w:rPr>
      </w:pPr>
      <w:r w:rsidRPr="00D455B6">
        <w:rPr>
          <w:lang w:eastAsia="bg-BG"/>
        </w:rPr>
        <w:t>Прах за инжекционен/инфузионен разтвор.</w:t>
      </w:r>
    </w:p>
    <w:p w14:paraId="48630C68" w14:textId="04FD8E4B" w:rsidR="00D455B6" w:rsidRPr="00D455B6" w:rsidRDefault="00D455B6" w:rsidP="00D455B6">
      <w:pPr>
        <w:rPr>
          <w:sz w:val="24"/>
          <w:szCs w:val="24"/>
          <w:lang w:eastAsia="bg-BG"/>
        </w:rPr>
      </w:pPr>
      <w:r w:rsidRPr="00D455B6">
        <w:rPr>
          <w:lang w:eastAsia="bg-BG"/>
        </w:rPr>
        <w:t>Бял до почти бял много хигроскопичен прах за инжекционен/ инфузионен разтвор.</w:t>
      </w:r>
    </w:p>
    <w:p w14:paraId="490FC2C4" w14:textId="6899DE43" w:rsidR="002C50EE" w:rsidRDefault="002C50EE" w:rsidP="002C50EE">
      <w:pPr>
        <w:pStyle w:val="Heading1"/>
      </w:pPr>
      <w:r>
        <w:t>4. КЛИНИЧНИ ДАННИ</w:t>
      </w:r>
    </w:p>
    <w:p w14:paraId="461901E4" w14:textId="0A9C51D3" w:rsidR="009F77A4" w:rsidRDefault="002C50EE" w:rsidP="00387A66">
      <w:pPr>
        <w:pStyle w:val="Heading2"/>
      </w:pPr>
      <w:r>
        <w:t>4.1. Терапевтични показания</w:t>
      </w:r>
    </w:p>
    <w:p w14:paraId="249A71E5" w14:textId="77777777" w:rsidR="00D455B6" w:rsidRDefault="00D455B6" w:rsidP="00D455B6"/>
    <w:p w14:paraId="21D007A7" w14:textId="77777777" w:rsidR="00D455B6" w:rsidRPr="00D455B6" w:rsidRDefault="00D455B6" w:rsidP="00D455B6">
      <w:pPr>
        <w:spacing w:line="240" w:lineRule="auto"/>
        <w:rPr>
          <w:rFonts w:eastAsia="Times New Roman" w:cs="Arial"/>
          <w:lang w:eastAsia="bg-BG"/>
        </w:rPr>
      </w:pPr>
      <w:r w:rsidRPr="00D455B6">
        <w:rPr>
          <w:rFonts w:eastAsia="Times New Roman" w:cs="Arial"/>
          <w:color w:val="000000"/>
          <w:lang w:eastAsia="bg-BG"/>
        </w:rPr>
        <w:t>Зепилен е показан за лечение на следните инфекции, причинени от чувствителни бактерии:</w:t>
      </w:r>
    </w:p>
    <w:p w14:paraId="68EB9EF1" w14:textId="77777777" w:rsidR="00D455B6" w:rsidRDefault="00D455B6" w:rsidP="00D455B6">
      <w:pPr>
        <w:spacing w:line="240" w:lineRule="auto"/>
        <w:rPr>
          <w:rFonts w:eastAsia="Times New Roman" w:cs="Arial"/>
          <w:color w:val="000000"/>
          <w:lang w:eastAsia="bg-BG"/>
        </w:rPr>
      </w:pPr>
    </w:p>
    <w:p w14:paraId="6ACA392B" w14:textId="77777777" w:rsidR="00D455B6" w:rsidRDefault="00D455B6" w:rsidP="00D455B6">
      <w:pPr>
        <w:pStyle w:val="ListParagraph"/>
        <w:numPr>
          <w:ilvl w:val="0"/>
          <w:numId w:val="40"/>
        </w:numPr>
        <w:spacing w:line="240" w:lineRule="auto"/>
        <w:rPr>
          <w:rFonts w:eastAsia="Times New Roman" w:cs="Arial"/>
          <w:color w:val="000000"/>
          <w:lang w:eastAsia="bg-BG"/>
        </w:rPr>
      </w:pPr>
      <w:r w:rsidRPr="00D455B6">
        <w:rPr>
          <w:rFonts w:eastAsia="Times New Roman" w:cs="Arial"/>
          <w:color w:val="000000"/>
          <w:lang w:eastAsia="bg-BG"/>
        </w:rPr>
        <w:t>инфекции на респираторния тракт;</w:t>
      </w:r>
    </w:p>
    <w:p w14:paraId="745ACF36" w14:textId="77777777" w:rsidR="00D455B6" w:rsidRDefault="00D455B6" w:rsidP="00D455B6">
      <w:pPr>
        <w:pStyle w:val="ListParagraph"/>
        <w:numPr>
          <w:ilvl w:val="0"/>
          <w:numId w:val="40"/>
        </w:numPr>
        <w:spacing w:line="240" w:lineRule="auto"/>
        <w:rPr>
          <w:rFonts w:eastAsia="Times New Roman" w:cs="Arial"/>
          <w:color w:val="000000"/>
          <w:lang w:eastAsia="bg-BG"/>
        </w:rPr>
      </w:pPr>
      <w:r w:rsidRPr="00D455B6">
        <w:rPr>
          <w:rFonts w:eastAsia="Times New Roman" w:cs="Arial"/>
          <w:color w:val="000000"/>
          <w:lang w:eastAsia="bg-BG"/>
        </w:rPr>
        <w:t>инфекции на генито-уринарния тракт;</w:t>
      </w:r>
    </w:p>
    <w:p w14:paraId="30A96F8F" w14:textId="77777777" w:rsidR="00D455B6" w:rsidRDefault="00D455B6" w:rsidP="00D455B6">
      <w:pPr>
        <w:pStyle w:val="ListParagraph"/>
        <w:numPr>
          <w:ilvl w:val="0"/>
          <w:numId w:val="40"/>
        </w:numPr>
        <w:spacing w:line="240" w:lineRule="auto"/>
        <w:rPr>
          <w:rFonts w:eastAsia="Times New Roman" w:cs="Arial"/>
          <w:color w:val="000000"/>
          <w:lang w:eastAsia="bg-BG"/>
        </w:rPr>
      </w:pPr>
      <w:r w:rsidRPr="00D455B6">
        <w:rPr>
          <w:rFonts w:eastAsia="Times New Roman" w:cs="Arial"/>
          <w:color w:val="000000"/>
          <w:lang w:eastAsia="bg-BG"/>
        </w:rPr>
        <w:t>инфекции на кожата и меките тъкани;</w:t>
      </w:r>
    </w:p>
    <w:p w14:paraId="21BD4ACC" w14:textId="77777777" w:rsidR="00D455B6" w:rsidRDefault="00D455B6" w:rsidP="00D455B6">
      <w:pPr>
        <w:pStyle w:val="ListParagraph"/>
        <w:numPr>
          <w:ilvl w:val="0"/>
          <w:numId w:val="40"/>
        </w:numPr>
        <w:spacing w:line="240" w:lineRule="auto"/>
        <w:rPr>
          <w:rFonts w:eastAsia="Times New Roman" w:cs="Arial"/>
          <w:color w:val="000000"/>
          <w:lang w:eastAsia="bg-BG"/>
        </w:rPr>
      </w:pPr>
      <w:r w:rsidRPr="00D455B6">
        <w:rPr>
          <w:rFonts w:eastAsia="Times New Roman" w:cs="Arial"/>
          <w:color w:val="000000"/>
          <w:lang w:eastAsia="bg-BG"/>
        </w:rPr>
        <w:t>костни и ставни инфекции;</w:t>
      </w:r>
    </w:p>
    <w:p w14:paraId="3EA212AF" w14:textId="77777777" w:rsidR="00D455B6" w:rsidRDefault="00D455B6" w:rsidP="00D455B6">
      <w:pPr>
        <w:pStyle w:val="ListParagraph"/>
        <w:numPr>
          <w:ilvl w:val="0"/>
          <w:numId w:val="40"/>
        </w:numPr>
        <w:spacing w:line="240" w:lineRule="auto"/>
        <w:rPr>
          <w:rFonts w:eastAsia="Times New Roman" w:cs="Arial"/>
          <w:color w:val="000000"/>
          <w:lang w:eastAsia="bg-BG"/>
        </w:rPr>
      </w:pPr>
      <w:r w:rsidRPr="00D455B6">
        <w:rPr>
          <w:rFonts w:eastAsia="Times New Roman" w:cs="Arial"/>
          <w:color w:val="000000"/>
          <w:lang w:eastAsia="bg-BG"/>
        </w:rPr>
        <w:t>септицемия;</w:t>
      </w:r>
    </w:p>
    <w:p w14:paraId="488E797D" w14:textId="77777777" w:rsidR="00D455B6" w:rsidRDefault="00D455B6" w:rsidP="00D455B6">
      <w:pPr>
        <w:pStyle w:val="ListParagraph"/>
        <w:numPr>
          <w:ilvl w:val="0"/>
          <w:numId w:val="40"/>
        </w:numPr>
        <w:spacing w:line="240" w:lineRule="auto"/>
        <w:rPr>
          <w:rFonts w:eastAsia="Times New Roman" w:cs="Arial"/>
          <w:color w:val="000000"/>
          <w:lang w:eastAsia="bg-BG"/>
        </w:rPr>
      </w:pPr>
      <w:r w:rsidRPr="00D455B6">
        <w:rPr>
          <w:rFonts w:eastAsia="Times New Roman" w:cs="Arial"/>
          <w:color w:val="000000"/>
          <w:lang w:eastAsia="bg-BG"/>
        </w:rPr>
        <w:t>ендокардит;</w:t>
      </w:r>
    </w:p>
    <w:p w14:paraId="31BB686D" w14:textId="5BA79F13" w:rsidR="00D455B6" w:rsidRPr="00D455B6" w:rsidRDefault="00D455B6" w:rsidP="00D455B6">
      <w:pPr>
        <w:pStyle w:val="ListParagraph"/>
        <w:numPr>
          <w:ilvl w:val="0"/>
          <w:numId w:val="40"/>
        </w:numPr>
        <w:spacing w:line="240" w:lineRule="auto"/>
        <w:rPr>
          <w:rFonts w:eastAsia="Times New Roman" w:cs="Arial"/>
          <w:color w:val="000000"/>
          <w:lang w:eastAsia="bg-BG"/>
        </w:rPr>
      </w:pPr>
      <w:r w:rsidRPr="00D455B6">
        <w:rPr>
          <w:rFonts w:eastAsia="Times New Roman" w:cs="Arial"/>
          <w:color w:val="000000"/>
          <w:lang w:eastAsia="bg-BG"/>
        </w:rPr>
        <w:t>инфекции на жлъчния тракт.</w:t>
      </w:r>
    </w:p>
    <w:p w14:paraId="6A4FF6C8" w14:textId="77777777" w:rsidR="00D455B6" w:rsidRDefault="00D455B6" w:rsidP="00D455B6">
      <w:pPr>
        <w:spacing w:line="240" w:lineRule="auto"/>
        <w:rPr>
          <w:rFonts w:eastAsia="Times New Roman" w:cs="Arial"/>
          <w:color w:val="000000"/>
          <w:lang w:eastAsia="bg-BG"/>
        </w:rPr>
      </w:pPr>
    </w:p>
    <w:p w14:paraId="7DA1DE2F" w14:textId="2E0754E1" w:rsidR="00D455B6" w:rsidRPr="00D455B6" w:rsidRDefault="00D455B6" w:rsidP="00D455B6">
      <w:pPr>
        <w:spacing w:line="240" w:lineRule="auto"/>
        <w:rPr>
          <w:rFonts w:eastAsia="Times New Roman" w:cs="Arial"/>
          <w:lang w:eastAsia="bg-BG"/>
        </w:rPr>
      </w:pPr>
      <w:r w:rsidRPr="00D455B6">
        <w:rPr>
          <w:rFonts w:eastAsia="Times New Roman" w:cs="Arial"/>
          <w:color w:val="000000"/>
          <w:lang w:eastAsia="bg-BG"/>
        </w:rPr>
        <w:t>Може да се използва и като профилактика: периоперативното приложение на цефазолин може да намали честотата на постоперативни инфекции при пациенти, подложени на септични или потенциално септични хирургични процедури, свързани с висок риск за развитие на инфекции или, при които постоперативната инфекция може да бъде особено тежка.</w:t>
      </w:r>
    </w:p>
    <w:p w14:paraId="0B3A13FD" w14:textId="77777777" w:rsidR="00D455B6" w:rsidRPr="00D455B6" w:rsidRDefault="00D455B6" w:rsidP="00D455B6"/>
    <w:p w14:paraId="31744E5A" w14:textId="29FBB145" w:rsidR="009F77A4" w:rsidRDefault="002C50EE" w:rsidP="00387A66">
      <w:pPr>
        <w:pStyle w:val="Heading2"/>
      </w:pPr>
      <w:r>
        <w:t>4.2. Дозировка и начин на приложение</w:t>
      </w:r>
    </w:p>
    <w:p w14:paraId="6103C103" w14:textId="77777777" w:rsidR="00D455B6" w:rsidRDefault="00D455B6" w:rsidP="00D455B6"/>
    <w:p w14:paraId="77918806" w14:textId="77777777" w:rsidR="00D455B6" w:rsidRPr="00D455B6" w:rsidRDefault="00D455B6" w:rsidP="00D455B6">
      <w:pPr>
        <w:spacing w:line="240" w:lineRule="auto"/>
        <w:rPr>
          <w:rFonts w:eastAsia="Times New Roman" w:cs="Arial"/>
          <w:lang w:eastAsia="bg-BG"/>
        </w:rPr>
      </w:pPr>
      <w:r w:rsidRPr="00D455B6">
        <w:rPr>
          <w:rFonts w:eastAsia="Times New Roman" w:cs="Arial"/>
          <w:color w:val="000000"/>
          <w:u w:val="single"/>
          <w:lang w:eastAsia="bg-BG"/>
        </w:rPr>
        <w:t>Дозировка</w:t>
      </w:r>
    </w:p>
    <w:p w14:paraId="29B718BF" w14:textId="77777777" w:rsidR="00D455B6" w:rsidRDefault="00D455B6" w:rsidP="00D455B6">
      <w:pPr>
        <w:spacing w:line="240" w:lineRule="auto"/>
        <w:rPr>
          <w:rFonts w:eastAsia="Times New Roman" w:cs="Arial"/>
          <w:color w:val="000000"/>
          <w:lang w:eastAsia="bg-BG"/>
        </w:rPr>
      </w:pPr>
    </w:p>
    <w:p w14:paraId="251C4BB0" w14:textId="13F499A5" w:rsidR="00D455B6" w:rsidRPr="00D455B6" w:rsidRDefault="00D455B6" w:rsidP="00D455B6">
      <w:pPr>
        <w:spacing w:line="240" w:lineRule="auto"/>
        <w:rPr>
          <w:rFonts w:eastAsia="Times New Roman" w:cs="Arial"/>
          <w:lang w:eastAsia="bg-BG"/>
        </w:rPr>
      </w:pPr>
      <w:r w:rsidRPr="00D455B6">
        <w:rPr>
          <w:rFonts w:eastAsia="Times New Roman" w:cs="Arial"/>
          <w:color w:val="000000"/>
          <w:lang w:eastAsia="bg-BG"/>
        </w:rPr>
        <w:t>Препоръките за дозиране са идентични независимо от начина на приложение:</w:t>
      </w:r>
    </w:p>
    <w:p w14:paraId="761AB54D" w14:textId="77777777" w:rsidR="00D455B6" w:rsidRDefault="00D455B6" w:rsidP="00D455B6">
      <w:pPr>
        <w:spacing w:line="240" w:lineRule="auto"/>
        <w:rPr>
          <w:rFonts w:eastAsia="Times New Roman" w:cs="Arial"/>
          <w:i/>
          <w:iCs/>
          <w:color w:val="000000"/>
          <w:lang w:eastAsia="bg-BG"/>
        </w:rPr>
      </w:pPr>
    </w:p>
    <w:p w14:paraId="49905C01" w14:textId="703D2E00" w:rsidR="00D455B6" w:rsidRPr="00D455B6" w:rsidRDefault="00D455B6" w:rsidP="00D455B6">
      <w:pPr>
        <w:spacing w:line="240" w:lineRule="auto"/>
        <w:rPr>
          <w:rFonts w:eastAsia="Times New Roman" w:cs="Arial"/>
          <w:lang w:eastAsia="bg-BG"/>
        </w:rPr>
      </w:pPr>
      <w:r w:rsidRPr="00D455B6">
        <w:rPr>
          <w:rFonts w:eastAsia="Times New Roman" w:cs="Arial"/>
          <w:i/>
          <w:iCs/>
          <w:color w:val="000000"/>
          <w:lang w:eastAsia="bg-BG"/>
        </w:rPr>
        <w:lastRenderedPageBreak/>
        <w:t>Възрастни</w:t>
      </w:r>
    </w:p>
    <w:p w14:paraId="42266DA0" w14:textId="77777777" w:rsidR="00D455B6" w:rsidRPr="00D455B6" w:rsidRDefault="00D455B6" w:rsidP="00D455B6">
      <w:pPr>
        <w:spacing w:line="240" w:lineRule="auto"/>
        <w:rPr>
          <w:rFonts w:eastAsia="Times New Roman" w:cs="Arial"/>
          <w:lang w:eastAsia="bg-BG"/>
        </w:rPr>
      </w:pPr>
      <w:r w:rsidRPr="00D455B6">
        <w:rPr>
          <w:rFonts w:eastAsia="Times New Roman" w:cs="Arial"/>
          <w:color w:val="000000"/>
          <w:lang w:eastAsia="bg-BG"/>
        </w:rPr>
        <w:t>Обичайната доза за възрастни е както следва:</w:t>
      </w:r>
    </w:p>
    <w:p w14:paraId="5748761B" w14:textId="77777777" w:rsidR="00D455B6" w:rsidRPr="00D455B6" w:rsidRDefault="00D455B6" w:rsidP="00D455B6">
      <w:pPr>
        <w:spacing w:line="240" w:lineRule="auto"/>
        <w:rPr>
          <w:rFonts w:eastAsia="Times New Roman" w:cs="Arial"/>
          <w:lang w:eastAsia="bg-BG"/>
        </w:rPr>
      </w:pPr>
      <w:r w:rsidRPr="00D455B6">
        <w:rPr>
          <w:rFonts w:eastAsia="Times New Roman" w:cs="Arial"/>
          <w:i/>
          <w:iCs/>
          <w:color w:val="000000"/>
          <w:lang w:eastAsia="bg-BG"/>
        </w:rPr>
        <w:t>Леки инфекции, причинени от чувствителни Грам-положителни коки:</w:t>
      </w:r>
      <w:r w:rsidRPr="00D455B6">
        <w:rPr>
          <w:rFonts w:eastAsia="Times New Roman" w:cs="Arial"/>
          <w:color w:val="000000"/>
          <w:lang w:eastAsia="bg-BG"/>
        </w:rPr>
        <w:t xml:space="preserve"> доза от 250 до 500 </w:t>
      </w:r>
      <w:r w:rsidRPr="00D455B6">
        <w:rPr>
          <w:rFonts w:eastAsia="Times New Roman" w:cs="Arial"/>
          <w:color w:val="000000"/>
          <w:lang w:val="en-US"/>
        </w:rPr>
        <w:t xml:space="preserve">mg, </w:t>
      </w:r>
      <w:r w:rsidRPr="00D455B6">
        <w:rPr>
          <w:rFonts w:eastAsia="Times New Roman" w:cs="Arial"/>
          <w:color w:val="000000"/>
          <w:lang w:eastAsia="bg-BG"/>
        </w:rPr>
        <w:t>приложена на всеки осем часа.</w:t>
      </w:r>
    </w:p>
    <w:p w14:paraId="11E7C1A1" w14:textId="77777777" w:rsidR="00D455B6" w:rsidRPr="00D455B6" w:rsidRDefault="00D455B6" w:rsidP="00D455B6">
      <w:pPr>
        <w:spacing w:line="240" w:lineRule="auto"/>
        <w:rPr>
          <w:rFonts w:eastAsia="Times New Roman" w:cs="Arial"/>
          <w:lang w:eastAsia="bg-BG"/>
        </w:rPr>
      </w:pPr>
      <w:r w:rsidRPr="00D455B6">
        <w:rPr>
          <w:rFonts w:eastAsia="Times New Roman" w:cs="Arial"/>
          <w:i/>
          <w:iCs/>
          <w:color w:val="000000"/>
          <w:lang w:eastAsia="bg-BG"/>
        </w:rPr>
        <w:t>Умерени до тежки инфекции:</w:t>
      </w:r>
      <w:r w:rsidRPr="00D455B6">
        <w:rPr>
          <w:rFonts w:eastAsia="Times New Roman" w:cs="Arial"/>
          <w:color w:val="000000"/>
          <w:lang w:eastAsia="bg-BG"/>
        </w:rPr>
        <w:t xml:space="preserve"> доза от 500 </w:t>
      </w:r>
      <w:r w:rsidRPr="00D455B6">
        <w:rPr>
          <w:rFonts w:eastAsia="Times New Roman" w:cs="Arial"/>
          <w:color w:val="000000"/>
          <w:lang w:val="en-US"/>
        </w:rPr>
        <w:t xml:space="preserve">mg </w:t>
      </w:r>
      <w:r w:rsidRPr="00D455B6">
        <w:rPr>
          <w:rFonts w:eastAsia="Times New Roman" w:cs="Arial"/>
          <w:color w:val="000000"/>
          <w:lang w:eastAsia="bg-BG"/>
        </w:rPr>
        <w:t xml:space="preserve">до 1 </w:t>
      </w:r>
      <w:r w:rsidRPr="00D455B6">
        <w:rPr>
          <w:rFonts w:eastAsia="Times New Roman" w:cs="Arial"/>
          <w:color w:val="000000"/>
          <w:lang w:val="en-US"/>
        </w:rPr>
        <w:t xml:space="preserve">g, </w:t>
      </w:r>
      <w:r w:rsidRPr="00D455B6">
        <w:rPr>
          <w:rFonts w:eastAsia="Times New Roman" w:cs="Arial"/>
          <w:color w:val="000000"/>
          <w:lang w:eastAsia="bg-BG"/>
        </w:rPr>
        <w:t>приложени на шест до осем часа.</w:t>
      </w:r>
    </w:p>
    <w:p w14:paraId="02FBEC79" w14:textId="77777777" w:rsidR="00D455B6" w:rsidRPr="00D455B6" w:rsidRDefault="00D455B6" w:rsidP="00D455B6">
      <w:pPr>
        <w:spacing w:line="240" w:lineRule="auto"/>
        <w:rPr>
          <w:rFonts w:eastAsia="Times New Roman" w:cs="Arial"/>
          <w:lang w:eastAsia="bg-BG"/>
        </w:rPr>
      </w:pPr>
      <w:r w:rsidRPr="00D455B6">
        <w:rPr>
          <w:rFonts w:eastAsia="Times New Roman" w:cs="Arial"/>
          <w:i/>
          <w:iCs/>
          <w:color w:val="000000"/>
          <w:lang w:eastAsia="bg-BG"/>
        </w:rPr>
        <w:t>Тежки, животозастрашаващи инфекции като ендокардит или септицемия:</w:t>
      </w:r>
      <w:r w:rsidRPr="00D455B6">
        <w:rPr>
          <w:rFonts w:eastAsia="Times New Roman" w:cs="Arial"/>
          <w:color w:val="000000"/>
          <w:lang w:eastAsia="bg-BG"/>
        </w:rPr>
        <w:t xml:space="preserve"> доза от 1 до 1,5 </w:t>
      </w:r>
      <w:r w:rsidRPr="00D455B6">
        <w:rPr>
          <w:rFonts w:eastAsia="Times New Roman" w:cs="Arial"/>
          <w:color w:val="000000"/>
          <w:lang w:val="en-US"/>
        </w:rPr>
        <w:t xml:space="preserve">g, </w:t>
      </w:r>
      <w:r w:rsidRPr="00D455B6">
        <w:rPr>
          <w:rFonts w:eastAsia="Times New Roman" w:cs="Arial"/>
          <w:color w:val="000000"/>
          <w:lang w:eastAsia="bg-BG"/>
        </w:rPr>
        <w:t xml:space="preserve">приложена на всеки шест часа. Трябва да се отбележи, че в редки случаи са прилагани дози до 12 </w:t>
      </w:r>
      <w:r w:rsidRPr="00D455B6">
        <w:rPr>
          <w:rFonts w:eastAsia="Times New Roman" w:cs="Arial"/>
          <w:color w:val="000000"/>
          <w:lang w:val="en-US"/>
        </w:rPr>
        <w:t xml:space="preserve">g </w:t>
      </w:r>
      <w:r w:rsidRPr="00D455B6">
        <w:rPr>
          <w:rFonts w:eastAsia="Times New Roman" w:cs="Arial"/>
          <w:color w:val="000000"/>
          <w:lang w:eastAsia="bg-BG"/>
        </w:rPr>
        <w:t>цефазолин.</w:t>
      </w:r>
    </w:p>
    <w:p w14:paraId="15AB8D2A" w14:textId="77777777" w:rsidR="00D455B6" w:rsidRPr="00D455B6" w:rsidRDefault="00D455B6" w:rsidP="00D455B6">
      <w:pPr>
        <w:spacing w:line="240" w:lineRule="auto"/>
        <w:rPr>
          <w:rFonts w:eastAsia="Times New Roman" w:cs="Arial"/>
          <w:lang w:eastAsia="bg-BG"/>
        </w:rPr>
      </w:pPr>
      <w:r w:rsidRPr="00D455B6">
        <w:rPr>
          <w:rFonts w:eastAsia="Times New Roman" w:cs="Arial"/>
          <w:i/>
          <w:iCs/>
          <w:color w:val="000000"/>
          <w:lang w:eastAsia="bg-BG"/>
        </w:rPr>
        <w:t>Остри неусложнени инфекции на уринарния тракт:</w:t>
      </w:r>
      <w:r w:rsidRPr="00D455B6">
        <w:rPr>
          <w:rFonts w:eastAsia="Times New Roman" w:cs="Arial"/>
          <w:color w:val="000000"/>
          <w:lang w:eastAsia="bg-BG"/>
        </w:rPr>
        <w:t xml:space="preserve"> доза от 1 </w:t>
      </w:r>
      <w:r w:rsidRPr="00D455B6">
        <w:rPr>
          <w:rFonts w:eastAsia="Times New Roman" w:cs="Arial"/>
          <w:color w:val="000000"/>
          <w:lang w:val="en-US"/>
        </w:rPr>
        <w:t xml:space="preserve">g, </w:t>
      </w:r>
      <w:r w:rsidRPr="00D455B6">
        <w:rPr>
          <w:rFonts w:eastAsia="Times New Roman" w:cs="Arial"/>
          <w:color w:val="000000"/>
          <w:lang w:eastAsia="bg-BG"/>
        </w:rPr>
        <w:t>приложена на всеки дванадесет часа.</w:t>
      </w:r>
    </w:p>
    <w:p w14:paraId="7153485E" w14:textId="77777777" w:rsidR="00D455B6" w:rsidRPr="00D455B6" w:rsidRDefault="00D455B6" w:rsidP="00D455B6">
      <w:pPr>
        <w:spacing w:line="240" w:lineRule="auto"/>
        <w:rPr>
          <w:rFonts w:eastAsia="Times New Roman" w:cs="Arial"/>
          <w:lang w:eastAsia="bg-BG"/>
        </w:rPr>
      </w:pPr>
      <w:r w:rsidRPr="00D455B6">
        <w:rPr>
          <w:rFonts w:eastAsia="Times New Roman" w:cs="Arial"/>
          <w:i/>
          <w:iCs/>
          <w:color w:val="000000"/>
          <w:lang w:eastAsia="bg-BG"/>
        </w:rPr>
        <w:t>Пневмококова пневмония:</w:t>
      </w:r>
      <w:r w:rsidRPr="00D455B6">
        <w:rPr>
          <w:rFonts w:eastAsia="Times New Roman" w:cs="Arial"/>
          <w:color w:val="000000"/>
          <w:lang w:eastAsia="bg-BG"/>
        </w:rPr>
        <w:t xml:space="preserve"> доза от 500 </w:t>
      </w:r>
      <w:r w:rsidRPr="00D455B6">
        <w:rPr>
          <w:rFonts w:eastAsia="Times New Roman" w:cs="Arial"/>
          <w:color w:val="000000"/>
          <w:lang w:val="en-US"/>
        </w:rPr>
        <w:t xml:space="preserve">mg, </w:t>
      </w:r>
      <w:r w:rsidRPr="00D455B6">
        <w:rPr>
          <w:rFonts w:eastAsia="Times New Roman" w:cs="Arial"/>
          <w:color w:val="000000"/>
          <w:lang w:eastAsia="bg-BG"/>
        </w:rPr>
        <w:t>приложена на всеки дванадесет часа.</w:t>
      </w:r>
    </w:p>
    <w:p w14:paraId="5CAAB3DE" w14:textId="77777777" w:rsidR="00D455B6" w:rsidRDefault="00D455B6" w:rsidP="00D455B6"/>
    <w:p w14:paraId="3CC725B1" w14:textId="77777777" w:rsidR="00D455B6" w:rsidRPr="00D455B6" w:rsidRDefault="00D455B6" w:rsidP="00D455B6">
      <w:pPr>
        <w:spacing w:line="240" w:lineRule="auto"/>
        <w:rPr>
          <w:rFonts w:eastAsia="Times New Roman" w:cs="Arial"/>
          <w:lang w:eastAsia="bg-BG"/>
        </w:rPr>
      </w:pPr>
      <w:r w:rsidRPr="00D455B6">
        <w:rPr>
          <w:rFonts w:eastAsia="Times New Roman" w:cs="Arial"/>
          <w:i/>
          <w:iCs/>
          <w:color w:val="000000"/>
          <w:lang w:eastAsia="bg-BG"/>
        </w:rPr>
        <w:t>Профилактична употреба в хирургията:</w:t>
      </w:r>
      <w:r w:rsidRPr="00D455B6">
        <w:rPr>
          <w:rFonts w:eastAsia="Times New Roman" w:cs="Arial"/>
          <w:color w:val="000000"/>
          <w:lang w:eastAsia="bg-BG"/>
        </w:rPr>
        <w:t xml:space="preserve"> доза от 1 </w:t>
      </w:r>
      <w:r w:rsidRPr="00D455B6">
        <w:rPr>
          <w:rFonts w:eastAsia="Times New Roman" w:cs="Arial"/>
          <w:color w:val="000000"/>
          <w:lang w:val="en-US"/>
        </w:rPr>
        <w:t xml:space="preserve">g </w:t>
      </w:r>
      <w:r w:rsidRPr="00D455B6">
        <w:rPr>
          <w:rFonts w:eastAsia="Times New Roman" w:cs="Arial"/>
          <w:color w:val="000000"/>
          <w:lang w:eastAsia="bg-BG"/>
        </w:rPr>
        <w:t xml:space="preserve">интрамускулно или бавно интравенозно, 30 до 60 минути преди операцията. Това трябва да бъде последвано от доза 500 </w:t>
      </w:r>
      <w:r w:rsidRPr="00D455B6">
        <w:rPr>
          <w:rFonts w:eastAsia="Times New Roman" w:cs="Arial"/>
          <w:color w:val="000000"/>
          <w:lang w:val="en-US"/>
        </w:rPr>
        <w:t xml:space="preserve">mg </w:t>
      </w:r>
      <w:r w:rsidRPr="00D455B6">
        <w:rPr>
          <w:rFonts w:eastAsia="Times New Roman" w:cs="Arial"/>
          <w:color w:val="000000"/>
          <w:lang w:eastAsia="bg-BG"/>
        </w:rPr>
        <w:t xml:space="preserve">до 1 </w:t>
      </w:r>
      <w:r w:rsidRPr="00D455B6">
        <w:rPr>
          <w:rFonts w:eastAsia="Times New Roman" w:cs="Arial"/>
          <w:color w:val="000000"/>
          <w:lang w:val="en-US"/>
        </w:rPr>
        <w:t xml:space="preserve">g </w:t>
      </w:r>
      <w:r w:rsidRPr="00D455B6">
        <w:rPr>
          <w:rFonts w:eastAsia="Times New Roman" w:cs="Arial"/>
          <w:color w:val="000000"/>
          <w:lang w:eastAsia="bg-BG"/>
        </w:rPr>
        <w:t xml:space="preserve">на всеки шест до осем часа следоперативно за 24 часа. В случаите, в които операцията е с продължителност по-голяма от два часа, по време на хирургичната процедура трябва да бъде приложена допълнителна доза от 500 </w:t>
      </w:r>
      <w:r w:rsidRPr="00D455B6">
        <w:rPr>
          <w:rFonts w:eastAsia="Times New Roman" w:cs="Arial"/>
          <w:color w:val="000000"/>
          <w:lang w:val="en-US"/>
        </w:rPr>
        <w:t xml:space="preserve">mg </w:t>
      </w:r>
      <w:r w:rsidRPr="00D455B6">
        <w:rPr>
          <w:rFonts w:eastAsia="Times New Roman" w:cs="Arial"/>
          <w:color w:val="000000"/>
          <w:lang w:eastAsia="bg-BG"/>
        </w:rPr>
        <w:t xml:space="preserve">до 1 </w:t>
      </w:r>
      <w:r w:rsidRPr="00D455B6">
        <w:rPr>
          <w:rFonts w:eastAsia="Times New Roman" w:cs="Arial"/>
          <w:color w:val="000000"/>
          <w:lang w:val="en-US"/>
        </w:rPr>
        <w:t xml:space="preserve">g. </w:t>
      </w:r>
      <w:r w:rsidRPr="00D455B6">
        <w:rPr>
          <w:rFonts w:eastAsia="Times New Roman" w:cs="Arial"/>
          <w:color w:val="000000"/>
          <w:lang w:eastAsia="bg-BG"/>
        </w:rPr>
        <w:t>Пациенти, които са претърпели операция на сърцето или имплантиране на протеза, трябва да бъдат на профилактично приложение, удължено до три - пет дни след операцията.</w:t>
      </w:r>
    </w:p>
    <w:p w14:paraId="5C715570" w14:textId="77777777" w:rsidR="00D455B6" w:rsidRDefault="00D455B6" w:rsidP="00D455B6">
      <w:pPr>
        <w:spacing w:line="240" w:lineRule="auto"/>
        <w:rPr>
          <w:rFonts w:eastAsia="Times New Roman" w:cs="Arial"/>
          <w:i/>
          <w:iCs/>
          <w:color w:val="000000"/>
          <w:lang w:eastAsia="bg-BG"/>
        </w:rPr>
      </w:pPr>
    </w:p>
    <w:p w14:paraId="3EFDDBEE" w14:textId="07A83E79" w:rsidR="00D455B6" w:rsidRPr="00D455B6" w:rsidRDefault="00D455B6" w:rsidP="00D455B6">
      <w:pPr>
        <w:spacing w:line="240" w:lineRule="auto"/>
        <w:rPr>
          <w:rFonts w:eastAsia="Times New Roman" w:cs="Arial"/>
          <w:lang w:eastAsia="bg-BG"/>
        </w:rPr>
      </w:pPr>
      <w:r w:rsidRPr="00D455B6">
        <w:rPr>
          <w:rFonts w:eastAsia="Times New Roman" w:cs="Arial"/>
          <w:i/>
          <w:iCs/>
          <w:color w:val="000000"/>
          <w:lang w:eastAsia="bg-BG"/>
        </w:rPr>
        <w:t>Пациенти в старческа възраст</w:t>
      </w:r>
    </w:p>
    <w:p w14:paraId="2BEB1121" w14:textId="77777777" w:rsidR="00D455B6" w:rsidRPr="00D455B6" w:rsidRDefault="00D455B6" w:rsidP="00D455B6">
      <w:pPr>
        <w:spacing w:line="240" w:lineRule="auto"/>
        <w:rPr>
          <w:rFonts w:eastAsia="Times New Roman" w:cs="Arial"/>
          <w:lang w:eastAsia="bg-BG"/>
        </w:rPr>
      </w:pPr>
      <w:r w:rsidRPr="00D455B6">
        <w:rPr>
          <w:rFonts w:eastAsia="Times New Roman" w:cs="Arial"/>
          <w:color w:val="000000"/>
          <w:lang w:eastAsia="bg-BG"/>
        </w:rPr>
        <w:t>Препоръчва се обичайната доза за възрастни.</w:t>
      </w:r>
    </w:p>
    <w:p w14:paraId="082632C7" w14:textId="77777777" w:rsidR="00D455B6" w:rsidRDefault="00D455B6" w:rsidP="00D455B6">
      <w:pPr>
        <w:spacing w:line="240" w:lineRule="auto"/>
        <w:rPr>
          <w:rFonts w:eastAsia="Times New Roman" w:cs="Arial"/>
          <w:i/>
          <w:iCs/>
          <w:color w:val="000000"/>
          <w:lang w:eastAsia="bg-BG"/>
        </w:rPr>
      </w:pPr>
    </w:p>
    <w:p w14:paraId="73FCE664" w14:textId="02E78D59" w:rsidR="00D455B6" w:rsidRPr="00D455B6" w:rsidRDefault="00D455B6" w:rsidP="00D455B6">
      <w:pPr>
        <w:spacing w:line="240" w:lineRule="auto"/>
        <w:rPr>
          <w:rFonts w:eastAsia="Times New Roman" w:cs="Arial"/>
          <w:lang w:eastAsia="bg-BG"/>
        </w:rPr>
      </w:pPr>
      <w:r w:rsidRPr="00D455B6">
        <w:rPr>
          <w:rFonts w:eastAsia="Times New Roman" w:cs="Arial"/>
          <w:i/>
          <w:iCs/>
          <w:color w:val="000000"/>
          <w:lang w:eastAsia="bg-BG"/>
        </w:rPr>
        <w:t>Чернодробно увреждане</w:t>
      </w:r>
    </w:p>
    <w:p w14:paraId="481F8E80" w14:textId="77777777" w:rsidR="00D455B6" w:rsidRPr="00D455B6" w:rsidRDefault="00D455B6" w:rsidP="00D455B6">
      <w:pPr>
        <w:spacing w:line="240" w:lineRule="auto"/>
        <w:rPr>
          <w:rFonts w:eastAsia="Times New Roman" w:cs="Arial"/>
          <w:lang w:eastAsia="bg-BG"/>
        </w:rPr>
      </w:pPr>
      <w:r w:rsidRPr="00D455B6">
        <w:rPr>
          <w:rFonts w:eastAsia="Times New Roman" w:cs="Arial"/>
          <w:color w:val="000000"/>
          <w:lang w:eastAsia="bg-BG"/>
        </w:rPr>
        <w:t>Не се изисква промяна на дозата.</w:t>
      </w:r>
    </w:p>
    <w:p w14:paraId="2FC666CB" w14:textId="77777777" w:rsidR="00D455B6" w:rsidRDefault="00D455B6" w:rsidP="00D455B6">
      <w:pPr>
        <w:spacing w:line="240" w:lineRule="auto"/>
        <w:rPr>
          <w:rFonts w:eastAsia="Times New Roman" w:cs="Arial"/>
          <w:i/>
          <w:iCs/>
          <w:color w:val="000000"/>
          <w:lang w:eastAsia="bg-BG"/>
        </w:rPr>
      </w:pPr>
    </w:p>
    <w:p w14:paraId="7DAAAE38" w14:textId="3C76AC8D" w:rsidR="00D455B6" w:rsidRPr="00D455B6" w:rsidRDefault="00D455B6" w:rsidP="00D455B6">
      <w:pPr>
        <w:spacing w:line="240" w:lineRule="auto"/>
        <w:rPr>
          <w:rFonts w:eastAsia="Times New Roman" w:cs="Arial"/>
          <w:lang w:eastAsia="bg-BG"/>
        </w:rPr>
      </w:pPr>
      <w:r w:rsidRPr="00D455B6">
        <w:rPr>
          <w:rFonts w:eastAsia="Times New Roman" w:cs="Arial"/>
          <w:i/>
          <w:iCs/>
          <w:color w:val="000000"/>
          <w:lang w:eastAsia="bg-BG"/>
        </w:rPr>
        <w:t>Бъбречно увреждане</w:t>
      </w:r>
    </w:p>
    <w:p w14:paraId="17EAA5DD" w14:textId="77777777" w:rsidR="00D455B6" w:rsidRPr="00D455B6" w:rsidRDefault="00D455B6" w:rsidP="00D455B6">
      <w:pPr>
        <w:spacing w:line="240" w:lineRule="auto"/>
        <w:rPr>
          <w:rFonts w:eastAsia="Times New Roman" w:cs="Arial"/>
          <w:lang w:eastAsia="bg-BG"/>
        </w:rPr>
      </w:pPr>
      <w:r w:rsidRPr="00D455B6">
        <w:rPr>
          <w:rFonts w:eastAsia="Times New Roman" w:cs="Arial"/>
          <w:color w:val="000000"/>
          <w:lang w:eastAsia="bg-BG"/>
        </w:rPr>
        <w:t xml:space="preserve">Цефазолин не се екскретира веднага при пациенти с увредена бъбречна функция. При креатининов клирънс над 55 </w:t>
      </w:r>
      <w:r w:rsidRPr="00D455B6">
        <w:rPr>
          <w:rFonts w:eastAsia="Times New Roman" w:cs="Arial"/>
          <w:color w:val="000000"/>
          <w:lang w:val="en-US"/>
        </w:rPr>
        <w:t xml:space="preserve">ml/min </w:t>
      </w:r>
      <w:r w:rsidRPr="00D455B6">
        <w:rPr>
          <w:rFonts w:eastAsia="Times New Roman" w:cs="Arial"/>
          <w:color w:val="000000"/>
          <w:lang w:eastAsia="bg-BG"/>
        </w:rPr>
        <w:t>не се изисква намаление на дозата. Трябва да бъде приложена начална натоварваща доза в зависимост от тежестта на инфекцията, а след това за поддържащите дози е необходимо да се следват препоръките в таблицата:</w:t>
      </w:r>
    </w:p>
    <w:p w14:paraId="7C0534F9" w14:textId="77777777" w:rsidR="00D455B6" w:rsidRDefault="00D455B6" w:rsidP="00D455B6">
      <w:pPr>
        <w:spacing w:line="240" w:lineRule="auto"/>
        <w:rPr>
          <w:rFonts w:eastAsia="Times New Roman" w:cs="Arial"/>
          <w:i/>
          <w:iCs/>
          <w:color w:val="000000"/>
          <w:u w:val="single"/>
          <w:lang w:eastAsia="bg-BG"/>
        </w:rPr>
      </w:pPr>
    </w:p>
    <w:p w14:paraId="1FE9CB28" w14:textId="69625289" w:rsidR="00D455B6" w:rsidRPr="00D455B6" w:rsidRDefault="00D455B6" w:rsidP="00D455B6">
      <w:pPr>
        <w:spacing w:line="240" w:lineRule="auto"/>
        <w:rPr>
          <w:rFonts w:eastAsia="Times New Roman" w:cs="Arial"/>
          <w:lang w:eastAsia="bg-BG"/>
        </w:rPr>
      </w:pPr>
      <w:r w:rsidRPr="00D455B6">
        <w:rPr>
          <w:rFonts w:eastAsia="Times New Roman" w:cs="Arial"/>
          <w:i/>
          <w:iCs/>
          <w:color w:val="000000"/>
          <w:u w:val="single"/>
          <w:lang w:eastAsia="bg-BG"/>
        </w:rPr>
        <w:t>Дозировка на цефазолин при пациенти с увредена бъбречна функция</w:t>
      </w:r>
    </w:p>
    <w:tbl>
      <w:tblPr>
        <w:tblStyle w:val="TableGrid"/>
        <w:tblW w:w="0" w:type="auto"/>
        <w:tblLook w:val="04A0" w:firstRow="1" w:lastRow="0" w:firstColumn="1" w:lastColumn="0" w:noHBand="0" w:noVBand="1"/>
      </w:tblPr>
      <w:tblGrid>
        <w:gridCol w:w="3116"/>
        <w:gridCol w:w="3120"/>
        <w:gridCol w:w="3114"/>
      </w:tblGrid>
      <w:tr w:rsidR="00D455B6" w14:paraId="4F5F6F7D" w14:textId="77777777" w:rsidTr="00D455B6">
        <w:tc>
          <w:tcPr>
            <w:tcW w:w="3166" w:type="dxa"/>
          </w:tcPr>
          <w:p w14:paraId="58BDB439" w14:textId="21BA27AF" w:rsidR="00D455B6" w:rsidRPr="00D455B6" w:rsidRDefault="00D455B6" w:rsidP="00D455B6">
            <w:r w:rsidRPr="00D455B6">
              <w:t xml:space="preserve">Креатининов клирънс </w:t>
            </w:r>
            <w:r w:rsidRPr="00D455B6">
              <w:rPr>
                <w:lang w:val="en-US"/>
              </w:rPr>
              <w:t>(ml/min)</w:t>
            </w:r>
          </w:p>
        </w:tc>
        <w:tc>
          <w:tcPr>
            <w:tcW w:w="3167" w:type="dxa"/>
          </w:tcPr>
          <w:p w14:paraId="7D9139D7" w14:textId="77777777" w:rsidR="00D455B6" w:rsidRPr="00D455B6" w:rsidRDefault="00D455B6" w:rsidP="00D455B6">
            <w:r w:rsidRPr="00D455B6">
              <w:t>Концентрация</w:t>
            </w:r>
            <w:r w:rsidRPr="00D455B6">
              <w:tab/>
              <w:t>на</w:t>
            </w:r>
          </w:p>
          <w:p w14:paraId="00B7D49E" w14:textId="4764E212" w:rsidR="00D455B6" w:rsidRPr="00D455B6" w:rsidRDefault="00D455B6" w:rsidP="00D455B6">
            <w:r w:rsidRPr="00D455B6">
              <w:t xml:space="preserve">кретинин в кръвта </w:t>
            </w:r>
            <w:r w:rsidRPr="00D455B6">
              <w:rPr>
                <w:lang w:val="en-US"/>
              </w:rPr>
              <w:t xml:space="preserve">(mg </w:t>
            </w:r>
            <w:r w:rsidRPr="00D455B6">
              <w:t>%)</w:t>
            </w:r>
          </w:p>
        </w:tc>
        <w:tc>
          <w:tcPr>
            <w:tcW w:w="3167" w:type="dxa"/>
          </w:tcPr>
          <w:p w14:paraId="276456B7" w14:textId="044194D9" w:rsidR="00D455B6" w:rsidRPr="00D455B6" w:rsidRDefault="00D455B6" w:rsidP="00D455B6">
            <w:r w:rsidRPr="00D455B6">
              <w:t>Намаление на дозата и промяна на режима на дозиране</w:t>
            </w:r>
          </w:p>
        </w:tc>
      </w:tr>
      <w:tr w:rsidR="00D455B6" w14:paraId="0F41553F" w14:textId="77777777" w:rsidTr="00D455B6">
        <w:tc>
          <w:tcPr>
            <w:tcW w:w="3166" w:type="dxa"/>
          </w:tcPr>
          <w:p w14:paraId="1B44FEEB" w14:textId="5E746200" w:rsidR="00D455B6" w:rsidRPr="00D455B6" w:rsidRDefault="00D455B6" w:rsidP="00D455B6">
            <w:r w:rsidRPr="00D455B6">
              <w:t>≥</w:t>
            </w:r>
            <w:r w:rsidRPr="00D455B6">
              <w:t>55</w:t>
            </w:r>
          </w:p>
        </w:tc>
        <w:tc>
          <w:tcPr>
            <w:tcW w:w="3167" w:type="dxa"/>
          </w:tcPr>
          <w:p w14:paraId="40F439C3" w14:textId="6038019E" w:rsidR="00D455B6" w:rsidRPr="00D455B6" w:rsidRDefault="00D455B6" w:rsidP="00D455B6">
            <w:r w:rsidRPr="00D455B6">
              <w:t>&lt;1,5</w:t>
            </w:r>
          </w:p>
        </w:tc>
        <w:tc>
          <w:tcPr>
            <w:tcW w:w="3167" w:type="dxa"/>
          </w:tcPr>
          <w:p w14:paraId="7458D71C" w14:textId="5FA2F40C" w:rsidR="00D455B6" w:rsidRPr="00D455B6" w:rsidRDefault="00D455B6" w:rsidP="00D455B6">
            <w:r w:rsidRPr="00D455B6">
              <w:t>Не е необходимо</w:t>
            </w:r>
          </w:p>
        </w:tc>
      </w:tr>
      <w:tr w:rsidR="00D455B6" w14:paraId="6EBE6FD1" w14:textId="77777777" w:rsidTr="00D455B6">
        <w:tc>
          <w:tcPr>
            <w:tcW w:w="3166" w:type="dxa"/>
          </w:tcPr>
          <w:p w14:paraId="586FFFF7" w14:textId="09794E8C" w:rsidR="00D455B6" w:rsidRPr="00D455B6" w:rsidRDefault="00D455B6" w:rsidP="00D455B6">
            <w:r w:rsidRPr="00D455B6">
              <w:t>35-54</w:t>
            </w:r>
          </w:p>
        </w:tc>
        <w:tc>
          <w:tcPr>
            <w:tcW w:w="3167" w:type="dxa"/>
          </w:tcPr>
          <w:p w14:paraId="5BBB9BC4" w14:textId="0DC710B4" w:rsidR="00D455B6" w:rsidRPr="00D455B6" w:rsidRDefault="00D455B6" w:rsidP="00D455B6">
            <w:r w:rsidRPr="00D455B6">
              <w:t>1,6-3,0</w:t>
            </w:r>
          </w:p>
        </w:tc>
        <w:tc>
          <w:tcPr>
            <w:tcW w:w="3167" w:type="dxa"/>
          </w:tcPr>
          <w:p w14:paraId="4753A3C4" w14:textId="28D87394" w:rsidR="00D455B6" w:rsidRPr="00D455B6" w:rsidRDefault="00D455B6" w:rsidP="00D455B6">
            <w:r w:rsidRPr="00D455B6">
              <w:t>Без намаление на дозата; интервал между дозите - на всеки 8 часа</w:t>
            </w:r>
          </w:p>
        </w:tc>
      </w:tr>
      <w:tr w:rsidR="00D455B6" w14:paraId="12261877" w14:textId="77777777" w:rsidTr="00D455B6">
        <w:tc>
          <w:tcPr>
            <w:tcW w:w="3166" w:type="dxa"/>
          </w:tcPr>
          <w:p w14:paraId="1AD4880F" w14:textId="12D6B25C" w:rsidR="00D455B6" w:rsidRPr="00D455B6" w:rsidRDefault="00D455B6" w:rsidP="00D455B6">
            <w:r w:rsidRPr="00D455B6">
              <w:t>11-34</w:t>
            </w:r>
          </w:p>
        </w:tc>
        <w:tc>
          <w:tcPr>
            <w:tcW w:w="3167" w:type="dxa"/>
          </w:tcPr>
          <w:p w14:paraId="667466E9" w14:textId="518532BC" w:rsidR="00D455B6" w:rsidRPr="00D455B6" w:rsidRDefault="00D455B6" w:rsidP="00D455B6">
            <w:r w:rsidRPr="00D455B6">
              <w:t>3,1-4,5</w:t>
            </w:r>
          </w:p>
        </w:tc>
        <w:tc>
          <w:tcPr>
            <w:tcW w:w="3167" w:type="dxa"/>
          </w:tcPr>
          <w:p w14:paraId="1A9CF314" w14:textId="7DF842CA" w:rsidR="00D455B6" w:rsidRPr="00D455B6" w:rsidRDefault="00D455B6" w:rsidP="00D455B6">
            <w:r w:rsidRPr="00D455B6">
              <w:t>50% от дозата на всеки 12 часа</w:t>
            </w:r>
          </w:p>
        </w:tc>
      </w:tr>
      <w:tr w:rsidR="00D455B6" w14:paraId="3D29921B" w14:textId="77777777" w:rsidTr="00D455B6">
        <w:tc>
          <w:tcPr>
            <w:tcW w:w="3166" w:type="dxa"/>
          </w:tcPr>
          <w:p w14:paraId="5A854AAC" w14:textId="3827402F" w:rsidR="00D455B6" w:rsidRPr="00D455B6" w:rsidRDefault="00D455B6" w:rsidP="00D455B6">
            <w:r w:rsidRPr="00D455B6">
              <w:t>≤10</w:t>
            </w:r>
          </w:p>
        </w:tc>
        <w:tc>
          <w:tcPr>
            <w:tcW w:w="3167" w:type="dxa"/>
          </w:tcPr>
          <w:p w14:paraId="468E803A" w14:textId="54D62E34" w:rsidR="00D455B6" w:rsidRPr="00D455B6" w:rsidRDefault="00D455B6" w:rsidP="00D455B6">
            <w:r w:rsidRPr="00D455B6">
              <w:t>≥4,6</w:t>
            </w:r>
          </w:p>
        </w:tc>
        <w:tc>
          <w:tcPr>
            <w:tcW w:w="3167" w:type="dxa"/>
          </w:tcPr>
          <w:p w14:paraId="63D9FF72" w14:textId="37B766A5" w:rsidR="00D455B6" w:rsidRPr="00D455B6" w:rsidRDefault="00D455B6" w:rsidP="00D455B6">
            <w:r w:rsidRPr="00D455B6">
              <w:t>50% от дозата на всеки 18-24 часа</w:t>
            </w:r>
          </w:p>
        </w:tc>
      </w:tr>
    </w:tbl>
    <w:p w14:paraId="12D3E8F6" w14:textId="77777777" w:rsidR="00D455B6" w:rsidRDefault="00D455B6" w:rsidP="00D455B6"/>
    <w:p w14:paraId="58D554FC" w14:textId="77777777" w:rsidR="00D455B6" w:rsidRPr="00D455B6" w:rsidRDefault="00D455B6" w:rsidP="00D455B6">
      <w:pPr>
        <w:spacing w:line="240" w:lineRule="auto"/>
        <w:rPr>
          <w:rFonts w:eastAsia="Times New Roman" w:cs="Arial"/>
          <w:lang w:eastAsia="bg-BG"/>
        </w:rPr>
      </w:pPr>
      <w:r w:rsidRPr="00D455B6">
        <w:rPr>
          <w:rFonts w:eastAsia="Times New Roman" w:cs="Arial"/>
          <w:color w:val="000000"/>
          <w:lang w:eastAsia="bg-BG"/>
        </w:rPr>
        <w:t xml:space="preserve">Когато креатининовият клирънс е между 35-54 </w:t>
      </w:r>
      <w:r w:rsidRPr="00D455B6">
        <w:rPr>
          <w:rFonts w:eastAsia="Times New Roman" w:cs="Arial"/>
          <w:color w:val="000000"/>
          <w:lang w:val="en-US"/>
        </w:rPr>
        <w:t xml:space="preserve">ml/min, </w:t>
      </w:r>
      <w:r w:rsidRPr="00D455B6">
        <w:rPr>
          <w:rFonts w:eastAsia="Times New Roman" w:cs="Arial"/>
          <w:color w:val="000000"/>
          <w:lang w:eastAsia="bg-BG"/>
        </w:rPr>
        <w:t xml:space="preserve">интервалите между дозите трябва да се увеличат на осем часа. В случаите, когато креатининовият клирънс е между 11 и 34 </w:t>
      </w:r>
      <w:r w:rsidRPr="00D455B6">
        <w:rPr>
          <w:rFonts w:eastAsia="Times New Roman" w:cs="Arial"/>
          <w:color w:val="000000"/>
          <w:lang w:val="en-US"/>
        </w:rPr>
        <w:t xml:space="preserve">ml/min, </w:t>
      </w:r>
      <w:r w:rsidRPr="00D455B6">
        <w:rPr>
          <w:rFonts w:eastAsia="Times New Roman" w:cs="Arial"/>
          <w:color w:val="000000"/>
          <w:lang w:eastAsia="bg-BG"/>
        </w:rPr>
        <w:t xml:space="preserve">на всеки дванадесет часа трябва да се прилага половината от обичайната доза. Когато креатининовият клирънс е под 10 </w:t>
      </w:r>
      <w:r w:rsidRPr="00D455B6">
        <w:rPr>
          <w:rFonts w:eastAsia="Times New Roman" w:cs="Arial"/>
          <w:color w:val="000000"/>
          <w:lang w:val="en-US"/>
        </w:rPr>
        <w:t xml:space="preserve">ml/min, </w:t>
      </w:r>
      <w:r w:rsidRPr="00D455B6">
        <w:rPr>
          <w:rFonts w:eastAsia="Times New Roman" w:cs="Arial"/>
          <w:color w:val="000000"/>
          <w:lang w:eastAsia="bg-BG"/>
        </w:rPr>
        <w:t>на всеки 18 до 24 часа се прилага половината от обичайната доза.</w:t>
      </w:r>
    </w:p>
    <w:p w14:paraId="60D3BFB3" w14:textId="77777777" w:rsidR="00D455B6" w:rsidRDefault="00D455B6" w:rsidP="00D455B6">
      <w:pPr>
        <w:spacing w:line="240" w:lineRule="auto"/>
        <w:rPr>
          <w:rFonts w:eastAsia="Times New Roman" w:cs="Arial"/>
          <w:i/>
          <w:iCs/>
          <w:color w:val="000000"/>
          <w:lang w:eastAsia="bg-BG"/>
        </w:rPr>
      </w:pPr>
    </w:p>
    <w:p w14:paraId="0B2A34B9" w14:textId="47F36E1A" w:rsidR="00D455B6" w:rsidRPr="00D455B6" w:rsidRDefault="00D455B6" w:rsidP="00D455B6">
      <w:pPr>
        <w:spacing w:line="240" w:lineRule="auto"/>
        <w:rPr>
          <w:rFonts w:eastAsia="Times New Roman" w:cs="Arial"/>
          <w:lang w:eastAsia="bg-BG"/>
        </w:rPr>
      </w:pPr>
      <w:r w:rsidRPr="00D455B6">
        <w:rPr>
          <w:rFonts w:eastAsia="Times New Roman" w:cs="Arial"/>
          <w:i/>
          <w:iCs/>
          <w:color w:val="000000"/>
          <w:lang w:eastAsia="bg-BG"/>
        </w:rPr>
        <w:t>Педиатрична популация</w:t>
      </w:r>
    </w:p>
    <w:p w14:paraId="6D354345" w14:textId="77777777" w:rsidR="00D455B6" w:rsidRPr="00D455B6" w:rsidRDefault="00D455B6" w:rsidP="00D455B6">
      <w:pPr>
        <w:spacing w:line="240" w:lineRule="auto"/>
        <w:rPr>
          <w:rFonts w:eastAsia="Times New Roman" w:cs="Arial"/>
          <w:lang w:eastAsia="bg-BG"/>
        </w:rPr>
      </w:pPr>
      <w:r w:rsidRPr="00D455B6">
        <w:rPr>
          <w:rFonts w:eastAsia="Times New Roman" w:cs="Arial"/>
          <w:color w:val="000000"/>
          <w:lang w:eastAsia="bg-BG"/>
        </w:rPr>
        <w:t xml:space="preserve">При леки до умерени инфекции се препоръчва обща дневна доза от 25 </w:t>
      </w:r>
      <w:r w:rsidRPr="00D455B6">
        <w:rPr>
          <w:rFonts w:eastAsia="Times New Roman" w:cs="Arial"/>
          <w:color w:val="000000"/>
          <w:lang w:val="en-US"/>
        </w:rPr>
        <w:t xml:space="preserve">mg/kg </w:t>
      </w:r>
      <w:r w:rsidRPr="00D455B6">
        <w:rPr>
          <w:rFonts w:eastAsia="Times New Roman" w:cs="Arial"/>
          <w:color w:val="000000"/>
          <w:lang w:eastAsia="bg-BG"/>
        </w:rPr>
        <w:t xml:space="preserve">т. т. до 50 </w:t>
      </w:r>
      <w:r w:rsidRPr="00D455B6">
        <w:rPr>
          <w:rFonts w:eastAsia="Times New Roman" w:cs="Arial"/>
          <w:color w:val="000000"/>
          <w:lang w:val="en-US"/>
        </w:rPr>
        <w:t xml:space="preserve">mg/kg </w:t>
      </w:r>
      <w:r w:rsidRPr="00D455B6">
        <w:rPr>
          <w:rFonts w:eastAsia="Times New Roman" w:cs="Arial"/>
          <w:color w:val="000000"/>
          <w:lang w:eastAsia="bg-BG"/>
        </w:rPr>
        <w:t xml:space="preserve">т. т., приложени като три или четири равно разделени дози. При тежки инфекции може да се прилага обща дневна доза до 100 </w:t>
      </w:r>
      <w:r w:rsidRPr="00D455B6">
        <w:rPr>
          <w:rFonts w:eastAsia="Times New Roman" w:cs="Arial"/>
          <w:color w:val="000000"/>
          <w:lang w:val="en-US"/>
        </w:rPr>
        <w:t xml:space="preserve">mg/kg </w:t>
      </w:r>
      <w:r w:rsidRPr="00D455B6">
        <w:rPr>
          <w:rFonts w:eastAsia="Times New Roman" w:cs="Arial"/>
          <w:color w:val="000000"/>
          <w:lang w:eastAsia="bg-BG"/>
        </w:rPr>
        <w:t>т. т., приложени като три или четири равно разделени дози.</w:t>
      </w:r>
    </w:p>
    <w:p w14:paraId="379746FE" w14:textId="77777777" w:rsidR="00D455B6" w:rsidRDefault="00D455B6" w:rsidP="00D455B6">
      <w:pPr>
        <w:rPr>
          <w:rFonts w:eastAsia="Times New Roman" w:cs="Arial"/>
          <w:i/>
          <w:iCs/>
          <w:color w:val="000000"/>
          <w:u w:val="single"/>
          <w:lang w:eastAsia="bg-BG"/>
        </w:rPr>
      </w:pPr>
    </w:p>
    <w:p w14:paraId="0D32D4FA" w14:textId="366E1137" w:rsidR="00D455B6" w:rsidRDefault="00D455B6" w:rsidP="00D455B6">
      <w:pPr>
        <w:rPr>
          <w:rFonts w:eastAsia="Times New Roman" w:cs="Arial"/>
          <w:i/>
          <w:iCs/>
          <w:color w:val="000000"/>
          <w:u w:val="single"/>
          <w:lang w:eastAsia="bg-BG"/>
        </w:rPr>
      </w:pPr>
      <w:r w:rsidRPr="00D455B6">
        <w:rPr>
          <w:rFonts w:eastAsia="Times New Roman" w:cs="Arial"/>
          <w:i/>
          <w:iCs/>
          <w:color w:val="000000"/>
          <w:u w:val="single"/>
          <w:lang w:eastAsia="bg-BG"/>
        </w:rPr>
        <w:t>Указания за дозиране на цефазолин при деца</w:t>
      </w:r>
    </w:p>
    <w:tbl>
      <w:tblPr>
        <w:tblStyle w:val="TableGrid"/>
        <w:tblW w:w="0" w:type="auto"/>
        <w:tblLook w:val="04A0" w:firstRow="1" w:lastRow="0" w:firstColumn="1" w:lastColumn="0" w:noHBand="0" w:noVBand="1"/>
      </w:tblPr>
      <w:tblGrid>
        <w:gridCol w:w="1824"/>
        <w:gridCol w:w="1894"/>
        <w:gridCol w:w="1869"/>
        <w:gridCol w:w="1894"/>
        <w:gridCol w:w="1869"/>
      </w:tblGrid>
      <w:tr w:rsidR="00D455B6" w14:paraId="14D882C7" w14:textId="77777777" w:rsidTr="00505CD8">
        <w:tc>
          <w:tcPr>
            <w:tcW w:w="1900" w:type="dxa"/>
          </w:tcPr>
          <w:p w14:paraId="36D5320E" w14:textId="0D782D42" w:rsidR="00D455B6" w:rsidRDefault="00D455B6" w:rsidP="00D455B6">
            <w:pPr>
              <w:rPr>
                <w:rFonts w:eastAsia="Times New Roman" w:cs="Arial"/>
                <w:i/>
                <w:iCs/>
                <w:color w:val="000000"/>
                <w:u w:val="single"/>
                <w:lang w:eastAsia="bg-BG"/>
              </w:rPr>
            </w:pPr>
            <w:r>
              <w:t>Тегло</w:t>
            </w:r>
          </w:p>
        </w:tc>
        <w:tc>
          <w:tcPr>
            <w:tcW w:w="3800" w:type="dxa"/>
            <w:gridSpan w:val="2"/>
            <w:vAlign w:val="bottom"/>
          </w:tcPr>
          <w:p w14:paraId="64F02EC6" w14:textId="566CEDC1" w:rsidR="00D455B6" w:rsidRDefault="00D455B6" w:rsidP="00D455B6">
            <w:pPr>
              <w:rPr>
                <w:rFonts w:eastAsia="Times New Roman" w:cs="Arial"/>
                <w:i/>
                <w:iCs/>
                <w:color w:val="000000"/>
                <w:u w:val="single"/>
                <w:lang w:eastAsia="bg-BG"/>
              </w:rPr>
            </w:pPr>
            <w:r>
              <w:t xml:space="preserve">25 </w:t>
            </w:r>
            <w:r>
              <w:rPr>
                <w:lang w:val="en-US"/>
              </w:rPr>
              <w:t>mg/kg</w:t>
            </w:r>
            <w:r>
              <w:t>/дневно, разделена на 3 дози</w:t>
            </w:r>
          </w:p>
        </w:tc>
        <w:tc>
          <w:tcPr>
            <w:tcW w:w="3800" w:type="dxa"/>
            <w:gridSpan w:val="2"/>
          </w:tcPr>
          <w:p w14:paraId="3006EDAB" w14:textId="2BE9E878" w:rsidR="00D455B6" w:rsidRDefault="00D455B6" w:rsidP="00D455B6">
            <w:pPr>
              <w:rPr>
                <w:rFonts w:eastAsia="Times New Roman" w:cs="Arial"/>
                <w:i/>
                <w:iCs/>
                <w:color w:val="000000"/>
                <w:u w:val="single"/>
                <w:lang w:eastAsia="bg-BG"/>
              </w:rPr>
            </w:pPr>
            <w:r>
              <w:t xml:space="preserve">25 </w:t>
            </w:r>
            <w:r>
              <w:rPr>
                <w:lang w:val="en-US"/>
              </w:rPr>
              <w:t>mg/kg</w:t>
            </w:r>
            <w:r>
              <w:t>/дневно, разделена на 4 дози</w:t>
            </w:r>
          </w:p>
        </w:tc>
      </w:tr>
      <w:tr w:rsidR="00D455B6" w14:paraId="3664ED1F" w14:textId="77777777" w:rsidTr="00E60175">
        <w:tc>
          <w:tcPr>
            <w:tcW w:w="1900" w:type="dxa"/>
          </w:tcPr>
          <w:p w14:paraId="511DD4F9" w14:textId="04DFA5D8" w:rsidR="00D455B6" w:rsidRPr="00D455B6" w:rsidRDefault="00D455B6" w:rsidP="00D455B6">
            <w:pPr>
              <w:rPr>
                <w:rFonts w:eastAsia="Times New Roman" w:cs="Arial"/>
                <w:i/>
                <w:iCs/>
                <w:color w:val="000000"/>
                <w:u w:val="single"/>
                <w:lang w:eastAsia="bg-BG"/>
              </w:rPr>
            </w:pPr>
            <w:r w:rsidRPr="00D455B6">
              <w:rPr>
                <w:lang w:val="en-US"/>
              </w:rPr>
              <w:t>kg</w:t>
            </w:r>
          </w:p>
        </w:tc>
        <w:tc>
          <w:tcPr>
            <w:tcW w:w="1900" w:type="dxa"/>
          </w:tcPr>
          <w:p w14:paraId="008035A5" w14:textId="12EA051F" w:rsidR="00D455B6" w:rsidRPr="00D455B6" w:rsidRDefault="00D455B6" w:rsidP="00D455B6">
            <w:pPr>
              <w:rPr>
                <w:rFonts w:eastAsia="Times New Roman" w:cs="Arial"/>
                <w:i/>
                <w:iCs/>
                <w:color w:val="000000"/>
                <w:u w:val="single"/>
                <w:lang w:eastAsia="bg-BG"/>
              </w:rPr>
            </w:pPr>
            <w:r w:rsidRPr="00D455B6">
              <w:t xml:space="preserve">Приблизителна еднократна доза в </w:t>
            </w:r>
            <w:r w:rsidRPr="00D455B6">
              <w:rPr>
                <w:lang w:val="en-US"/>
              </w:rPr>
              <w:t xml:space="preserve">mg </w:t>
            </w:r>
            <w:r w:rsidRPr="00D455B6">
              <w:t>/на 8 часа/</w:t>
            </w:r>
          </w:p>
        </w:tc>
        <w:tc>
          <w:tcPr>
            <w:tcW w:w="1900" w:type="dxa"/>
            <w:vAlign w:val="bottom"/>
          </w:tcPr>
          <w:p w14:paraId="51969E9B" w14:textId="36D33755" w:rsidR="00D455B6" w:rsidRPr="00D455B6" w:rsidRDefault="00D455B6" w:rsidP="00D455B6">
            <w:pPr>
              <w:rPr>
                <w:rFonts w:eastAsia="Times New Roman" w:cs="Arial"/>
                <w:i/>
                <w:iCs/>
                <w:color w:val="000000"/>
                <w:u w:val="single"/>
                <w:lang w:eastAsia="bg-BG"/>
              </w:rPr>
            </w:pPr>
            <w:r w:rsidRPr="00D455B6">
              <w:t xml:space="preserve">Необходим обем за разреждане </w:t>
            </w:r>
            <w:r w:rsidRPr="00D455B6">
              <w:rPr>
                <w:lang w:val="en-US"/>
              </w:rPr>
              <w:t xml:space="preserve">/ml/ </w:t>
            </w:r>
            <w:r w:rsidRPr="00D455B6">
              <w:t xml:space="preserve">до 125. </w:t>
            </w:r>
            <w:r w:rsidRPr="00D455B6">
              <w:rPr>
                <w:lang w:val="en-US"/>
              </w:rPr>
              <w:t>mg/ml</w:t>
            </w:r>
          </w:p>
        </w:tc>
        <w:tc>
          <w:tcPr>
            <w:tcW w:w="1900" w:type="dxa"/>
          </w:tcPr>
          <w:p w14:paraId="1A4F8BD6" w14:textId="5FFE93DF" w:rsidR="00D455B6" w:rsidRPr="00D455B6" w:rsidRDefault="00D455B6" w:rsidP="00D455B6">
            <w:pPr>
              <w:rPr>
                <w:rFonts w:eastAsia="Times New Roman" w:cs="Arial"/>
                <w:i/>
                <w:iCs/>
                <w:color w:val="000000"/>
                <w:u w:val="single"/>
                <w:lang w:eastAsia="bg-BG"/>
              </w:rPr>
            </w:pPr>
            <w:r w:rsidRPr="00D455B6">
              <w:t xml:space="preserve">Приблизителна еднократна доза в </w:t>
            </w:r>
            <w:r w:rsidRPr="00D455B6">
              <w:rPr>
                <w:lang w:val="en-US"/>
              </w:rPr>
              <w:t xml:space="preserve">mg </w:t>
            </w:r>
            <w:r w:rsidRPr="00D455B6">
              <w:t>/на 6 часа/</w:t>
            </w:r>
          </w:p>
        </w:tc>
        <w:tc>
          <w:tcPr>
            <w:tcW w:w="1900" w:type="dxa"/>
          </w:tcPr>
          <w:p w14:paraId="447BB5D1" w14:textId="77777777" w:rsidR="00D455B6" w:rsidRPr="00D455B6" w:rsidRDefault="00D455B6" w:rsidP="00D455B6">
            <w:r w:rsidRPr="00D455B6">
              <w:t xml:space="preserve">Необходим обем за разреждане </w:t>
            </w:r>
            <w:r w:rsidRPr="00D455B6">
              <w:rPr>
                <w:lang w:val="en-US"/>
              </w:rPr>
              <w:t>/ml/</w:t>
            </w:r>
            <w:r w:rsidRPr="00D455B6">
              <w:t xml:space="preserve">до 125 </w:t>
            </w:r>
          </w:p>
          <w:p w14:paraId="78B4426B" w14:textId="58FAEAAA" w:rsidR="00D455B6" w:rsidRPr="00D455B6" w:rsidRDefault="00D455B6" w:rsidP="00D455B6">
            <w:pPr>
              <w:rPr>
                <w:rFonts w:eastAsia="Times New Roman" w:cs="Arial"/>
                <w:i/>
                <w:iCs/>
                <w:color w:val="000000"/>
                <w:u w:val="single"/>
                <w:lang w:eastAsia="bg-BG"/>
              </w:rPr>
            </w:pPr>
            <w:r w:rsidRPr="00D455B6">
              <w:rPr>
                <w:lang w:val="en-US"/>
              </w:rPr>
              <w:t>mg/ml</w:t>
            </w:r>
          </w:p>
        </w:tc>
      </w:tr>
      <w:tr w:rsidR="00D455B6" w14:paraId="7D1B5DA8" w14:textId="77777777" w:rsidTr="00E60175">
        <w:tc>
          <w:tcPr>
            <w:tcW w:w="1900" w:type="dxa"/>
            <w:vAlign w:val="bottom"/>
          </w:tcPr>
          <w:p w14:paraId="58E9879E" w14:textId="2D09707F" w:rsidR="00D455B6" w:rsidRPr="00D455B6" w:rsidRDefault="00D455B6" w:rsidP="00D455B6">
            <w:pPr>
              <w:rPr>
                <w:rFonts w:eastAsia="Times New Roman" w:cs="Arial"/>
                <w:i/>
                <w:iCs/>
                <w:color w:val="000000"/>
                <w:u w:val="single"/>
                <w:lang w:eastAsia="bg-BG"/>
              </w:rPr>
            </w:pPr>
            <w:r w:rsidRPr="00D455B6">
              <w:t>4,5</w:t>
            </w:r>
          </w:p>
        </w:tc>
        <w:tc>
          <w:tcPr>
            <w:tcW w:w="1900" w:type="dxa"/>
            <w:vAlign w:val="bottom"/>
          </w:tcPr>
          <w:p w14:paraId="12048B92" w14:textId="5E2D91D3" w:rsidR="00D455B6" w:rsidRPr="00D455B6" w:rsidRDefault="00D455B6" w:rsidP="00D455B6">
            <w:pPr>
              <w:rPr>
                <w:rFonts w:eastAsia="Times New Roman" w:cs="Arial"/>
                <w:i/>
                <w:iCs/>
                <w:color w:val="000000"/>
                <w:u w:val="single"/>
                <w:lang w:eastAsia="bg-BG"/>
              </w:rPr>
            </w:pPr>
            <w:r w:rsidRPr="00D455B6">
              <w:t>40</w:t>
            </w:r>
          </w:p>
        </w:tc>
        <w:tc>
          <w:tcPr>
            <w:tcW w:w="1900" w:type="dxa"/>
            <w:vAlign w:val="bottom"/>
          </w:tcPr>
          <w:p w14:paraId="536B2B57" w14:textId="154035C1" w:rsidR="00D455B6" w:rsidRPr="00D455B6" w:rsidRDefault="00D455B6" w:rsidP="00D455B6">
            <w:pPr>
              <w:rPr>
                <w:rFonts w:eastAsia="Times New Roman" w:cs="Arial"/>
                <w:i/>
                <w:iCs/>
                <w:color w:val="000000"/>
                <w:u w:val="single"/>
                <w:lang w:eastAsia="bg-BG"/>
              </w:rPr>
            </w:pPr>
            <w:r w:rsidRPr="00D455B6">
              <w:t>0,35</w:t>
            </w:r>
          </w:p>
        </w:tc>
        <w:tc>
          <w:tcPr>
            <w:tcW w:w="1900" w:type="dxa"/>
            <w:vAlign w:val="bottom"/>
          </w:tcPr>
          <w:p w14:paraId="516A9780" w14:textId="5B5AE861" w:rsidR="00D455B6" w:rsidRPr="00D455B6" w:rsidRDefault="00D455B6" w:rsidP="00D455B6">
            <w:pPr>
              <w:rPr>
                <w:rFonts w:eastAsia="Times New Roman" w:cs="Arial"/>
                <w:i/>
                <w:iCs/>
                <w:color w:val="000000"/>
                <w:u w:val="single"/>
                <w:lang w:eastAsia="bg-BG"/>
              </w:rPr>
            </w:pPr>
            <w:r w:rsidRPr="00D455B6">
              <w:t>30</w:t>
            </w:r>
          </w:p>
        </w:tc>
        <w:tc>
          <w:tcPr>
            <w:tcW w:w="1900" w:type="dxa"/>
          </w:tcPr>
          <w:p w14:paraId="0142DCC0" w14:textId="4991C514" w:rsidR="00D455B6" w:rsidRPr="00D455B6" w:rsidRDefault="00D455B6" w:rsidP="00D455B6">
            <w:pPr>
              <w:rPr>
                <w:rFonts w:eastAsia="Times New Roman" w:cs="Arial"/>
                <w:i/>
                <w:iCs/>
                <w:color w:val="000000"/>
                <w:u w:val="single"/>
                <w:lang w:eastAsia="bg-BG"/>
              </w:rPr>
            </w:pPr>
            <w:r w:rsidRPr="00D455B6">
              <w:rPr>
                <w:lang w:val="en-US"/>
              </w:rPr>
              <w:t>0,25</w:t>
            </w:r>
          </w:p>
        </w:tc>
      </w:tr>
      <w:tr w:rsidR="00D455B6" w14:paraId="45A07549" w14:textId="77777777" w:rsidTr="00E60175">
        <w:tc>
          <w:tcPr>
            <w:tcW w:w="1900" w:type="dxa"/>
            <w:vAlign w:val="bottom"/>
          </w:tcPr>
          <w:p w14:paraId="1DE4E0CF" w14:textId="7842630F" w:rsidR="00D455B6" w:rsidRPr="00D455B6" w:rsidRDefault="00D455B6" w:rsidP="00D455B6">
            <w:pPr>
              <w:rPr>
                <w:rFonts w:eastAsia="Times New Roman" w:cs="Arial"/>
                <w:i/>
                <w:iCs/>
                <w:color w:val="000000"/>
                <w:u w:val="single"/>
                <w:lang w:eastAsia="bg-BG"/>
              </w:rPr>
            </w:pPr>
            <w:r w:rsidRPr="00D455B6">
              <w:t>9,0</w:t>
            </w:r>
          </w:p>
        </w:tc>
        <w:tc>
          <w:tcPr>
            <w:tcW w:w="1900" w:type="dxa"/>
            <w:vAlign w:val="bottom"/>
          </w:tcPr>
          <w:p w14:paraId="70911E11" w14:textId="25DF2BA4" w:rsidR="00D455B6" w:rsidRPr="00D455B6" w:rsidRDefault="00D455B6" w:rsidP="00D455B6">
            <w:pPr>
              <w:rPr>
                <w:rFonts w:eastAsia="Times New Roman" w:cs="Arial"/>
                <w:i/>
                <w:iCs/>
                <w:color w:val="000000"/>
                <w:u w:val="single"/>
                <w:lang w:eastAsia="bg-BG"/>
              </w:rPr>
            </w:pPr>
            <w:r w:rsidRPr="00D455B6">
              <w:t>75</w:t>
            </w:r>
          </w:p>
        </w:tc>
        <w:tc>
          <w:tcPr>
            <w:tcW w:w="1900" w:type="dxa"/>
            <w:vAlign w:val="bottom"/>
          </w:tcPr>
          <w:p w14:paraId="0A3B6D36" w14:textId="7D99E959" w:rsidR="00D455B6" w:rsidRPr="00D455B6" w:rsidRDefault="00D455B6" w:rsidP="00D455B6">
            <w:pPr>
              <w:rPr>
                <w:rFonts w:eastAsia="Times New Roman" w:cs="Arial"/>
                <w:i/>
                <w:iCs/>
                <w:color w:val="000000"/>
                <w:u w:val="single"/>
                <w:lang w:eastAsia="bg-BG"/>
              </w:rPr>
            </w:pPr>
            <w:r w:rsidRPr="00D455B6">
              <w:t>0,6</w:t>
            </w:r>
          </w:p>
        </w:tc>
        <w:tc>
          <w:tcPr>
            <w:tcW w:w="1900" w:type="dxa"/>
            <w:vAlign w:val="bottom"/>
          </w:tcPr>
          <w:p w14:paraId="24D96DFC" w14:textId="1499F312" w:rsidR="00D455B6" w:rsidRPr="00D455B6" w:rsidRDefault="00D455B6" w:rsidP="00D455B6">
            <w:pPr>
              <w:rPr>
                <w:rFonts w:eastAsia="Times New Roman" w:cs="Arial"/>
                <w:i/>
                <w:iCs/>
                <w:color w:val="000000"/>
                <w:u w:val="single"/>
                <w:lang w:eastAsia="bg-BG"/>
              </w:rPr>
            </w:pPr>
            <w:r w:rsidRPr="00D455B6">
              <w:t>55</w:t>
            </w:r>
          </w:p>
        </w:tc>
        <w:tc>
          <w:tcPr>
            <w:tcW w:w="1900" w:type="dxa"/>
          </w:tcPr>
          <w:p w14:paraId="445D2D52" w14:textId="710EB734" w:rsidR="00D455B6" w:rsidRPr="00D455B6" w:rsidRDefault="00D455B6" w:rsidP="00D455B6">
            <w:pPr>
              <w:rPr>
                <w:rFonts w:eastAsia="Times New Roman" w:cs="Arial"/>
                <w:i/>
                <w:iCs/>
                <w:color w:val="000000"/>
                <w:u w:val="single"/>
                <w:lang w:eastAsia="bg-BG"/>
              </w:rPr>
            </w:pPr>
            <w:r w:rsidRPr="00D455B6">
              <w:rPr>
                <w:lang w:val="en-US"/>
              </w:rPr>
              <w:t>0,45</w:t>
            </w:r>
          </w:p>
        </w:tc>
      </w:tr>
      <w:tr w:rsidR="00D455B6" w14:paraId="4B7574D5" w14:textId="77777777" w:rsidTr="00E60175">
        <w:tc>
          <w:tcPr>
            <w:tcW w:w="1900" w:type="dxa"/>
            <w:vAlign w:val="bottom"/>
          </w:tcPr>
          <w:p w14:paraId="37C04AD6" w14:textId="5C973289" w:rsidR="00D455B6" w:rsidRPr="00D455B6" w:rsidRDefault="00D455B6" w:rsidP="00D455B6">
            <w:pPr>
              <w:rPr>
                <w:rFonts w:eastAsia="Times New Roman" w:cs="Arial"/>
                <w:i/>
                <w:iCs/>
                <w:color w:val="000000"/>
                <w:u w:val="single"/>
                <w:lang w:eastAsia="bg-BG"/>
              </w:rPr>
            </w:pPr>
            <w:r w:rsidRPr="00D455B6">
              <w:t>13,5</w:t>
            </w:r>
          </w:p>
        </w:tc>
        <w:tc>
          <w:tcPr>
            <w:tcW w:w="1900" w:type="dxa"/>
            <w:vAlign w:val="bottom"/>
          </w:tcPr>
          <w:p w14:paraId="6703BAFF" w14:textId="2F7A9A4C" w:rsidR="00D455B6" w:rsidRPr="00D455B6" w:rsidRDefault="00D455B6" w:rsidP="00D455B6">
            <w:pPr>
              <w:rPr>
                <w:rFonts w:eastAsia="Times New Roman" w:cs="Arial"/>
                <w:i/>
                <w:iCs/>
                <w:color w:val="000000"/>
                <w:u w:val="single"/>
                <w:lang w:eastAsia="bg-BG"/>
              </w:rPr>
            </w:pPr>
            <w:r w:rsidRPr="00D455B6">
              <w:t>115</w:t>
            </w:r>
          </w:p>
        </w:tc>
        <w:tc>
          <w:tcPr>
            <w:tcW w:w="1900" w:type="dxa"/>
            <w:vAlign w:val="bottom"/>
          </w:tcPr>
          <w:p w14:paraId="1529BEE0" w14:textId="0D7E1800" w:rsidR="00D455B6" w:rsidRPr="00D455B6" w:rsidRDefault="00D455B6" w:rsidP="00D455B6">
            <w:pPr>
              <w:rPr>
                <w:rFonts w:eastAsia="Times New Roman" w:cs="Arial"/>
                <w:i/>
                <w:iCs/>
                <w:color w:val="000000"/>
                <w:u w:val="single"/>
                <w:lang w:eastAsia="bg-BG"/>
              </w:rPr>
            </w:pPr>
            <w:r w:rsidRPr="00D455B6">
              <w:t>0,9</w:t>
            </w:r>
          </w:p>
        </w:tc>
        <w:tc>
          <w:tcPr>
            <w:tcW w:w="1900" w:type="dxa"/>
            <w:vAlign w:val="bottom"/>
          </w:tcPr>
          <w:p w14:paraId="7D8C62F9" w14:textId="396B68EE" w:rsidR="00D455B6" w:rsidRPr="00D455B6" w:rsidRDefault="00D455B6" w:rsidP="00D455B6">
            <w:pPr>
              <w:rPr>
                <w:rFonts w:eastAsia="Times New Roman" w:cs="Arial"/>
                <w:i/>
                <w:iCs/>
                <w:color w:val="000000"/>
                <w:u w:val="single"/>
                <w:lang w:eastAsia="bg-BG"/>
              </w:rPr>
            </w:pPr>
            <w:r w:rsidRPr="00D455B6">
              <w:t>85</w:t>
            </w:r>
          </w:p>
        </w:tc>
        <w:tc>
          <w:tcPr>
            <w:tcW w:w="1900" w:type="dxa"/>
          </w:tcPr>
          <w:p w14:paraId="0DBDF53A" w14:textId="68A53D63" w:rsidR="00D455B6" w:rsidRPr="00D455B6" w:rsidRDefault="00D455B6" w:rsidP="00D455B6">
            <w:pPr>
              <w:rPr>
                <w:rFonts w:eastAsia="Times New Roman" w:cs="Arial"/>
                <w:i/>
                <w:iCs/>
                <w:color w:val="000000"/>
                <w:u w:val="single"/>
                <w:lang w:eastAsia="bg-BG"/>
              </w:rPr>
            </w:pPr>
            <w:r w:rsidRPr="00D455B6">
              <w:rPr>
                <w:lang w:val="en-US"/>
              </w:rPr>
              <w:t>0,7</w:t>
            </w:r>
          </w:p>
        </w:tc>
      </w:tr>
      <w:tr w:rsidR="00D455B6" w14:paraId="565D22A1" w14:textId="77777777" w:rsidTr="00D455B6">
        <w:tc>
          <w:tcPr>
            <w:tcW w:w="1900" w:type="dxa"/>
          </w:tcPr>
          <w:p w14:paraId="740FE325" w14:textId="5AE7205C" w:rsidR="00D455B6" w:rsidRDefault="00D455B6" w:rsidP="00D455B6">
            <w:pPr>
              <w:rPr>
                <w:rFonts w:eastAsia="Times New Roman" w:cs="Arial"/>
                <w:i/>
                <w:iCs/>
                <w:color w:val="000000"/>
                <w:u w:val="single"/>
                <w:lang w:eastAsia="bg-BG"/>
              </w:rPr>
            </w:pPr>
            <w:r>
              <w:t>18,0</w:t>
            </w:r>
          </w:p>
        </w:tc>
        <w:tc>
          <w:tcPr>
            <w:tcW w:w="1900" w:type="dxa"/>
          </w:tcPr>
          <w:p w14:paraId="208A057E" w14:textId="6FD15265" w:rsidR="00D455B6" w:rsidRDefault="00D455B6" w:rsidP="00D455B6">
            <w:pPr>
              <w:rPr>
                <w:rFonts w:eastAsia="Times New Roman" w:cs="Arial"/>
                <w:i/>
                <w:iCs/>
                <w:color w:val="000000"/>
                <w:u w:val="single"/>
                <w:lang w:eastAsia="bg-BG"/>
              </w:rPr>
            </w:pPr>
            <w:r>
              <w:t>150</w:t>
            </w:r>
          </w:p>
        </w:tc>
        <w:tc>
          <w:tcPr>
            <w:tcW w:w="1900" w:type="dxa"/>
          </w:tcPr>
          <w:p w14:paraId="6A0180C6" w14:textId="0F70DE8D" w:rsidR="00D455B6" w:rsidRPr="00D455B6" w:rsidRDefault="00D455B6" w:rsidP="00D455B6">
            <w:pPr>
              <w:rPr>
                <w:rFonts w:eastAsia="Times New Roman" w:cs="Arial"/>
                <w:i/>
                <w:iCs/>
                <w:color w:val="000000"/>
                <w:lang w:val="en-US" w:eastAsia="bg-BG"/>
              </w:rPr>
            </w:pPr>
            <w:r w:rsidRPr="00D455B6">
              <w:rPr>
                <w:rFonts w:eastAsia="Times New Roman" w:cs="Arial"/>
                <w:i/>
                <w:iCs/>
                <w:color w:val="000000"/>
                <w:lang w:val="en-US" w:eastAsia="bg-BG"/>
              </w:rPr>
              <w:t>1,2</w:t>
            </w:r>
          </w:p>
        </w:tc>
        <w:tc>
          <w:tcPr>
            <w:tcW w:w="1900" w:type="dxa"/>
          </w:tcPr>
          <w:p w14:paraId="56B60924" w14:textId="4C52D8E3" w:rsidR="00D455B6" w:rsidRDefault="00D455B6" w:rsidP="00D455B6">
            <w:pPr>
              <w:rPr>
                <w:rFonts w:eastAsia="Times New Roman" w:cs="Arial"/>
                <w:i/>
                <w:iCs/>
                <w:color w:val="000000"/>
                <w:u w:val="single"/>
                <w:lang w:eastAsia="bg-BG"/>
              </w:rPr>
            </w:pPr>
            <w:r>
              <w:t>115</w:t>
            </w:r>
          </w:p>
        </w:tc>
        <w:tc>
          <w:tcPr>
            <w:tcW w:w="1900" w:type="dxa"/>
          </w:tcPr>
          <w:p w14:paraId="2089826C" w14:textId="21576165" w:rsidR="00D455B6" w:rsidRDefault="00D455B6" w:rsidP="00D455B6">
            <w:pPr>
              <w:rPr>
                <w:rFonts w:eastAsia="Times New Roman" w:cs="Arial"/>
                <w:i/>
                <w:iCs/>
                <w:color w:val="000000"/>
                <w:u w:val="single"/>
                <w:lang w:eastAsia="bg-BG"/>
              </w:rPr>
            </w:pPr>
            <w:r>
              <w:t>0,9</w:t>
            </w:r>
          </w:p>
        </w:tc>
      </w:tr>
      <w:tr w:rsidR="00D455B6" w14:paraId="3039C1F7" w14:textId="77777777" w:rsidTr="00D455B6">
        <w:tc>
          <w:tcPr>
            <w:tcW w:w="1900" w:type="dxa"/>
          </w:tcPr>
          <w:p w14:paraId="4E065992" w14:textId="30402CDE" w:rsidR="00D455B6" w:rsidRDefault="00D455B6" w:rsidP="00D455B6">
            <w:pPr>
              <w:rPr>
                <w:rFonts w:eastAsia="Times New Roman" w:cs="Arial"/>
                <w:i/>
                <w:iCs/>
                <w:color w:val="000000"/>
                <w:u w:val="single"/>
                <w:lang w:eastAsia="bg-BG"/>
              </w:rPr>
            </w:pPr>
            <w:r>
              <w:t>22,5</w:t>
            </w:r>
          </w:p>
        </w:tc>
        <w:tc>
          <w:tcPr>
            <w:tcW w:w="1900" w:type="dxa"/>
          </w:tcPr>
          <w:p w14:paraId="64A72322" w14:textId="29061DF0" w:rsidR="00D455B6" w:rsidRDefault="00D455B6" w:rsidP="00D455B6">
            <w:pPr>
              <w:rPr>
                <w:rFonts w:eastAsia="Times New Roman" w:cs="Arial"/>
                <w:i/>
                <w:iCs/>
                <w:color w:val="000000"/>
                <w:u w:val="single"/>
                <w:lang w:eastAsia="bg-BG"/>
              </w:rPr>
            </w:pPr>
            <w:r>
              <w:t>190</w:t>
            </w:r>
          </w:p>
        </w:tc>
        <w:tc>
          <w:tcPr>
            <w:tcW w:w="1900" w:type="dxa"/>
          </w:tcPr>
          <w:p w14:paraId="7AFBBB2C" w14:textId="6AB73921" w:rsidR="00D455B6" w:rsidRPr="00D455B6" w:rsidRDefault="00D455B6" w:rsidP="00D455B6">
            <w:pPr>
              <w:rPr>
                <w:rFonts w:eastAsia="Times New Roman" w:cs="Arial"/>
                <w:i/>
                <w:iCs/>
                <w:color w:val="000000"/>
                <w:lang w:eastAsia="bg-BG"/>
              </w:rPr>
            </w:pPr>
            <w:r w:rsidRPr="00D455B6">
              <w:t>1,5</w:t>
            </w:r>
          </w:p>
        </w:tc>
        <w:tc>
          <w:tcPr>
            <w:tcW w:w="1900" w:type="dxa"/>
          </w:tcPr>
          <w:p w14:paraId="26486F70" w14:textId="1217A8FE" w:rsidR="00D455B6" w:rsidRDefault="00D455B6" w:rsidP="00D455B6">
            <w:pPr>
              <w:rPr>
                <w:rFonts w:eastAsia="Times New Roman" w:cs="Arial"/>
                <w:i/>
                <w:iCs/>
                <w:color w:val="000000"/>
                <w:u w:val="single"/>
                <w:lang w:eastAsia="bg-BG"/>
              </w:rPr>
            </w:pPr>
            <w:r>
              <w:t>140</w:t>
            </w:r>
          </w:p>
        </w:tc>
        <w:tc>
          <w:tcPr>
            <w:tcW w:w="1900" w:type="dxa"/>
          </w:tcPr>
          <w:p w14:paraId="43E7D741" w14:textId="30BAD15F" w:rsidR="00D455B6" w:rsidRDefault="00D455B6" w:rsidP="00D455B6">
            <w:pPr>
              <w:rPr>
                <w:rFonts w:eastAsia="Times New Roman" w:cs="Arial"/>
                <w:i/>
                <w:iCs/>
                <w:color w:val="000000"/>
                <w:u w:val="single"/>
                <w:lang w:eastAsia="bg-BG"/>
              </w:rPr>
            </w:pPr>
            <w:r>
              <w:t>1,1</w:t>
            </w:r>
          </w:p>
        </w:tc>
      </w:tr>
    </w:tbl>
    <w:p w14:paraId="52FC61D8" w14:textId="77777777" w:rsidR="00D455B6" w:rsidRDefault="00D455B6" w:rsidP="00D455B6">
      <w:pPr>
        <w:rPr>
          <w:rFonts w:eastAsia="Times New Roman" w:cs="Arial"/>
          <w:i/>
          <w:iCs/>
          <w:color w:val="000000"/>
          <w:u w:val="single"/>
          <w:lang w:eastAsia="bg-BG"/>
        </w:rPr>
      </w:pPr>
    </w:p>
    <w:tbl>
      <w:tblPr>
        <w:tblStyle w:val="TableGrid"/>
        <w:tblW w:w="0" w:type="auto"/>
        <w:tblLook w:val="04A0" w:firstRow="1" w:lastRow="0" w:firstColumn="1" w:lastColumn="0" w:noHBand="0" w:noVBand="1"/>
      </w:tblPr>
      <w:tblGrid>
        <w:gridCol w:w="1824"/>
        <w:gridCol w:w="1894"/>
        <w:gridCol w:w="1869"/>
        <w:gridCol w:w="1894"/>
        <w:gridCol w:w="1869"/>
      </w:tblGrid>
      <w:tr w:rsidR="00D455B6" w14:paraId="2CCD4572" w14:textId="77777777" w:rsidTr="00A96888">
        <w:tc>
          <w:tcPr>
            <w:tcW w:w="1900" w:type="dxa"/>
          </w:tcPr>
          <w:p w14:paraId="3DA057F0" w14:textId="4315010D" w:rsidR="00D455B6" w:rsidRDefault="00D455B6" w:rsidP="00D455B6">
            <w:pPr>
              <w:rPr>
                <w:rFonts w:eastAsia="Times New Roman" w:cs="Arial"/>
                <w:i/>
                <w:iCs/>
                <w:color w:val="000000"/>
                <w:u w:val="single"/>
                <w:lang w:eastAsia="bg-BG"/>
              </w:rPr>
            </w:pPr>
            <w:r>
              <w:t>Тегло</w:t>
            </w:r>
          </w:p>
        </w:tc>
        <w:tc>
          <w:tcPr>
            <w:tcW w:w="3800" w:type="dxa"/>
            <w:gridSpan w:val="2"/>
          </w:tcPr>
          <w:p w14:paraId="6792F2D7" w14:textId="17D61E1A" w:rsidR="00D455B6" w:rsidRDefault="00D455B6" w:rsidP="00D455B6">
            <w:pPr>
              <w:rPr>
                <w:rFonts w:eastAsia="Times New Roman" w:cs="Arial"/>
                <w:i/>
                <w:iCs/>
                <w:color w:val="000000"/>
                <w:u w:val="single"/>
                <w:lang w:eastAsia="bg-BG"/>
              </w:rPr>
            </w:pPr>
            <w:r>
              <w:t xml:space="preserve">50 </w:t>
            </w:r>
            <w:r>
              <w:rPr>
                <w:lang w:val="en-US"/>
              </w:rPr>
              <w:t>mg/kg</w:t>
            </w:r>
            <w:r>
              <w:t>/дневно, разделена на 3 дози</w:t>
            </w:r>
          </w:p>
        </w:tc>
        <w:tc>
          <w:tcPr>
            <w:tcW w:w="3800" w:type="dxa"/>
            <w:gridSpan w:val="2"/>
          </w:tcPr>
          <w:p w14:paraId="0D19AB4C" w14:textId="0C4D7EC6" w:rsidR="00D455B6" w:rsidRDefault="00D455B6" w:rsidP="00D455B6">
            <w:pPr>
              <w:rPr>
                <w:rFonts w:eastAsia="Times New Roman" w:cs="Arial"/>
                <w:i/>
                <w:iCs/>
                <w:color w:val="000000"/>
                <w:u w:val="single"/>
                <w:lang w:eastAsia="bg-BG"/>
              </w:rPr>
            </w:pPr>
            <w:r>
              <w:t xml:space="preserve">50 </w:t>
            </w:r>
            <w:r>
              <w:rPr>
                <w:lang w:val="en-US"/>
              </w:rPr>
              <w:t>mg/kg</w:t>
            </w:r>
            <w:r>
              <w:t>/дневно, разделена на 4 дози</w:t>
            </w:r>
          </w:p>
        </w:tc>
      </w:tr>
      <w:tr w:rsidR="00D455B6" w14:paraId="78DB1021" w14:textId="77777777" w:rsidTr="00D455B6">
        <w:tc>
          <w:tcPr>
            <w:tcW w:w="1900" w:type="dxa"/>
          </w:tcPr>
          <w:p w14:paraId="59EE0127" w14:textId="2B14CD2F" w:rsidR="00D455B6" w:rsidRPr="00D455B6" w:rsidRDefault="00D455B6" w:rsidP="00D455B6">
            <w:pPr>
              <w:rPr>
                <w:rFonts w:eastAsia="Times New Roman" w:cs="Arial"/>
                <w:i/>
                <w:iCs/>
                <w:color w:val="000000"/>
                <w:u w:val="single"/>
                <w:lang w:eastAsia="bg-BG"/>
              </w:rPr>
            </w:pPr>
            <w:r w:rsidRPr="00D455B6">
              <w:rPr>
                <w:lang w:val="en-US"/>
              </w:rPr>
              <w:t>kg</w:t>
            </w:r>
          </w:p>
        </w:tc>
        <w:tc>
          <w:tcPr>
            <w:tcW w:w="1900" w:type="dxa"/>
          </w:tcPr>
          <w:p w14:paraId="1AAF0DBC" w14:textId="5810506D" w:rsidR="00D455B6" w:rsidRPr="00D455B6" w:rsidRDefault="00D455B6" w:rsidP="00D455B6">
            <w:pPr>
              <w:rPr>
                <w:rFonts w:eastAsia="Times New Roman" w:cs="Arial"/>
                <w:i/>
                <w:iCs/>
                <w:color w:val="000000"/>
                <w:u w:val="single"/>
                <w:lang w:eastAsia="bg-BG"/>
              </w:rPr>
            </w:pPr>
            <w:r w:rsidRPr="00D455B6">
              <w:t xml:space="preserve">Приблизителна еднократна доза в </w:t>
            </w:r>
            <w:r w:rsidRPr="00D455B6">
              <w:rPr>
                <w:lang w:val="en-US"/>
              </w:rPr>
              <w:t xml:space="preserve">mg </w:t>
            </w:r>
            <w:r w:rsidRPr="00D455B6">
              <w:t>/на 8 часа/</w:t>
            </w:r>
          </w:p>
        </w:tc>
        <w:tc>
          <w:tcPr>
            <w:tcW w:w="1900" w:type="dxa"/>
          </w:tcPr>
          <w:p w14:paraId="48AEB399" w14:textId="04EA42F6" w:rsidR="00D455B6" w:rsidRPr="00D455B6" w:rsidRDefault="00D455B6" w:rsidP="00D455B6">
            <w:pPr>
              <w:rPr>
                <w:rFonts w:eastAsia="Times New Roman" w:cs="Arial"/>
                <w:i/>
                <w:iCs/>
                <w:color w:val="000000"/>
                <w:u w:val="single"/>
                <w:lang w:eastAsia="bg-BG"/>
              </w:rPr>
            </w:pPr>
            <w:r w:rsidRPr="00D455B6">
              <w:t xml:space="preserve">Необходим обем за разреждане </w:t>
            </w:r>
            <w:r w:rsidRPr="00D455B6">
              <w:rPr>
                <w:lang w:val="en-US"/>
              </w:rPr>
              <w:t xml:space="preserve">/ml/ </w:t>
            </w:r>
            <w:r w:rsidRPr="00D455B6">
              <w:t xml:space="preserve">до 225 </w:t>
            </w:r>
            <w:r w:rsidRPr="00D455B6">
              <w:rPr>
                <w:lang w:val="en-US"/>
              </w:rPr>
              <w:t>mg/ml</w:t>
            </w:r>
          </w:p>
        </w:tc>
        <w:tc>
          <w:tcPr>
            <w:tcW w:w="1900" w:type="dxa"/>
          </w:tcPr>
          <w:p w14:paraId="712CC74D" w14:textId="2A179748" w:rsidR="00D455B6" w:rsidRPr="00D455B6" w:rsidRDefault="00D455B6" w:rsidP="00D455B6">
            <w:pPr>
              <w:rPr>
                <w:rFonts w:eastAsia="Times New Roman" w:cs="Arial"/>
                <w:i/>
                <w:iCs/>
                <w:color w:val="000000"/>
                <w:u w:val="single"/>
                <w:lang w:eastAsia="bg-BG"/>
              </w:rPr>
            </w:pPr>
            <w:r w:rsidRPr="00D455B6">
              <w:t xml:space="preserve">Приблизителна еднократна доза в </w:t>
            </w:r>
            <w:r w:rsidRPr="00D455B6">
              <w:rPr>
                <w:lang w:val="en-US"/>
              </w:rPr>
              <w:t xml:space="preserve">mg </w:t>
            </w:r>
            <w:r w:rsidRPr="00D455B6">
              <w:t>/на 6 часа/</w:t>
            </w:r>
          </w:p>
        </w:tc>
        <w:tc>
          <w:tcPr>
            <w:tcW w:w="1900" w:type="dxa"/>
          </w:tcPr>
          <w:p w14:paraId="5DE6C331" w14:textId="66137CAC" w:rsidR="00D455B6" w:rsidRPr="00D455B6" w:rsidRDefault="00D455B6" w:rsidP="00D455B6">
            <w:pPr>
              <w:rPr>
                <w:rFonts w:eastAsia="Times New Roman" w:cs="Arial"/>
                <w:i/>
                <w:iCs/>
                <w:color w:val="000000"/>
                <w:u w:val="single"/>
                <w:lang w:eastAsia="bg-BG"/>
              </w:rPr>
            </w:pPr>
            <w:r w:rsidRPr="00D455B6">
              <w:t xml:space="preserve">Необходим обем за разреждане </w:t>
            </w:r>
            <w:r w:rsidRPr="00D455B6">
              <w:rPr>
                <w:lang w:val="en-US"/>
              </w:rPr>
              <w:t xml:space="preserve">/ml/ </w:t>
            </w:r>
            <w:r w:rsidRPr="00D455B6">
              <w:t xml:space="preserve">до 225 </w:t>
            </w:r>
            <w:r w:rsidRPr="00D455B6">
              <w:rPr>
                <w:lang w:val="en-US"/>
              </w:rPr>
              <w:t>mg/ml</w:t>
            </w:r>
          </w:p>
        </w:tc>
      </w:tr>
      <w:tr w:rsidR="00D455B6" w14:paraId="3ECCDE72" w14:textId="77777777" w:rsidTr="00D455B6">
        <w:tc>
          <w:tcPr>
            <w:tcW w:w="1900" w:type="dxa"/>
          </w:tcPr>
          <w:p w14:paraId="0706C052" w14:textId="14A2B252" w:rsidR="00D455B6" w:rsidRPr="00D455B6" w:rsidRDefault="00D455B6" w:rsidP="00D455B6">
            <w:pPr>
              <w:rPr>
                <w:rFonts w:eastAsia="Times New Roman" w:cs="Arial"/>
                <w:i/>
                <w:iCs/>
                <w:color w:val="000000"/>
                <w:u w:val="single"/>
                <w:lang w:eastAsia="bg-BG"/>
              </w:rPr>
            </w:pPr>
            <w:r w:rsidRPr="00D455B6">
              <w:t>4,5</w:t>
            </w:r>
          </w:p>
        </w:tc>
        <w:tc>
          <w:tcPr>
            <w:tcW w:w="1900" w:type="dxa"/>
          </w:tcPr>
          <w:p w14:paraId="290CC6DB" w14:textId="409FB37A" w:rsidR="00D455B6" w:rsidRPr="00D455B6" w:rsidRDefault="00D455B6" w:rsidP="00D455B6">
            <w:pPr>
              <w:rPr>
                <w:rFonts w:eastAsia="Times New Roman" w:cs="Arial"/>
                <w:i/>
                <w:iCs/>
                <w:color w:val="000000"/>
                <w:u w:val="single"/>
                <w:lang w:eastAsia="bg-BG"/>
              </w:rPr>
            </w:pPr>
            <w:r w:rsidRPr="00D455B6">
              <w:t>75</w:t>
            </w:r>
          </w:p>
        </w:tc>
        <w:tc>
          <w:tcPr>
            <w:tcW w:w="1900" w:type="dxa"/>
          </w:tcPr>
          <w:p w14:paraId="6A359AD2" w14:textId="49B5384B" w:rsidR="00D455B6" w:rsidRPr="00D455B6" w:rsidRDefault="00D455B6" w:rsidP="00D455B6">
            <w:pPr>
              <w:rPr>
                <w:rFonts w:eastAsia="Times New Roman" w:cs="Arial"/>
                <w:i/>
                <w:iCs/>
                <w:color w:val="000000"/>
                <w:u w:val="single"/>
                <w:lang w:eastAsia="bg-BG"/>
              </w:rPr>
            </w:pPr>
            <w:r w:rsidRPr="00D455B6">
              <w:t>0,35</w:t>
            </w:r>
          </w:p>
        </w:tc>
        <w:tc>
          <w:tcPr>
            <w:tcW w:w="1900" w:type="dxa"/>
          </w:tcPr>
          <w:p w14:paraId="25814D45" w14:textId="483D8171" w:rsidR="00D455B6" w:rsidRPr="00D455B6" w:rsidRDefault="00D455B6" w:rsidP="00D455B6">
            <w:pPr>
              <w:rPr>
                <w:rFonts w:eastAsia="Times New Roman" w:cs="Arial"/>
                <w:i/>
                <w:iCs/>
                <w:color w:val="000000"/>
                <w:u w:val="single"/>
                <w:lang w:eastAsia="bg-BG"/>
              </w:rPr>
            </w:pPr>
            <w:r w:rsidRPr="00D455B6">
              <w:t>55</w:t>
            </w:r>
          </w:p>
        </w:tc>
        <w:tc>
          <w:tcPr>
            <w:tcW w:w="1900" w:type="dxa"/>
          </w:tcPr>
          <w:p w14:paraId="6C7E27E1" w14:textId="7A9BB0FA" w:rsidR="00D455B6" w:rsidRPr="00D455B6" w:rsidRDefault="00D455B6" w:rsidP="00D455B6">
            <w:pPr>
              <w:rPr>
                <w:rFonts w:eastAsia="Times New Roman" w:cs="Arial"/>
                <w:i/>
                <w:iCs/>
                <w:color w:val="000000"/>
                <w:u w:val="single"/>
                <w:lang w:eastAsia="bg-BG"/>
              </w:rPr>
            </w:pPr>
            <w:r w:rsidRPr="00D455B6">
              <w:t>0,25</w:t>
            </w:r>
          </w:p>
        </w:tc>
      </w:tr>
      <w:tr w:rsidR="00D455B6" w14:paraId="28F73B6C" w14:textId="77777777" w:rsidTr="00D455B6">
        <w:tc>
          <w:tcPr>
            <w:tcW w:w="1900" w:type="dxa"/>
          </w:tcPr>
          <w:p w14:paraId="547E910E" w14:textId="41E15A5C" w:rsidR="00D455B6" w:rsidRPr="00D455B6" w:rsidRDefault="00D455B6" w:rsidP="00D455B6">
            <w:pPr>
              <w:rPr>
                <w:rFonts w:eastAsia="Times New Roman" w:cs="Arial"/>
                <w:i/>
                <w:iCs/>
                <w:color w:val="000000"/>
                <w:u w:val="single"/>
                <w:lang w:eastAsia="bg-BG"/>
              </w:rPr>
            </w:pPr>
            <w:r w:rsidRPr="00D455B6">
              <w:t>9,0</w:t>
            </w:r>
          </w:p>
        </w:tc>
        <w:tc>
          <w:tcPr>
            <w:tcW w:w="1900" w:type="dxa"/>
          </w:tcPr>
          <w:p w14:paraId="168FB788" w14:textId="7D5458DB" w:rsidR="00D455B6" w:rsidRPr="00D455B6" w:rsidRDefault="00D455B6" w:rsidP="00D455B6">
            <w:pPr>
              <w:rPr>
                <w:rFonts w:eastAsia="Times New Roman" w:cs="Arial"/>
                <w:i/>
                <w:iCs/>
                <w:color w:val="000000"/>
                <w:u w:val="single"/>
                <w:lang w:eastAsia="bg-BG"/>
              </w:rPr>
            </w:pPr>
            <w:r w:rsidRPr="00D455B6">
              <w:t>150</w:t>
            </w:r>
          </w:p>
        </w:tc>
        <w:tc>
          <w:tcPr>
            <w:tcW w:w="1900" w:type="dxa"/>
          </w:tcPr>
          <w:p w14:paraId="22809009" w14:textId="27E1B6CE" w:rsidR="00D455B6" w:rsidRPr="00D455B6" w:rsidRDefault="00D455B6" w:rsidP="00D455B6">
            <w:pPr>
              <w:rPr>
                <w:rFonts w:eastAsia="Times New Roman" w:cs="Arial"/>
                <w:i/>
                <w:iCs/>
                <w:color w:val="000000"/>
                <w:u w:val="single"/>
                <w:lang w:eastAsia="bg-BG"/>
              </w:rPr>
            </w:pPr>
            <w:r w:rsidRPr="00D455B6">
              <w:t>0,7</w:t>
            </w:r>
          </w:p>
        </w:tc>
        <w:tc>
          <w:tcPr>
            <w:tcW w:w="1900" w:type="dxa"/>
          </w:tcPr>
          <w:p w14:paraId="39226284" w14:textId="192ED062" w:rsidR="00D455B6" w:rsidRPr="00D455B6" w:rsidRDefault="00D455B6" w:rsidP="00D455B6">
            <w:pPr>
              <w:rPr>
                <w:rFonts w:eastAsia="Times New Roman" w:cs="Arial"/>
                <w:i/>
                <w:iCs/>
                <w:color w:val="000000"/>
                <w:u w:val="single"/>
                <w:lang w:eastAsia="bg-BG"/>
              </w:rPr>
            </w:pPr>
            <w:r w:rsidRPr="00D455B6">
              <w:t>110</w:t>
            </w:r>
          </w:p>
        </w:tc>
        <w:tc>
          <w:tcPr>
            <w:tcW w:w="1900" w:type="dxa"/>
          </w:tcPr>
          <w:p w14:paraId="772A3319" w14:textId="33FD0762" w:rsidR="00D455B6" w:rsidRPr="00D455B6" w:rsidRDefault="00D455B6" w:rsidP="00D455B6">
            <w:pPr>
              <w:rPr>
                <w:rFonts w:eastAsia="Times New Roman" w:cs="Arial"/>
                <w:i/>
                <w:iCs/>
                <w:color w:val="000000"/>
                <w:u w:val="single"/>
                <w:lang w:eastAsia="bg-BG"/>
              </w:rPr>
            </w:pPr>
            <w:r w:rsidRPr="00D455B6">
              <w:t>0,5</w:t>
            </w:r>
          </w:p>
        </w:tc>
      </w:tr>
      <w:tr w:rsidR="00D455B6" w14:paraId="0D534EAF" w14:textId="77777777" w:rsidTr="00D455B6">
        <w:tc>
          <w:tcPr>
            <w:tcW w:w="1900" w:type="dxa"/>
          </w:tcPr>
          <w:p w14:paraId="2FAF6318" w14:textId="0D1114E5" w:rsidR="00D455B6" w:rsidRPr="00D455B6" w:rsidRDefault="00D455B6" w:rsidP="00D455B6">
            <w:pPr>
              <w:rPr>
                <w:rFonts w:eastAsia="Times New Roman" w:cs="Arial"/>
                <w:i/>
                <w:iCs/>
                <w:color w:val="000000"/>
                <w:u w:val="single"/>
                <w:lang w:eastAsia="bg-BG"/>
              </w:rPr>
            </w:pPr>
            <w:r w:rsidRPr="00D455B6">
              <w:t>13,5</w:t>
            </w:r>
          </w:p>
        </w:tc>
        <w:tc>
          <w:tcPr>
            <w:tcW w:w="1900" w:type="dxa"/>
          </w:tcPr>
          <w:p w14:paraId="767966C8" w14:textId="635B43F2" w:rsidR="00D455B6" w:rsidRPr="00D455B6" w:rsidRDefault="00D455B6" w:rsidP="00D455B6">
            <w:pPr>
              <w:rPr>
                <w:rFonts w:eastAsia="Times New Roman" w:cs="Arial"/>
                <w:i/>
                <w:iCs/>
                <w:color w:val="000000"/>
                <w:u w:val="single"/>
                <w:lang w:eastAsia="bg-BG"/>
              </w:rPr>
            </w:pPr>
            <w:r w:rsidRPr="00D455B6">
              <w:t>225</w:t>
            </w:r>
          </w:p>
        </w:tc>
        <w:tc>
          <w:tcPr>
            <w:tcW w:w="1900" w:type="dxa"/>
          </w:tcPr>
          <w:p w14:paraId="2A690968" w14:textId="3F4A81F1" w:rsidR="00D455B6" w:rsidRPr="00D455B6" w:rsidRDefault="00D455B6" w:rsidP="00D455B6">
            <w:pPr>
              <w:rPr>
                <w:rFonts w:eastAsia="Times New Roman" w:cs="Arial"/>
                <w:i/>
                <w:iCs/>
                <w:color w:val="000000"/>
                <w:u w:val="single"/>
                <w:lang w:eastAsia="bg-BG"/>
              </w:rPr>
            </w:pPr>
            <w:r w:rsidRPr="00D455B6">
              <w:t>1,0</w:t>
            </w:r>
          </w:p>
        </w:tc>
        <w:tc>
          <w:tcPr>
            <w:tcW w:w="1900" w:type="dxa"/>
          </w:tcPr>
          <w:p w14:paraId="1A9AB346" w14:textId="2867CB07" w:rsidR="00D455B6" w:rsidRPr="00D455B6" w:rsidRDefault="00D455B6" w:rsidP="00D455B6">
            <w:pPr>
              <w:rPr>
                <w:rFonts w:eastAsia="Times New Roman" w:cs="Arial"/>
                <w:i/>
                <w:iCs/>
                <w:color w:val="000000"/>
                <w:u w:val="single"/>
                <w:lang w:eastAsia="bg-BG"/>
              </w:rPr>
            </w:pPr>
            <w:r w:rsidRPr="00D455B6">
              <w:t>170</w:t>
            </w:r>
          </w:p>
        </w:tc>
        <w:tc>
          <w:tcPr>
            <w:tcW w:w="1900" w:type="dxa"/>
          </w:tcPr>
          <w:p w14:paraId="3BDC4BC3" w14:textId="30E4822B" w:rsidR="00D455B6" w:rsidRPr="00D455B6" w:rsidRDefault="00D455B6" w:rsidP="00D455B6">
            <w:pPr>
              <w:rPr>
                <w:rFonts w:eastAsia="Times New Roman" w:cs="Arial"/>
                <w:i/>
                <w:iCs/>
                <w:color w:val="000000"/>
                <w:u w:val="single"/>
                <w:lang w:eastAsia="bg-BG"/>
              </w:rPr>
            </w:pPr>
            <w:r w:rsidRPr="00D455B6">
              <w:t>0,75</w:t>
            </w:r>
          </w:p>
        </w:tc>
      </w:tr>
      <w:tr w:rsidR="00D455B6" w14:paraId="077B5C10" w14:textId="77777777" w:rsidTr="00D455B6">
        <w:tc>
          <w:tcPr>
            <w:tcW w:w="1900" w:type="dxa"/>
          </w:tcPr>
          <w:p w14:paraId="4FFE570E" w14:textId="49626F0E" w:rsidR="00D455B6" w:rsidRPr="00D455B6" w:rsidRDefault="00D455B6" w:rsidP="00D455B6">
            <w:pPr>
              <w:rPr>
                <w:rFonts w:eastAsia="Times New Roman" w:cs="Arial"/>
                <w:i/>
                <w:iCs/>
                <w:color w:val="000000"/>
                <w:u w:val="single"/>
                <w:lang w:eastAsia="bg-BG"/>
              </w:rPr>
            </w:pPr>
            <w:r w:rsidRPr="00D455B6">
              <w:t>18,0</w:t>
            </w:r>
          </w:p>
        </w:tc>
        <w:tc>
          <w:tcPr>
            <w:tcW w:w="1900" w:type="dxa"/>
          </w:tcPr>
          <w:p w14:paraId="6B5E98DD" w14:textId="604B5835" w:rsidR="00D455B6" w:rsidRPr="00D455B6" w:rsidRDefault="00D455B6" w:rsidP="00D455B6">
            <w:pPr>
              <w:rPr>
                <w:rFonts w:eastAsia="Times New Roman" w:cs="Arial"/>
                <w:i/>
                <w:iCs/>
                <w:color w:val="000000"/>
                <w:u w:val="single"/>
                <w:lang w:eastAsia="bg-BG"/>
              </w:rPr>
            </w:pPr>
            <w:r w:rsidRPr="00D455B6">
              <w:t>300</w:t>
            </w:r>
          </w:p>
        </w:tc>
        <w:tc>
          <w:tcPr>
            <w:tcW w:w="1900" w:type="dxa"/>
          </w:tcPr>
          <w:p w14:paraId="271B3BE4" w14:textId="4583C737" w:rsidR="00D455B6" w:rsidRPr="00D455B6" w:rsidRDefault="00D455B6" w:rsidP="00D455B6">
            <w:pPr>
              <w:rPr>
                <w:rFonts w:eastAsia="Times New Roman" w:cs="Arial"/>
                <w:i/>
                <w:iCs/>
                <w:color w:val="000000"/>
                <w:u w:val="single"/>
                <w:lang w:eastAsia="bg-BG"/>
              </w:rPr>
            </w:pPr>
            <w:r w:rsidRPr="00D455B6">
              <w:t>1,35</w:t>
            </w:r>
          </w:p>
        </w:tc>
        <w:tc>
          <w:tcPr>
            <w:tcW w:w="1900" w:type="dxa"/>
          </w:tcPr>
          <w:p w14:paraId="5AD558FE" w14:textId="6B7E5A46" w:rsidR="00D455B6" w:rsidRPr="00D455B6" w:rsidRDefault="00D455B6" w:rsidP="00D455B6">
            <w:pPr>
              <w:rPr>
                <w:rFonts w:eastAsia="Times New Roman" w:cs="Arial"/>
                <w:i/>
                <w:iCs/>
                <w:color w:val="000000"/>
                <w:u w:val="single"/>
                <w:lang w:eastAsia="bg-BG"/>
              </w:rPr>
            </w:pPr>
            <w:r w:rsidRPr="00D455B6">
              <w:t>225</w:t>
            </w:r>
          </w:p>
        </w:tc>
        <w:tc>
          <w:tcPr>
            <w:tcW w:w="1900" w:type="dxa"/>
          </w:tcPr>
          <w:p w14:paraId="45C3E6D5" w14:textId="695A32B4" w:rsidR="00D455B6" w:rsidRPr="00D455B6" w:rsidRDefault="00D455B6" w:rsidP="00D455B6">
            <w:pPr>
              <w:rPr>
                <w:rFonts w:eastAsia="Times New Roman" w:cs="Arial"/>
                <w:i/>
                <w:iCs/>
                <w:color w:val="000000"/>
                <w:u w:val="single"/>
                <w:lang w:eastAsia="bg-BG"/>
              </w:rPr>
            </w:pPr>
            <w:r w:rsidRPr="00D455B6">
              <w:t>1,0</w:t>
            </w:r>
          </w:p>
        </w:tc>
      </w:tr>
      <w:tr w:rsidR="00D455B6" w14:paraId="32243AF1" w14:textId="77777777" w:rsidTr="00D455B6">
        <w:tc>
          <w:tcPr>
            <w:tcW w:w="1900" w:type="dxa"/>
          </w:tcPr>
          <w:p w14:paraId="22878DC2" w14:textId="44580639" w:rsidR="00D455B6" w:rsidRPr="00D455B6" w:rsidRDefault="00D455B6" w:rsidP="00D455B6">
            <w:pPr>
              <w:rPr>
                <w:rFonts w:eastAsia="Times New Roman" w:cs="Arial"/>
                <w:i/>
                <w:iCs/>
                <w:color w:val="000000"/>
                <w:u w:val="single"/>
                <w:lang w:eastAsia="bg-BG"/>
              </w:rPr>
            </w:pPr>
            <w:r w:rsidRPr="00D455B6">
              <w:t>22,5</w:t>
            </w:r>
          </w:p>
        </w:tc>
        <w:tc>
          <w:tcPr>
            <w:tcW w:w="1900" w:type="dxa"/>
          </w:tcPr>
          <w:p w14:paraId="45560AF1" w14:textId="7FF38295" w:rsidR="00D455B6" w:rsidRPr="00D455B6" w:rsidRDefault="00D455B6" w:rsidP="00D455B6">
            <w:pPr>
              <w:rPr>
                <w:rFonts w:eastAsia="Times New Roman" w:cs="Arial"/>
                <w:i/>
                <w:iCs/>
                <w:color w:val="000000"/>
                <w:u w:val="single"/>
                <w:lang w:eastAsia="bg-BG"/>
              </w:rPr>
            </w:pPr>
            <w:r w:rsidRPr="00D455B6">
              <w:t>375</w:t>
            </w:r>
          </w:p>
        </w:tc>
        <w:tc>
          <w:tcPr>
            <w:tcW w:w="1900" w:type="dxa"/>
          </w:tcPr>
          <w:p w14:paraId="10EE93A0" w14:textId="3BE59214" w:rsidR="00D455B6" w:rsidRPr="00D455B6" w:rsidRDefault="00D455B6" w:rsidP="00D455B6">
            <w:pPr>
              <w:rPr>
                <w:rFonts w:eastAsia="Times New Roman" w:cs="Arial"/>
                <w:i/>
                <w:iCs/>
                <w:color w:val="000000"/>
                <w:u w:val="single"/>
                <w:lang w:eastAsia="bg-BG"/>
              </w:rPr>
            </w:pPr>
            <w:r w:rsidRPr="00D455B6">
              <w:t>1,7</w:t>
            </w:r>
          </w:p>
        </w:tc>
        <w:tc>
          <w:tcPr>
            <w:tcW w:w="1900" w:type="dxa"/>
          </w:tcPr>
          <w:p w14:paraId="2BA20CF6" w14:textId="7121DE28" w:rsidR="00D455B6" w:rsidRPr="00D455B6" w:rsidRDefault="00D455B6" w:rsidP="00D455B6">
            <w:pPr>
              <w:rPr>
                <w:rFonts w:eastAsia="Times New Roman" w:cs="Arial"/>
                <w:i/>
                <w:iCs/>
                <w:color w:val="000000"/>
                <w:u w:val="single"/>
                <w:lang w:eastAsia="bg-BG"/>
              </w:rPr>
            </w:pPr>
            <w:r w:rsidRPr="00D455B6">
              <w:t>285</w:t>
            </w:r>
          </w:p>
        </w:tc>
        <w:tc>
          <w:tcPr>
            <w:tcW w:w="1900" w:type="dxa"/>
          </w:tcPr>
          <w:p w14:paraId="02D7F6D0" w14:textId="3B549D04" w:rsidR="00D455B6" w:rsidRPr="00D455B6" w:rsidRDefault="00D455B6" w:rsidP="00D455B6">
            <w:pPr>
              <w:rPr>
                <w:rFonts w:eastAsia="Times New Roman" w:cs="Arial"/>
                <w:i/>
                <w:iCs/>
                <w:color w:val="000000"/>
                <w:u w:val="single"/>
                <w:lang w:eastAsia="bg-BG"/>
              </w:rPr>
            </w:pPr>
            <w:r w:rsidRPr="00D455B6">
              <w:t>1,25</w:t>
            </w:r>
          </w:p>
        </w:tc>
      </w:tr>
    </w:tbl>
    <w:p w14:paraId="1405F8D4" w14:textId="77777777" w:rsidR="00D455B6" w:rsidRDefault="00D455B6" w:rsidP="00D455B6">
      <w:pPr>
        <w:rPr>
          <w:rFonts w:eastAsia="Times New Roman" w:cs="Arial"/>
          <w:i/>
          <w:iCs/>
          <w:color w:val="000000"/>
          <w:u w:val="single"/>
          <w:lang w:eastAsia="bg-BG"/>
        </w:rPr>
      </w:pPr>
    </w:p>
    <w:p w14:paraId="748992F6" w14:textId="77777777" w:rsidR="00D455B6" w:rsidRPr="00D455B6" w:rsidRDefault="00D455B6" w:rsidP="00D455B6">
      <w:pPr>
        <w:spacing w:line="240" w:lineRule="auto"/>
        <w:rPr>
          <w:rFonts w:eastAsia="Times New Roman" w:cs="Arial"/>
          <w:lang w:eastAsia="bg-BG"/>
        </w:rPr>
      </w:pPr>
      <w:r w:rsidRPr="00D455B6">
        <w:rPr>
          <w:rFonts w:eastAsia="Times New Roman" w:cs="Arial"/>
          <w:i/>
          <w:iCs/>
          <w:color w:val="000000"/>
          <w:lang w:eastAsia="bg-BG"/>
        </w:rPr>
        <w:t>Бъбречно увреждане</w:t>
      </w:r>
    </w:p>
    <w:p w14:paraId="5CD7EC5D" w14:textId="77777777" w:rsidR="00D455B6" w:rsidRPr="00D455B6" w:rsidRDefault="00D455B6" w:rsidP="00D455B6">
      <w:pPr>
        <w:spacing w:line="240" w:lineRule="auto"/>
        <w:rPr>
          <w:rFonts w:eastAsia="Times New Roman" w:cs="Arial"/>
          <w:lang w:eastAsia="bg-BG"/>
        </w:rPr>
      </w:pPr>
      <w:r w:rsidRPr="00D455B6">
        <w:rPr>
          <w:rFonts w:eastAsia="Times New Roman" w:cs="Arial"/>
          <w:color w:val="000000"/>
          <w:lang w:eastAsia="bg-BG"/>
        </w:rPr>
        <w:t>При деца с увредена бъбречна функция се препоръчва следното адаптиране на дозата:</w:t>
      </w:r>
    </w:p>
    <w:p w14:paraId="62939582" w14:textId="77777777" w:rsidR="00D455B6" w:rsidRPr="00D455B6" w:rsidRDefault="00D455B6" w:rsidP="00D455B6">
      <w:pPr>
        <w:spacing w:line="240" w:lineRule="auto"/>
        <w:rPr>
          <w:rFonts w:eastAsia="Times New Roman" w:cs="Arial"/>
          <w:lang w:eastAsia="bg-BG"/>
        </w:rPr>
      </w:pPr>
      <w:r w:rsidRPr="00D455B6">
        <w:rPr>
          <w:rFonts w:eastAsia="Times New Roman" w:cs="Arial"/>
          <w:i/>
          <w:iCs/>
          <w:color w:val="000000"/>
          <w:lang w:eastAsia="bg-BG"/>
        </w:rPr>
        <w:t xml:space="preserve">Леко до умерено увредена бъбречна функция, креатининов клирънс 70-40 </w:t>
      </w:r>
      <w:r w:rsidRPr="00D455B6">
        <w:rPr>
          <w:rFonts w:eastAsia="Times New Roman" w:cs="Arial"/>
          <w:i/>
          <w:iCs/>
          <w:color w:val="000000"/>
          <w:lang w:val="en-US"/>
        </w:rPr>
        <w:t>ml/min:</w:t>
      </w:r>
      <w:r w:rsidRPr="00D455B6">
        <w:rPr>
          <w:rFonts w:eastAsia="Times New Roman" w:cs="Arial"/>
          <w:color w:val="000000"/>
          <w:lang w:val="en-US"/>
        </w:rPr>
        <w:t xml:space="preserve"> </w:t>
      </w:r>
      <w:r w:rsidRPr="00D455B6">
        <w:rPr>
          <w:rFonts w:eastAsia="Times New Roman" w:cs="Arial"/>
          <w:color w:val="000000"/>
          <w:lang w:eastAsia="bg-BG"/>
        </w:rPr>
        <w:t>60% от обичайната дневна доза се прилага на два приема на всеки 12 часа.</w:t>
      </w:r>
    </w:p>
    <w:p w14:paraId="52DB8161" w14:textId="77777777" w:rsidR="00D455B6" w:rsidRPr="00D455B6" w:rsidRDefault="00D455B6" w:rsidP="00D455B6">
      <w:pPr>
        <w:spacing w:line="240" w:lineRule="auto"/>
        <w:rPr>
          <w:rFonts w:eastAsia="Times New Roman" w:cs="Arial"/>
          <w:lang w:eastAsia="bg-BG"/>
        </w:rPr>
      </w:pPr>
      <w:r w:rsidRPr="00D455B6">
        <w:rPr>
          <w:rFonts w:eastAsia="Times New Roman" w:cs="Arial"/>
          <w:i/>
          <w:iCs/>
          <w:color w:val="000000"/>
          <w:lang w:eastAsia="bg-BG"/>
        </w:rPr>
        <w:t xml:space="preserve">Умерена увредена бъбречна функция, креатининов клирънс 40-20 </w:t>
      </w:r>
      <w:r w:rsidRPr="00D455B6">
        <w:rPr>
          <w:rFonts w:eastAsia="Times New Roman" w:cs="Arial"/>
          <w:i/>
          <w:iCs/>
          <w:color w:val="000000"/>
          <w:lang w:val="en-US"/>
        </w:rPr>
        <w:t>ml/min:</w:t>
      </w:r>
      <w:r w:rsidRPr="00D455B6">
        <w:rPr>
          <w:rFonts w:eastAsia="Times New Roman" w:cs="Arial"/>
          <w:color w:val="000000"/>
          <w:lang w:val="en-US"/>
        </w:rPr>
        <w:t xml:space="preserve"> </w:t>
      </w:r>
      <w:r w:rsidRPr="00D455B6">
        <w:rPr>
          <w:rFonts w:eastAsia="Times New Roman" w:cs="Arial"/>
          <w:color w:val="000000"/>
          <w:lang w:eastAsia="bg-BG"/>
        </w:rPr>
        <w:t>1/4 от обичайната дневна доза се прилага на два приема на всеки 12 часа.</w:t>
      </w:r>
    </w:p>
    <w:p w14:paraId="49FF4852" w14:textId="77777777" w:rsidR="00D455B6" w:rsidRPr="00D455B6" w:rsidRDefault="00D455B6" w:rsidP="00D455B6">
      <w:pPr>
        <w:spacing w:line="240" w:lineRule="auto"/>
        <w:rPr>
          <w:rFonts w:eastAsia="Times New Roman" w:cs="Arial"/>
          <w:lang w:eastAsia="bg-BG"/>
        </w:rPr>
      </w:pPr>
      <w:r w:rsidRPr="00D455B6">
        <w:rPr>
          <w:rFonts w:eastAsia="Times New Roman" w:cs="Arial"/>
          <w:i/>
          <w:iCs/>
          <w:color w:val="000000"/>
          <w:lang w:eastAsia="bg-BG"/>
        </w:rPr>
        <w:t xml:space="preserve">Тежко увредена бъбречна функция, креатининов клирънс 20-5 </w:t>
      </w:r>
      <w:r w:rsidRPr="00D455B6">
        <w:rPr>
          <w:rFonts w:eastAsia="Times New Roman" w:cs="Arial"/>
          <w:i/>
          <w:iCs/>
          <w:color w:val="000000"/>
          <w:lang w:val="en-US"/>
        </w:rPr>
        <w:t>ml/min:</w:t>
      </w:r>
      <w:r w:rsidRPr="00D455B6">
        <w:rPr>
          <w:rFonts w:eastAsia="Times New Roman" w:cs="Arial"/>
          <w:color w:val="000000"/>
          <w:lang w:val="en-US"/>
        </w:rPr>
        <w:t xml:space="preserve"> </w:t>
      </w:r>
      <w:r w:rsidRPr="00D455B6">
        <w:rPr>
          <w:rFonts w:eastAsia="Times New Roman" w:cs="Arial"/>
          <w:color w:val="000000"/>
          <w:lang w:eastAsia="bg-BG"/>
        </w:rPr>
        <w:t>1/10 от обичайната дневна доза се прилага на 24 часа.</w:t>
      </w:r>
    </w:p>
    <w:p w14:paraId="73B6ECC3" w14:textId="77777777" w:rsidR="00D455B6" w:rsidRDefault="00D455B6" w:rsidP="00D455B6">
      <w:pPr>
        <w:spacing w:line="240" w:lineRule="auto"/>
        <w:rPr>
          <w:rFonts w:eastAsia="Times New Roman" w:cs="Arial"/>
          <w:i/>
          <w:iCs/>
          <w:color w:val="000000"/>
          <w:lang w:eastAsia="bg-BG"/>
        </w:rPr>
      </w:pPr>
    </w:p>
    <w:p w14:paraId="618642B6" w14:textId="46ACF16E" w:rsidR="00D455B6" w:rsidRPr="00D455B6" w:rsidRDefault="00D455B6" w:rsidP="00D455B6">
      <w:pPr>
        <w:spacing w:line="240" w:lineRule="auto"/>
        <w:rPr>
          <w:rFonts w:eastAsia="Times New Roman" w:cs="Arial"/>
          <w:lang w:eastAsia="bg-BG"/>
        </w:rPr>
      </w:pPr>
      <w:r w:rsidRPr="00D455B6">
        <w:rPr>
          <w:rFonts w:eastAsia="Times New Roman" w:cs="Arial"/>
          <w:i/>
          <w:iCs/>
          <w:color w:val="000000"/>
          <w:lang w:eastAsia="bg-BG"/>
        </w:rPr>
        <w:t>Новородени</w:t>
      </w:r>
    </w:p>
    <w:p w14:paraId="76BA208C" w14:textId="77777777" w:rsidR="00D455B6" w:rsidRPr="00D455B6" w:rsidRDefault="00D455B6" w:rsidP="00D455B6">
      <w:pPr>
        <w:spacing w:line="240" w:lineRule="auto"/>
        <w:rPr>
          <w:rFonts w:eastAsia="Times New Roman" w:cs="Arial"/>
          <w:lang w:eastAsia="bg-BG"/>
        </w:rPr>
      </w:pPr>
      <w:r w:rsidRPr="00D455B6">
        <w:rPr>
          <w:rFonts w:eastAsia="Times New Roman" w:cs="Arial"/>
          <w:color w:val="000000"/>
          <w:lang w:eastAsia="bg-BG"/>
        </w:rPr>
        <w:t>Не е установена безопасна употреба при недоносени новородени и кърмачета под 1-месечна възраст.</w:t>
      </w:r>
    </w:p>
    <w:p w14:paraId="62F0B06B" w14:textId="77777777" w:rsidR="00D455B6" w:rsidRDefault="00D455B6" w:rsidP="00D455B6">
      <w:pPr>
        <w:spacing w:line="240" w:lineRule="auto"/>
        <w:rPr>
          <w:rFonts w:eastAsia="Times New Roman" w:cs="Arial"/>
          <w:color w:val="000000"/>
          <w:u w:val="single"/>
          <w:lang w:eastAsia="bg-BG"/>
        </w:rPr>
      </w:pPr>
    </w:p>
    <w:p w14:paraId="5D7F924B" w14:textId="5B659422" w:rsidR="00D455B6" w:rsidRPr="00D455B6" w:rsidRDefault="00D455B6" w:rsidP="00D455B6">
      <w:pPr>
        <w:spacing w:line="240" w:lineRule="auto"/>
        <w:rPr>
          <w:rFonts w:eastAsia="Times New Roman" w:cs="Arial"/>
          <w:lang w:eastAsia="bg-BG"/>
        </w:rPr>
      </w:pPr>
      <w:r w:rsidRPr="00D455B6">
        <w:rPr>
          <w:rFonts w:eastAsia="Times New Roman" w:cs="Arial"/>
          <w:color w:val="000000"/>
          <w:u w:val="single"/>
          <w:lang w:eastAsia="bg-BG"/>
        </w:rPr>
        <w:t>Начин на приложение</w:t>
      </w:r>
    </w:p>
    <w:p w14:paraId="021C35C5" w14:textId="77777777" w:rsidR="00D455B6" w:rsidRPr="00D455B6" w:rsidRDefault="00D455B6" w:rsidP="00D455B6">
      <w:pPr>
        <w:spacing w:line="240" w:lineRule="auto"/>
        <w:rPr>
          <w:rFonts w:eastAsia="Times New Roman" w:cs="Arial"/>
          <w:lang w:eastAsia="bg-BG"/>
        </w:rPr>
      </w:pPr>
      <w:r w:rsidRPr="00D455B6">
        <w:rPr>
          <w:rFonts w:eastAsia="Times New Roman" w:cs="Arial"/>
          <w:color w:val="000000"/>
          <w:lang w:eastAsia="bg-BG"/>
        </w:rPr>
        <w:lastRenderedPageBreak/>
        <w:t>След разтваряне както е посочено Зепилен може да се приложи интрамускулно или интравенозно. Не се препоръчва интратекалният начин на приложение (вижте “Специални предупреждения и предпазни мерки за употреба”).</w:t>
      </w:r>
    </w:p>
    <w:p w14:paraId="0F4776F9" w14:textId="77777777" w:rsidR="00D455B6" w:rsidRPr="00D455B6" w:rsidRDefault="00D455B6" w:rsidP="00D455B6">
      <w:pPr>
        <w:spacing w:line="240" w:lineRule="auto"/>
        <w:rPr>
          <w:rFonts w:eastAsia="Times New Roman" w:cs="Arial"/>
          <w:lang w:eastAsia="bg-BG"/>
        </w:rPr>
      </w:pPr>
      <w:r w:rsidRPr="00D455B6">
        <w:rPr>
          <w:rFonts w:eastAsia="Times New Roman" w:cs="Arial"/>
          <w:color w:val="000000"/>
          <w:lang w:eastAsia="bg-BG"/>
        </w:rPr>
        <w:t>За да се разтвори съдържанието на флаконите, независимо от начина на приложение се използва стерилна вода за инжекции в съответствие с долната таблица. След добавяне на вода за инжекции флаконът трябва добре да се разклати, за да се осигури цялостно разтваряне на цефазолин натрий.</w:t>
      </w:r>
    </w:p>
    <w:p w14:paraId="1A109E97" w14:textId="77777777" w:rsidR="00D455B6" w:rsidRDefault="00D455B6" w:rsidP="00D455B6">
      <w:pPr>
        <w:rPr>
          <w:rFonts w:cs="Arial"/>
        </w:rPr>
      </w:pPr>
    </w:p>
    <w:tbl>
      <w:tblPr>
        <w:tblStyle w:val="TableGrid"/>
        <w:tblW w:w="0" w:type="auto"/>
        <w:tblLook w:val="04A0" w:firstRow="1" w:lastRow="0" w:firstColumn="1" w:lastColumn="0" w:noHBand="0" w:noVBand="1"/>
      </w:tblPr>
      <w:tblGrid>
        <w:gridCol w:w="2325"/>
        <w:gridCol w:w="2333"/>
        <w:gridCol w:w="2346"/>
        <w:gridCol w:w="2346"/>
      </w:tblGrid>
      <w:tr w:rsidR="00D455B6" w14:paraId="3BE99A3F" w14:textId="77777777" w:rsidTr="00D455B6">
        <w:tc>
          <w:tcPr>
            <w:tcW w:w="2375" w:type="dxa"/>
          </w:tcPr>
          <w:p w14:paraId="5BCF5AAA" w14:textId="77777777" w:rsidR="00D455B6" w:rsidRPr="00D455B6" w:rsidRDefault="00D455B6" w:rsidP="00D455B6">
            <w:pPr>
              <w:rPr>
                <w:b/>
                <w:bCs/>
              </w:rPr>
            </w:pPr>
            <w:r w:rsidRPr="00D455B6">
              <w:rPr>
                <w:b/>
                <w:bCs/>
              </w:rPr>
              <w:t>Количество</w:t>
            </w:r>
            <w:r w:rsidRPr="00D455B6">
              <w:rPr>
                <w:b/>
                <w:bCs/>
              </w:rPr>
              <w:tab/>
              <w:t>на</w:t>
            </w:r>
          </w:p>
          <w:p w14:paraId="3A0AA313" w14:textId="3CD61FE6" w:rsidR="00D455B6" w:rsidRPr="00D455B6" w:rsidRDefault="00D455B6" w:rsidP="00D455B6">
            <w:pPr>
              <w:rPr>
                <w:rFonts w:cs="Arial"/>
                <w:b/>
                <w:bCs/>
              </w:rPr>
            </w:pPr>
            <w:r w:rsidRPr="00D455B6">
              <w:rPr>
                <w:b/>
                <w:bCs/>
              </w:rPr>
              <w:t>лекарствено вещество в 1 флакон</w:t>
            </w:r>
          </w:p>
        </w:tc>
        <w:tc>
          <w:tcPr>
            <w:tcW w:w="2375" w:type="dxa"/>
          </w:tcPr>
          <w:p w14:paraId="7D9282DB" w14:textId="77777777" w:rsidR="00D455B6" w:rsidRPr="00D455B6" w:rsidRDefault="00D455B6" w:rsidP="00D455B6">
            <w:pPr>
              <w:rPr>
                <w:b/>
                <w:bCs/>
              </w:rPr>
            </w:pPr>
            <w:r w:rsidRPr="00D455B6">
              <w:rPr>
                <w:b/>
                <w:bCs/>
              </w:rPr>
              <w:t>Обем</w:t>
            </w:r>
            <w:r w:rsidRPr="00D455B6">
              <w:rPr>
                <w:b/>
                <w:bCs/>
              </w:rPr>
              <w:tab/>
              <w:t>на</w:t>
            </w:r>
          </w:p>
          <w:p w14:paraId="451EDD27" w14:textId="78B3169F" w:rsidR="00D455B6" w:rsidRPr="00D455B6" w:rsidRDefault="00D455B6" w:rsidP="00D455B6">
            <w:pPr>
              <w:rPr>
                <w:rFonts w:cs="Arial"/>
                <w:b/>
                <w:bCs/>
              </w:rPr>
            </w:pPr>
            <w:r w:rsidRPr="00D455B6">
              <w:rPr>
                <w:b/>
                <w:bCs/>
              </w:rPr>
              <w:t>разтворителя</w:t>
            </w:r>
          </w:p>
        </w:tc>
        <w:tc>
          <w:tcPr>
            <w:tcW w:w="2375" w:type="dxa"/>
          </w:tcPr>
          <w:p w14:paraId="4C17056C" w14:textId="0977D6C3" w:rsidR="00D455B6" w:rsidRPr="00D455B6" w:rsidRDefault="00D455B6" w:rsidP="00D455B6">
            <w:pPr>
              <w:rPr>
                <w:rFonts w:cs="Arial"/>
                <w:b/>
                <w:bCs/>
              </w:rPr>
            </w:pPr>
            <w:r w:rsidRPr="00D455B6">
              <w:rPr>
                <w:b/>
                <w:bCs/>
              </w:rPr>
              <w:t>Приблизителна крайна концентрация</w:t>
            </w:r>
          </w:p>
        </w:tc>
        <w:tc>
          <w:tcPr>
            <w:tcW w:w="2375" w:type="dxa"/>
          </w:tcPr>
          <w:p w14:paraId="2A37DB6C" w14:textId="5576BA33" w:rsidR="00D455B6" w:rsidRPr="00D455B6" w:rsidRDefault="00D455B6" w:rsidP="00D455B6">
            <w:pPr>
              <w:rPr>
                <w:rFonts w:cs="Arial"/>
                <w:b/>
                <w:bCs/>
              </w:rPr>
            </w:pPr>
            <w:r w:rsidRPr="00D455B6">
              <w:rPr>
                <w:b/>
                <w:bCs/>
              </w:rPr>
              <w:t>Приблизителен краен обем</w:t>
            </w:r>
          </w:p>
        </w:tc>
      </w:tr>
      <w:tr w:rsidR="00D455B6" w14:paraId="43CB46E2" w14:textId="77777777" w:rsidTr="00D455B6">
        <w:tc>
          <w:tcPr>
            <w:tcW w:w="2375" w:type="dxa"/>
          </w:tcPr>
          <w:p w14:paraId="0BCF3ED4" w14:textId="46D21BAE" w:rsidR="00D455B6" w:rsidRDefault="00D455B6" w:rsidP="00D455B6">
            <w:pPr>
              <w:rPr>
                <w:rFonts w:cs="Arial"/>
              </w:rPr>
            </w:pPr>
            <w:r>
              <w:rPr>
                <w:lang w:val="en-US"/>
              </w:rPr>
              <w:t>1g</w:t>
            </w:r>
          </w:p>
        </w:tc>
        <w:tc>
          <w:tcPr>
            <w:tcW w:w="2375" w:type="dxa"/>
          </w:tcPr>
          <w:p w14:paraId="28A9F99F" w14:textId="057CC44C" w:rsidR="00D455B6" w:rsidRDefault="00D455B6" w:rsidP="00D455B6">
            <w:pPr>
              <w:rPr>
                <w:rFonts w:cs="Arial"/>
              </w:rPr>
            </w:pPr>
            <w:r>
              <w:t xml:space="preserve">2,5 </w:t>
            </w:r>
            <w:r>
              <w:rPr>
                <w:lang w:val="en-US"/>
              </w:rPr>
              <w:t>ml</w:t>
            </w:r>
          </w:p>
        </w:tc>
        <w:tc>
          <w:tcPr>
            <w:tcW w:w="2375" w:type="dxa"/>
          </w:tcPr>
          <w:p w14:paraId="1BDA21DB" w14:textId="1E83422C" w:rsidR="00D455B6" w:rsidRDefault="00D455B6" w:rsidP="00D455B6">
            <w:pPr>
              <w:rPr>
                <w:rFonts w:cs="Arial"/>
              </w:rPr>
            </w:pPr>
            <w:r>
              <w:t xml:space="preserve">330 </w:t>
            </w:r>
            <w:r>
              <w:rPr>
                <w:lang w:val="en-US"/>
              </w:rPr>
              <w:t>mg/ml</w:t>
            </w:r>
          </w:p>
        </w:tc>
        <w:tc>
          <w:tcPr>
            <w:tcW w:w="2375" w:type="dxa"/>
          </w:tcPr>
          <w:p w14:paraId="1A5180EA" w14:textId="2C8E4C0E" w:rsidR="00D455B6" w:rsidRDefault="00D455B6" w:rsidP="00D455B6">
            <w:pPr>
              <w:rPr>
                <w:rFonts w:cs="Arial"/>
              </w:rPr>
            </w:pPr>
            <w:r>
              <w:t xml:space="preserve">3,0 </w:t>
            </w:r>
            <w:r>
              <w:rPr>
                <w:lang w:val="en-US"/>
              </w:rPr>
              <w:t>ml</w:t>
            </w:r>
          </w:p>
        </w:tc>
      </w:tr>
    </w:tbl>
    <w:p w14:paraId="3865FC5D" w14:textId="77777777" w:rsidR="00D455B6" w:rsidRDefault="00D455B6" w:rsidP="00D455B6">
      <w:pPr>
        <w:rPr>
          <w:rFonts w:cs="Arial"/>
        </w:rPr>
      </w:pPr>
    </w:p>
    <w:p w14:paraId="4EDF5297" w14:textId="77777777" w:rsidR="00D455B6" w:rsidRPr="00D455B6" w:rsidRDefault="00D455B6" w:rsidP="00D455B6">
      <w:pPr>
        <w:spacing w:line="240" w:lineRule="auto"/>
        <w:rPr>
          <w:rFonts w:eastAsia="Times New Roman" w:cs="Arial"/>
          <w:lang w:eastAsia="bg-BG"/>
        </w:rPr>
      </w:pPr>
      <w:r w:rsidRPr="00D455B6">
        <w:rPr>
          <w:rFonts w:eastAsia="Times New Roman" w:cs="Arial"/>
          <w:i/>
          <w:iCs/>
          <w:color w:val="000000"/>
          <w:lang w:eastAsia="bg-BG"/>
        </w:rPr>
        <w:t>Интрамускулно приложение</w:t>
      </w:r>
    </w:p>
    <w:p w14:paraId="68703AE0" w14:textId="77777777" w:rsidR="00D455B6" w:rsidRPr="00D455B6" w:rsidRDefault="00D455B6" w:rsidP="00D455B6">
      <w:pPr>
        <w:spacing w:line="240" w:lineRule="auto"/>
        <w:rPr>
          <w:rFonts w:eastAsia="Times New Roman" w:cs="Arial"/>
          <w:lang w:eastAsia="bg-BG"/>
        </w:rPr>
      </w:pPr>
      <w:r w:rsidRPr="00D455B6">
        <w:rPr>
          <w:rFonts w:eastAsia="Times New Roman" w:cs="Arial"/>
          <w:color w:val="000000"/>
          <w:lang w:eastAsia="bg-BG"/>
        </w:rPr>
        <w:t>След разтваряне както е посочено, необходимата доза трябва да бъде инжектирана в голям мускул.</w:t>
      </w:r>
    </w:p>
    <w:p w14:paraId="419C1B8A" w14:textId="77777777" w:rsidR="00D455B6" w:rsidRPr="00D455B6" w:rsidRDefault="00D455B6" w:rsidP="00D455B6">
      <w:pPr>
        <w:spacing w:line="240" w:lineRule="auto"/>
        <w:rPr>
          <w:rFonts w:eastAsia="Times New Roman" w:cs="Arial"/>
          <w:i/>
          <w:iCs/>
          <w:color w:val="000000"/>
          <w:lang w:eastAsia="bg-BG"/>
        </w:rPr>
      </w:pPr>
    </w:p>
    <w:p w14:paraId="348FA347" w14:textId="6855E0C0" w:rsidR="00D455B6" w:rsidRPr="00D455B6" w:rsidRDefault="00D455B6" w:rsidP="00D455B6">
      <w:pPr>
        <w:spacing w:line="240" w:lineRule="auto"/>
        <w:rPr>
          <w:rFonts w:eastAsia="Times New Roman" w:cs="Arial"/>
          <w:lang w:eastAsia="bg-BG"/>
        </w:rPr>
      </w:pPr>
      <w:r w:rsidRPr="00D455B6">
        <w:rPr>
          <w:rFonts w:eastAsia="Times New Roman" w:cs="Arial"/>
          <w:i/>
          <w:iCs/>
          <w:color w:val="000000"/>
          <w:lang w:eastAsia="bg-BG"/>
        </w:rPr>
        <w:t>Бавна интравенозна инжекция</w:t>
      </w:r>
    </w:p>
    <w:p w14:paraId="0577B6F5" w14:textId="77777777" w:rsidR="00D455B6" w:rsidRPr="00D455B6" w:rsidRDefault="00D455B6" w:rsidP="00D455B6">
      <w:pPr>
        <w:spacing w:line="240" w:lineRule="auto"/>
        <w:rPr>
          <w:rFonts w:eastAsia="Times New Roman" w:cs="Arial"/>
          <w:lang w:eastAsia="bg-BG"/>
        </w:rPr>
      </w:pPr>
      <w:r w:rsidRPr="00D455B6">
        <w:rPr>
          <w:rFonts w:eastAsia="Times New Roman" w:cs="Arial"/>
          <w:color w:val="000000"/>
          <w:lang w:eastAsia="bg-BG"/>
        </w:rPr>
        <w:t>След разтваряне както е посочено, разтворът трябва да бъде разреден със</w:t>
      </w:r>
      <w:r w:rsidRPr="00D455B6">
        <w:rPr>
          <w:rFonts w:eastAsia="Times New Roman" w:cs="Arial"/>
          <w:color w:val="000000"/>
          <w:lang w:val="en-US"/>
        </w:rPr>
        <w:t xml:space="preserve"> </w:t>
      </w:r>
      <w:r w:rsidRPr="00D455B6">
        <w:rPr>
          <w:rFonts w:eastAsia="Times New Roman" w:cs="Arial"/>
          <w:color w:val="000000"/>
          <w:lang w:eastAsia="bg-BG"/>
        </w:rPr>
        <w:t xml:space="preserve">стерилна вода за инжекции до минимален обем от 10 </w:t>
      </w:r>
      <w:r w:rsidRPr="00D455B6">
        <w:rPr>
          <w:rFonts w:eastAsia="Times New Roman" w:cs="Arial"/>
          <w:color w:val="000000"/>
          <w:lang w:val="en-US"/>
        </w:rPr>
        <w:t xml:space="preserve">ml </w:t>
      </w:r>
      <w:r w:rsidRPr="00D455B6">
        <w:rPr>
          <w:rFonts w:eastAsia="Times New Roman" w:cs="Arial"/>
          <w:color w:val="000000"/>
          <w:lang w:eastAsia="bg-BG"/>
        </w:rPr>
        <w:t>и да бъде инжектиран бавно за интервал от три до</w:t>
      </w:r>
      <w:r w:rsidRPr="00D455B6">
        <w:rPr>
          <w:rFonts w:eastAsia="Times New Roman" w:cs="Arial"/>
          <w:smallCaps/>
          <w:color w:val="000000"/>
          <w:lang w:eastAsia="bg-BG"/>
        </w:rPr>
        <w:t xml:space="preserve"> </w:t>
      </w:r>
      <w:r w:rsidRPr="00D455B6">
        <w:rPr>
          <w:rFonts w:eastAsia="Times New Roman" w:cs="Arial"/>
          <w:color w:val="000000"/>
          <w:lang w:eastAsia="bg-BG"/>
        </w:rPr>
        <w:t>пет минути. Времето за инжектиране не трябва да бъде</w:t>
      </w:r>
    </w:p>
    <w:p w14:paraId="29790C3E" w14:textId="77777777" w:rsidR="00D455B6" w:rsidRPr="00D455B6" w:rsidRDefault="00D455B6" w:rsidP="00D455B6">
      <w:pPr>
        <w:rPr>
          <w:rFonts w:cs="Arial"/>
        </w:rPr>
      </w:pPr>
    </w:p>
    <w:p w14:paraId="74DF37A5" w14:textId="77777777" w:rsidR="00D455B6" w:rsidRPr="00D455B6" w:rsidRDefault="00D455B6" w:rsidP="00D455B6">
      <w:pPr>
        <w:spacing w:line="240" w:lineRule="auto"/>
        <w:rPr>
          <w:rFonts w:eastAsia="Times New Roman" w:cs="Arial"/>
          <w:lang w:eastAsia="bg-BG"/>
        </w:rPr>
      </w:pPr>
      <w:r w:rsidRPr="00D455B6">
        <w:rPr>
          <w:rFonts w:eastAsia="Times New Roman" w:cs="Arial"/>
          <w:color w:val="000000"/>
          <w:lang w:eastAsia="bg-BG"/>
        </w:rPr>
        <w:t>Инжекцията се прави директно във вената или, ако пациентът получава някой от посочените инфузионни разтвори като интермитентна интравенозна инфузия - в системата.</w:t>
      </w:r>
    </w:p>
    <w:p w14:paraId="04BE1677" w14:textId="77777777" w:rsidR="00D455B6" w:rsidRDefault="00D455B6" w:rsidP="00D455B6">
      <w:pPr>
        <w:spacing w:line="240" w:lineRule="auto"/>
        <w:rPr>
          <w:rFonts w:eastAsia="Times New Roman" w:cs="Arial"/>
          <w:i/>
          <w:iCs/>
          <w:color w:val="000000"/>
          <w:lang w:eastAsia="bg-BG"/>
        </w:rPr>
      </w:pPr>
    </w:p>
    <w:p w14:paraId="3266AEDA" w14:textId="2DB14558" w:rsidR="00D455B6" w:rsidRPr="00D455B6" w:rsidRDefault="00D455B6" w:rsidP="00D455B6">
      <w:pPr>
        <w:spacing w:line="240" w:lineRule="auto"/>
        <w:rPr>
          <w:rFonts w:eastAsia="Times New Roman" w:cs="Arial"/>
          <w:lang w:eastAsia="bg-BG"/>
        </w:rPr>
      </w:pPr>
      <w:r w:rsidRPr="00D455B6">
        <w:rPr>
          <w:rFonts w:eastAsia="Times New Roman" w:cs="Arial"/>
          <w:i/>
          <w:iCs/>
          <w:color w:val="000000"/>
          <w:lang w:eastAsia="bg-BG"/>
        </w:rPr>
        <w:t>Интермитентна интравенозна инфузия</w:t>
      </w:r>
    </w:p>
    <w:p w14:paraId="284EA90E" w14:textId="77777777" w:rsidR="00D455B6" w:rsidRPr="00D455B6" w:rsidRDefault="00D455B6" w:rsidP="00D455B6">
      <w:pPr>
        <w:spacing w:line="240" w:lineRule="auto"/>
        <w:rPr>
          <w:rFonts w:eastAsia="Times New Roman" w:cs="Arial"/>
          <w:lang w:eastAsia="bg-BG"/>
        </w:rPr>
      </w:pPr>
      <w:r w:rsidRPr="00D455B6">
        <w:rPr>
          <w:rFonts w:eastAsia="Times New Roman" w:cs="Arial"/>
          <w:color w:val="000000"/>
          <w:lang w:eastAsia="bg-BG"/>
        </w:rPr>
        <w:t xml:space="preserve">След разтваряне както е посочено, разтворът трябва да бъде разреден в 50 до 100 </w:t>
      </w:r>
      <w:r w:rsidRPr="00D455B6">
        <w:rPr>
          <w:rFonts w:eastAsia="Times New Roman" w:cs="Arial"/>
          <w:color w:val="000000"/>
          <w:lang w:val="en-US"/>
        </w:rPr>
        <w:t xml:space="preserve">ml </w:t>
      </w:r>
      <w:r w:rsidRPr="00D455B6">
        <w:rPr>
          <w:rFonts w:eastAsia="Times New Roman" w:cs="Arial"/>
          <w:color w:val="000000"/>
          <w:lang w:eastAsia="bg-BG"/>
        </w:rPr>
        <w:t>стерилна вода за инжекции или с някой от следните инфузионни разтвори:</w:t>
      </w:r>
    </w:p>
    <w:p w14:paraId="17200D5C" w14:textId="77777777" w:rsidR="00D455B6" w:rsidRDefault="00D455B6" w:rsidP="00D455B6">
      <w:pPr>
        <w:pStyle w:val="ListParagraph"/>
        <w:numPr>
          <w:ilvl w:val="0"/>
          <w:numId w:val="41"/>
        </w:numPr>
        <w:spacing w:line="240" w:lineRule="auto"/>
        <w:rPr>
          <w:rFonts w:eastAsia="Times New Roman" w:cs="Arial"/>
          <w:color w:val="000000"/>
          <w:lang w:eastAsia="bg-BG"/>
        </w:rPr>
      </w:pPr>
      <w:r w:rsidRPr="00D455B6">
        <w:rPr>
          <w:rFonts w:eastAsia="Times New Roman" w:cs="Arial"/>
          <w:color w:val="000000"/>
          <w:lang w:eastAsia="bg-BG"/>
        </w:rPr>
        <w:t>0,9% инфузионен разтвор на натриев хлорид</w:t>
      </w:r>
    </w:p>
    <w:p w14:paraId="4AF3D48C" w14:textId="77777777" w:rsidR="00D455B6" w:rsidRDefault="00D455B6" w:rsidP="00D455B6">
      <w:pPr>
        <w:pStyle w:val="ListParagraph"/>
        <w:numPr>
          <w:ilvl w:val="0"/>
          <w:numId w:val="41"/>
        </w:numPr>
        <w:spacing w:line="240" w:lineRule="auto"/>
        <w:rPr>
          <w:rFonts w:eastAsia="Times New Roman" w:cs="Arial"/>
          <w:color w:val="000000"/>
          <w:lang w:eastAsia="bg-BG"/>
        </w:rPr>
      </w:pPr>
      <w:r w:rsidRPr="00D455B6">
        <w:rPr>
          <w:rFonts w:eastAsia="Times New Roman" w:cs="Arial"/>
          <w:color w:val="000000"/>
          <w:lang w:eastAsia="bg-BG"/>
        </w:rPr>
        <w:t>инфузионен разтвор на 0,9% натриев хлорид и 5% глюкоза</w:t>
      </w:r>
    </w:p>
    <w:p w14:paraId="2EE696D6" w14:textId="77777777" w:rsidR="00D455B6" w:rsidRDefault="00D455B6" w:rsidP="00D455B6">
      <w:pPr>
        <w:pStyle w:val="ListParagraph"/>
        <w:numPr>
          <w:ilvl w:val="0"/>
          <w:numId w:val="41"/>
        </w:numPr>
        <w:spacing w:line="240" w:lineRule="auto"/>
        <w:rPr>
          <w:rFonts w:eastAsia="Times New Roman" w:cs="Arial"/>
          <w:color w:val="000000"/>
          <w:lang w:eastAsia="bg-BG"/>
        </w:rPr>
      </w:pPr>
      <w:r w:rsidRPr="00D455B6">
        <w:rPr>
          <w:rFonts w:eastAsia="Times New Roman" w:cs="Arial"/>
          <w:color w:val="000000"/>
          <w:lang w:eastAsia="bg-BG"/>
        </w:rPr>
        <w:t>инфузионен разтвор на 0,45% натриев хлорид и 5% глюкоза</w:t>
      </w:r>
    </w:p>
    <w:p w14:paraId="26443421" w14:textId="77777777" w:rsidR="00D455B6" w:rsidRDefault="00D455B6" w:rsidP="00D455B6">
      <w:pPr>
        <w:pStyle w:val="ListParagraph"/>
        <w:numPr>
          <w:ilvl w:val="0"/>
          <w:numId w:val="41"/>
        </w:numPr>
        <w:spacing w:line="240" w:lineRule="auto"/>
        <w:rPr>
          <w:rFonts w:eastAsia="Times New Roman" w:cs="Arial"/>
          <w:color w:val="000000"/>
          <w:lang w:eastAsia="bg-BG"/>
        </w:rPr>
      </w:pPr>
      <w:r w:rsidRPr="00D455B6">
        <w:rPr>
          <w:rFonts w:eastAsia="Times New Roman" w:cs="Arial"/>
          <w:color w:val="000000"/>
          <w:lang w:eastAsia="bg-BG"/>
        </w:rPr>
        <w:t>инфузионен разтвор на 5% или 10% глюкоза</w:t>
      </w:r>
    </w:p>
    <w:p w14:paraId="1E5F017D" w14:textId="77777777" w:rsidR="00D455B6" w:rsidRDefault="00D455B6" w:rsidP="00D455B6">
      <w:pPr>
        <w:pStyle w:val="ListParagraph"/>
        <w:numPr>
          <w:ilvl w:val="0"/>
          <w:numId w:val="41"/>
        </w:numPr>
        <w:spacing w:line="240" w:lineRule="auto"/>
        <w:rPr>
          <w:rFonts w:eastAsia="Times New Roman" w:cs="Arial"/>
          <w:color w:val="000000"/>
          <w:lang w:eastAsia="bg-BG"/>
        </w:rPr>
      </w:pPr>
      <w:r w:rsidRPr="00D455B6">
        <w:rPr>
          <w:rFonts w:eastAsia="Times New Roman" w:cs="Arial"/>
          <w:color w:val="000000"/>
          <w:lang w:eastAsia="bg-BG"/>
        </w:rPr>
        <w:t>инфузионен разтвор на 5% глюкоза, в състава на натриев лактат</w:t>
      </w:r>
    </w:p>
    <w:p w14:paraId="1E92F927" w14:textId="77777777" w:rsidR="00D455B6" w:rsidRDefault="00D455B6" w:rsidP="00D455B6">
      <w:pPr>
        <w:pStyle w:val="ListParagraph"/>
        <w:numPr>
          <w:ilvl w:val="0"/>
          <w:numId w:val="41"/>
        </w:numPr>
        <w:spacing w:line="240" w:lineRule="auto"/>
        <w:rPr>
          <w:rFonts w:eastAsia="Times New Roman" w:cs="Arial"/>
          <w:color w:val="000000"/>
          <w:lang w:eastAsia="bg-BG"/>
        </w:rPr>
      </w:pPr>
      <w:r w:rsidRPr="00D455B6">
        <w:rPr>
          <w:rFonts w:eastAsia="Times New Roman" w:cs="Arial"/>
          <w:color w:val="000000"/>
          <w:lang w:eastAsia="bg-BG"/>
        </w:rPr>
        <w:t>инфузионен разтвор на натриев лактат</w:t>
      </w:r>
    </w:p>
    <w:p w14:paraId="14D85640" w14:textId="70DE6343" w:rsidR="00D455B6" w:rsidRPr="00D455B6" w:rsidRDefault="00D455B6" w:rsidP="00D455B6">
      <w:pPr>
        <w:pStyle w:val="ListParagraph"/>
        <w:numPr>
          <w:ilvl w:val="0"/>
          <w:numId w:val="41"/>
        </w:numPr>
        <w:spacing w:line="240" w:lineRule="auto"/>
        <w:rPr>
          <w:rFonts w:eastAsia="Times New Roman" w:cs="Arial"/>
          <w:color w:val="000000"/>
          <w:lang w:eastAsia="bg-BG"/>
        </w:rPr>
      </w:pPr>
      <w:r w:rsidRPr="00D455B6">
        <w:rPr>
          <w:rFonts w:eastAsia="Times New Roman" w:cs="Arial"/>
          <w:color w:val="000000"/>
          <w:lang w:eastAsia="bg-BG"/>
        </w:rPr>
        <w:t>5% или 10% инвертна захар във вода за инжекции</w:t>
      </w:r>
    </w:p>
    <w:p w14:paraId="5643FEA6" w14:textId="77777777" w:rsidR="00D455B6" w:rsidRPr="00D455B6" w:rsidRDefault="00D455B6" w:rsidP="00D455B6">
      <w:pPr>
        <w:rPr>
          <w:rFonts w:cs="Arial"/>
        </w:rPr>
      </w:pPr>
    </w:p>
    <w:p w14:paraId="5D9E65DA" w14:textId="37CC7594" w:rsidR="009F77A4" w:rsidRDefault="002C50EE" w:rsidP="00387A66">
      <w:pPr>
        <w:pStyle w:val="Heading2"/>
      </w:pPr>
      <w:r>
        <w:t>4.3. Противопоказания</w:t>
      </w:r>
    </w:p>
    <w:p w14:paraId="785F6EBD" w14:textId="77777777" w:rsidR="00D455B6" w:rsidRDefault="00D455B6" w:rsidP="00D455B6"/>
    <w:p w14:paraId="2F96E3CD" w14:textId="77777777" w:rsidR="00D455B6" w:rsidRPr="00D455B6" w:rsidRDefault="00D455B6" w:rsidP="00D455B6">
      <w:pPr>
        <w:rPr>
          <w:sz w:val="24"/>
          <w:szCs w:val="24"/>
          <w:lang w:eastAsia="bg-BG"/>
        </w:rPr>
      </w:pPr>
      <w:r w:rsidRPr="00D455B6">
        <w:rPr>
          <w:lang w:eastAsia="bg-BG"/>
        </w:rPr>
        <w:t>Свръхчувствителност към активното вещество или към някое от помощните вещества, изброени в точка 6.1, или към антибиотици от групата на цефалоспорините.</w:t>
      </w:r>
    </w:p>
    <w:p w14:paraId="2540AF72" w14:textId="77777777" w:rsidR="00D455B6" w:rsidRPr="00D455B6" w:rsidRDefault="00D455B6" w:rsidP="00D455B6"/>
    <w:p w14:paraId="1C27CE53" w14:textId="39C79156" w:rsidR="009F77A4" w:rsidRDefault="002C50EE" w:rsidP="00387A66">
      <w:pPr>
        <w:pStyle w:val="Heading2"/>
      </w:pPr>
      <w:r>
        <w:t>4.4. Специални предупреждения и предпазни мерки при употреба</w:t>
      </w:r>
    </w:p>
    <w:p w14:paraId="36C14626" w14:textId="77777777" w:rsidR="00D455B6" w:rsidRDefault="00D455B6" w:rsidP="00D455B6"/>
    <w:p w14:paraId="21FB06B6" w14:textId="77777777" w:rsidR="00D455B6" w:rsidRPr="00D455B6" w:rsidRDefault="00D455B6" w:rsidP="00D455B6">
      <w:pPr>
        <w:spacing w:line="240" w:lineRule="auto"/>
        <w:rPr>
          <w:rFonts w:eastAsia="Times New Roman" w:cs="Arial"/>
          <w:lang w:eastAsia="bg-BG"/>
        </w:rPr>
      </w:pPr>
      <w:r w:rsidRPr="00D455B6">
        <w:rPr>
          <w:rFonts w:eastAsia="Times New Roman" w:cs="Arial"/>
          <w:color w:val="000000"/>
          <w:lang w:eastAsia="bg-BG"/>
        </w:rPr>
        <w:t xml:space="preserve">Да се прилага с внимание при пациенти, които са имали реакция на свръхчувствителност към антибиотик от групата на цефалоспорините, пеницилина или други лекарствени продукти. Има доказателства за частична кръстосана алергичност както към </w:t>
      </w:r>
      <w:r w:rsidRPr="00D455B6">
        <w:rPr>
          <w:rFonts w:eastAsia="Times New Roman" w:cs="Arial"/>
          <w:color w:val="000000"/>
          <w:lang w:eastAsia="bg-BG"/>
        </w:rPr>
        <w:lastRenderedPageBreak/>
        <w:t>цефалоспорини, така и към пеницилини. При пациенти са докладвани тежки реакции на свръхчувствителност, включително анафилаксия, и към двете групи лекарствени продукти. Тежките остри реакции на свръхчувствителност изискват приложение на адреналин и други спешни мерки.</w:t>
      </w:r>
    </w:p>
    <w:p w14:paraId="31F795B9" w14:textId="77777777" w:rsidR="00D455B6" w:rsidRDefault="00D455B6" w:rsidP="00D455B6">
      <w:pPr>
        <w:spacing w:line="240" w:lineRule="auto"/>
        <w:rPr>
          <w:rFonts w:eastAsia="Times New Roman" w:cs="Arial"/>
          <w:color w:val="000000"/>
          <w:lang w:eastAsia="bg-BG"/>
        </w:rPr>
      </w:pPr>
    </w:p>
    <w:p w14:paraId="363D4916" w14:textId="74F68FCD" w:rsidR="00D455B6" w:rsidRPr="00D455B6" w:rsidRDefault="00D455B6" w:rsidP="00D455B6">
      <w:pPr>
        <w:spacing w:line="240" w:lineRule="auto"/>
        <w:rPr>
          <w:rFonts w:eastAsia="Times New Roman" w:cs="Arial"/>
          <w:lang w:eastAsia="bg-BG"/>
        </w:rPr>
      </w:pPr>
      <w:r w:rsidRPr="00D455B6">
        <w:rPr>
          <w:rFonts w:eastAsia="Times New Roman" w:cs="Arial"/>
          <w:color w:val="000000"/>
          <w:lang w:eastAsia="bg-BG"/>
        </w:rPr>
        <w:t>Възможно е цефалоспорините да се абсорбират по повърхността на еритроцитите и да се свързват с антитела срещу лекарствената молекула. Това може да доведе до позитивиране на теста на Кумбс и много рядко до хемолитична анемия. Може да се наблюдава кръстосана реактивност и по отношение на пеницилините. Тази реакция може да се наблюдава и при новородени, ако преди раждането са прилагани цефалоспорини на майката.</w:t>
      </w:r>
    </w:p>
    <w:p w14:paraId="2B8A9E7C" w14:textId="77777777" w:rsidR="00D455B6" w:rsidRDefault="00D455B6" w:rsidP="00D455B6">
      <w:pPr>
        <w:spacing w:line="240" w:lineRule="auto"/>
        <w:rPr>
          <w:rFonts w:eastAsia="Times New Roman" w:cs="Arial"/>
          <w:color w:val="000000"/>
          <w:lang w:eastAsia="bg-BG"/>
        </w:rPr>
      </w:pPr>
    </w:p>
    <w:p w14:paraId="6829AA14" w14:textId="0237A391" w:rsidR="00D455B6" w:rsidRPr="00D455B6" w:rsidRDefault="00D455B6" w:rsidP="00D455B6">
      <w:pPr>
        <w:spacing w:line="240" w:lineRule="auto"/>
        <w:rPr>
          <w:rFonts w:eastAsia="Times New Roman" w:cs="Arial"/>
          <w:lang w:eastAsia="bg-BG"/>
        </w:rPr>
      </w:pPr>
      <w:r w:rsidRPr="00D455B6">
        <w:rPr>
          <w:rFonts w:eastAsia="Times New Roman" w:cs="Arial"/>
          <w:color w:val="000000"/>
          <w:lang w:eastAsia="bg-BG"/>
        </w:rPr>
        <w:t>Докладван е псевдомембранозен колит при приложението на всички широкоспектърни антибиотици, така че е важно да се има предвид тази диагноза при пациенти, които развият диария във връзка с антибиотичното лечение. Тежестта може да варира от лека до животозастрашаваща. Спирането на лекарствения продукт обикновено е достатъчно за отшумяване на симптомите при леките случаи. Умеренотежките и тежките случаи изискват прилагането на подходящи мерки.</w:t>
      </w:r>
    </w:p>
    <w:p w14:paraId="063C4A3C" w14:textId="77777777" w:rsidR="00D455B6" w:rsidRDefault="00D455B6" w:rsidP="00D455B6">
      <w:pPr>
        <w:spacing w:line="240" w:lineRule="auto"/>
        <w:rPr>
          <w:rFonts w:eastAsia="Times New Roman" w:cs="Arial"/>
          <w:color w:val="000000"/>
          <w:lang w:eastAsia="bg-BG"/>
        </w:rPr>
      </w:pPr>
    </w:p>
    <w:p w14:paraId="216EC059" w14:textId="7FEEC659" w:rsidR="00D455B6" w:rsidRPr="00D455B6" w:rsidRDefault="00D455B6" w:rsidP="00D455B6">
      <w:pPr>
        <w:spacing w:line="240" w:lineRule="auto"/>
        <w:rPr>
          <w:rFonts w:eastAsia="Times New Roman" w:cs="Arial"/>
          <w:lang w:eastAsia="bg-BG"/>
        </w:rPr>
      </w:pPr>
      <w:r w:rsidRPr="00D455B6">
        <w:rPr>
          <w:rFonts w:eastAsia="Times New Roman" w:cs="Arial"/>
          <w:color w:val="000000"/>
          <w:lang w:eastAsia="bg-BG"/>
        </w:rPr>
        <w:t>При развитие на алергична реакция към цефазолин, лекарственият продукт трябва да бъде спрян и да се започне лечение с адреналин, антихистамини или кортикостероиди.</w:t>
      </w:r>
    </w:p>
    <w:p w14:paraId="30D5CC35" w14:textId="77777777" w:rsidR="00D455B6" w:rsidRPr="00D455B6" w:rsidRDefault="00D455B6" w:rsidP="00D455B6">
      <w:pPr>
        <w:spacing w:line="240" w:lineRule="auto"/>
        <w:rPr>
          <w:rFonts w:eastAsia="Times New Roman" w:cs="Arial"/>
          <w:lang w:eastAsia="bg-BG"/>
        </w:rPr>
      </w:pPr>
    </w:p>
    <w:p w14:paraId="1507D7BC" w14:textId="77777777" w:rsidR="00D455B6" w:rsidRPr="00D455B6" w:rsidRDefault="00D455B6" w:rsidP="00D455B6">
      <w:pPr>
        <w:spacing w:line="240" w:lineRule="auto"/>
        <w:rPr>
          <w:rFonts w:eastAsia="Times New Roman" w:cs="Arial"/>
          <w:lang w:eastAsia="bg-BG"/>
        </w:rPr>
      </w:pPr>
      <w:r w:rsidRPr="00D455B6">
        <w:rPr>
          <w:rFonts w:eastAsia="Times New Roman" w:cs="Arial"/>
          <w:color w:val="000000"/>
          <w:lang w:eastAsia="bg-BG"/>
        </w:rPr>
        <w:t>При пациенти с анамнеза за стомашно-чревно заболяване, особено колит, употребата на широкоспектърни антибиотици трябва да става с внимание.</w:t>
      </w:r>
    </w:p>
    <w:p w14:paraId="45E0D100" w14:textId="77777777" w:rsidR="00D455B6" w:rsidRDefault="00D455B6" w:rsidP="00D455B6">
      <w:pPr>
        <w:spacing w:line="240" w:lineRule="auto"/>
        <w:rPr>
          <w:rFonts w:eastAsia="Times New Roman" w:cs="Arial"/>
          <w:color w:val="000000"/>
          <w:lang w:eastAsia="bg-BG"/>
        </w:rPr>
      </w:pPr>
    </w:p>
    <w:p w14:paraId="68EC0FE6" w14:textId="51F883B0" w:rsidR="00D455B6" w:rsidRPr="00D455B6" w:rsidRDefault="00D455B6" w:rsidP="00D455B6">
      <w:pPr>
        <w:spacing w:line="240" w:lineRule="auto"/>
        <w:rPr>
          <w:rFonts w:eastAsia="Times New Roman" w:cs="Arial"/>
          <w:lang w:eastAsia="bg-BG"/>
        </w:rPr>
      </w:pPr>
      <w:r w:rsidRPr="00D455B6">
        <w:rPr>
          <w:rFonts w:eastAsia="Times New Roman" w:cs="Arial"/>
          <w:color w:val="000000"/>
          <w:lang w:eastAsia="bg-BG"/>
        </w:rPr>
        <w:t>Продължителната употреба на цефазолин може да доведе до свръхрастеж на нечувствителни микроорганизми; в случаите на такава суперинфекция, трябва да се вземат съответни мерки. Пациентите трябва внимателно да бъдат проследявани по време на продължително лечение за белези на суперинфекция.</w:t>
      </w:r>
    </w:p>
    <w:p w14:paraId="1AF794D9" w14:textId="77777777" w:rsidR="00D455B6" w:rsidRDefault="00D455B6" w:rsidP="00D455B6"/>
    <w:p w14:paraId="5F82DC78" w14:textId="77777777" w:rsidR="00D455B6" w:rsidRPr="00D455B6" w:rsidRDefault="00D455B6" w:rsidP="00D455B6">
      <w:pPr>
        <w:spacing w:line="240" w:lineRule="auto"/>
        <w:rPr>
          <w:rFonts w:eastAsia="Times New Roman" w:cs="Arial"/>
          <w:lang w:eastAsia="bg-BG"/>
        </w:rPr>
      </w:pPr>
      <w:r w:rsidRPr="00D455B6">
        <w:rPr>
          <w:rFonts w:eastAsia="Times New Roman" w:cs="Arial"/>
          <w:color w:val="000000"/>
          <w:lang w:eastAsia="bg-BG"/>
        </w:rPr>
        <w:t>При пациенти с увредена бъбречна функция е необходимо намаление на дозата с цел избягване на прояви на токсичност (вижте “Дозировка и начин на приложение”).</w:t>
      </w:r>
    </w:p>
    <w:p w14:paraId="71CB568B" w14:textId="77777777" w:rsidR="00D455B6" w:rsidRDefault="00D455B6" w:rsidP="00D455B6">
      <w:pPr>
        <w:spacing w:line="240" w:lineRule="auto"/>
        <w:rPr>
          <w:rFonts w:eastAsia="Times New Roman" w:cs="Arial"/>
          <w:color w:val="000000"/>
          <w:lang w:eastAsia="bg-BG"/>
        </w:rPr>
      </w:pPr>
    </w:p>
    <w:p w14:paraId="3A50C687" w14:textId="20F1A81E" w:rsidR="00D455B6" w:rsidRPr="00D455B6" w:rsidRDefault="00D455B6" w:rsidP="00D455B6">
      <w:pPr>
        <w:spacing w:line="240" w:lineRule="auto"/>
        <w:rPr>
          <w:rFonts w:eastAsia="Times New Roman" w:cs="Arial"/>
          <w:lang w:eastAsia="bg-BG"/>
        </w:rPr>
      </w:pPr>
      <w:r w:rsidRPr="00D455B6">
        <w:rPr>
          <w:rFonts w:eastAsia="Times New Roman" w:cs="Arial"/>
          <w:color w:val="000000"/>
          <w:lang w:eastAsia="bg-BG"/>
        </w:rPr>
        <w:t>Приложението на цефазолин интратекално не е одобрен начин на приложение. Докладвани са случаи на прояви на тежка токсичност от страна на ЦНС, включително гърчове, когато цефазолин е приложен по този начин.</w:t>
      </w:r>
    </w:p>
    <w:p w14:paraId="46074BBF" w14:textId="77777777" w:rsidR="00D455B6" w:rsidRDefault="00D455B6" w:rsidP="00D455B6">
      <w:pPr>
        <w:spacing w:line="240" w:lineRule="auto"/>
        <w:rPr>
          <w:rFonts w:eastAsia="Times New Roman" w:cs="Arial"/>
          <w:color w:val="000000"/>
          <w:lang w:eastAsia="bg-BG"/>
        </w:rPr>
      </w:pPr>
    </w:p>
    <w:p w14:paraId="47DD0834" w14:textId="1B8E8815" w:rsidR="00D455B6" w:rsidRPr="00D455B6" w:rsidRDefault="00D455B6" w:rsidP="00D455B6">
      <w:pPr>
        <w:spacing w:line="240" w:lineRule="auto"/>
        <w:rPr>
          <w:rFonts w:eastAsia="Times New Roman" w:cs="Arial"/>
          <w:lang w:eastAsia="bg-BG"/>
        </w:rPr>
      </w:pPr>
      <w:r w:rsidRPr="00D455B6">
        <w:rPr>
          <w:rFonts w:eastAsia="Times New Roman" w:cs="Arial"/>
          <w:color w:val="000000"/>
          <w:lang w:eastAsia="bg-BG"/>
        </w:rPr>
        <w:t xml:space="preserve">Всеки флакон с цефазолин от 1 </w:t>
      </w:r>
      <w:r w:rsidRPr="00D455B6">
        <w:rPr>
          <w:rFonts w:eastAsia="Times New Roman" w:cs="Arial"/>
          <w:color w:val="000000"/>
          <w:lang w:val="en-US"/>
        </w:rPr>
        <w:t xml:space="preserve">g </w:t>
      </w:r>
      <w:r w:rsidRPr="00D455B6">
        <w:rPr>
          <w:rFonts w:eastAsia="Times New Roman" w:cs="Arial"/>
          <w:color w:val="000000"/>
          <w:lang w:eastAsia="bg-BG"/>
        </w:rPr>
        <w:t xml:space="preserve">съдържа приблизително 2.1 </w:t>
      </w:r>
      <w:r w:rsidRPr="00D455B6">
        <w:rPr>
          <w:rFonts w:eastAsia="Times New Roman" w:cs="Arial"/>
          <w:color w:val="000000"/>
          <w:lang w:val="en-US"/>
        </w:rPr>
        <w:t xml:space="preserve">mmol </w:t>
      </w:r>
      <w:r w:rsidRPr="00D455B6">
        <w:rPr>
          <w:rFonts w:eastAsia="Times New Roman" w:cs="Arial"/>
          <w:color w:val="000000"/>
          <w:lang w:eastAsia="bg-BG"/>
        </w:rPr>
        <w:t>натрий.</w:t>
      </w:r>
    </w:p>
    <w:p w14:paraId="1FC7A1CB" w14:textId="77777777" w:rsidR="00D455B6" w:rsidRPr="00D455B6" w:rsidRDefault="00D455B6" w:rsidP="00D455B6"/>
    <w:p w14:paraId="1DA47448" w14:textId="381F54E1" w:rsidR="009F77A4" w:rsidRDefault="002C50EE" w:rsidP="00387A66">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1D89C94A" w14:textId="77777777" w:rsidR="00D455B6" w:rsidRDefault="00D455B6" w:rsidP="00D455B6"/>
    <w:p w14:paraId="2AAEF670" w14:textId="77777777" w:rsidR="00D455B6" w:rsidRPr="00D455B6" w:rsidRDefault="00D455B6" w:rsidP="00D455B6">
      <w:pPr>
        <w:spacing w:line="240" w:lineRule="auto"/>
        <w:rPr>
          <w:rFonts w:eastAsia="Times New Roman" w:cs="Arial"/>
          <w:lang w:eastAsia="bg-BG"/>
        </w:rPr>
      </w:pPr>
      <w:r w:rsidRPr="00D455B6">
        <w:rPr>
          <w:rFonts w:eastAsia="Times New Roman" w:cs="Arial"/>
          <w:i/>
          <w:iCs/>
          <w:color w:val="000000"/>
          <w:lang w:eastAsia="bg-BG"/>
        </w:rPr>
        <w:t>Лекарствени продукти</w:t>
      </w:r>
    </w:p>
    <w:p w14:paraId="1530EC26" w14:textId="77777777" w:rsidR="00D455B6" w:rsidRPr="00D455B6" w:rsidRDefault="00D455B6" w:rsidP="00D455B6">
      <w:pPr>
        <w:spacing w:line="240" w:lineRule="auto"/>
        <w:rPr>
          <w:rFonts w:eastAsia="Times New Roman" w:cs="Arial"/>
          <w:lang w:eastAsia="bg-BG"/>
        </w:rPr>
      </w:pPr>
      <w:r w:rsidRPr="00D455B6">
        <w:rPr>
          <w:rFonts w:eastAsia="Times New Roman" w:cs="Arial"/>
          <w:i/>
          <w:iCs/>
          <w:color w:val="000000"/>
          <w:lang w:eastAsia="bg-BG"/>
        </w:rPr>
        <w:t>Аминогликозиди:</w:t>
      </w:r>
      <w:r w:rsidRPr="00D455B6">
        <w:rPr>
          <w:rFonts w:eastAsia="Times New Roman" w:cs="Arial"/>
          <w:color w:val="000000"/>
          <w:lang w:eastAsia="bg-BG"/>
        </w:rPr>
        <w:t xml:space="preserve"> Съвместната употреба може да увеличи риска от нефротоксичност.</w:t>
      </w:r>
    </w:p>
    <w:p w14:paraId="10E02FE5" w14:textId="77777777" w:rsidR="00D455B6" w:rsidRPr="00D455B6" w:rsidRDefault="00D455B6" w:rsidP="00D455B6">
      <w:pPr>
        <w:spacing w:line="240" w:lineRule="auto"/>
        <w:rPr>
          <w:rFonts w:eastAsia="Times New Roman" w:cs="Arial"/>
          <w:lang w:eastAsia="bg-BG"/>
        </w:rPr>
      </w:pPr>
      <w:r w:rsidRPr="00D455B6">
        <w:rPr>
          <w:rFonts w:eastAsia="Times New Roman" w:cs="Arial"/>
          <w:i/>
          <w:iCs/>
          <w:color w:val="000000"/>
          <w:lang w:eastAsia="bg-BG"/>
        </w:rPr>
        <w:t>Перорални антикоагулантиг</w:t>
      </w:r>
      <w:r w:rsidRPr="00D455B6">
        <w:rPr>
          <w:rFonts w:eastAsia="Times New Roman" w:cs="Arial"/>
          <w:color w:val="000000"/>
          <w:lang w:eastAsia="bg-BG"/>
        </w:rPr>
        <w:t xml:space="preserve"> Съвместната употреба може да доведе до усилване на действието на оралните антикоагуланти. Приложението на цефалоспорини се свързва с намаляване на протромбиновата активност. Пациенти с риск са тези с увредена бъбречна и чернодробна функция, лошо хранене, а така също и тези получаващи продължително антибиотично лечение, както и пациентите на антикоагулантна терапия. </w:t>
      </w:r>
      <w:r w:rsidRPr="00D455B6">
        <w:rPr>
          <w:rFonts w:eastAsia="Times New Roman" w:cs="Arial"/>
          <w:color w:val="000000"/>
          <w:lang w:eastAsia="bg-BG"/>
        </w:rPr>
        <w:lastRenderedPageBreak/>
        <w:t>Необходимо е при рискови пациенти да бъде мониторирано протромбиновото време и при необходимост да се приложи витамин К.</w:t>
      </w:r>
    </w:p>
    <w:p w14:paraId="039A1F9D" w14:textId="77777777" w:rsidR="00D455B6" w:rsidRPr="00D455B6" w:rsidRDefault="00D455B6" w:rsidP="00D455B6">
      <w:pPr>
        <w:spacing w:line="240" w:lineRule="auto"/>
        <w:rPr>
          <w:rFonts w:eastAsia="Times New Roman" w:cs="Arial"/>
          <w:lang w:eastAsia="bg-BG"/>
        </w:rPr>
      </w:pPr>
      <w:r w:rsidRPr="00D455B6">
        <w:rPr>
          <w:rFonts w:eastAsia="Times New Roman" w:cs="Arial"/>
          <w:i/>
          <w:iCs/>
          <w:color w:val="000000"/>
          <w:lang w:eastAsia="bg-BG"/>
        </w:rPr>
        <w:t>Етакринова киселина:</w:t>
      </w:r>
      <w:r w:rsidRPr="00D455B6">
        <w:rPr>
          <w:rFonts w:eastAsia="Times New Roman" w:cs="Arial"/>
          <w:color w:val="000000"/>
          <w:lang w:eastAsia="bg-BG"/>
        </w:rPr>
        <w:t xml:space="preserve"> На базата на проучвания при животни съпътстващата употреба може да увеличи риска от развитие на бъбречна токсичност. Това може да се наблюдава при лечение с всеки мощен диуретик.</w:t>
      </w:r>
    </w:p>
    <w:p w14:paraId="4ABB7F16" w14:textId="77777777" w:rsidR="00D455B6" w:rsidRPr="00D455B6" w:rsidRDefault="00D455B6" w:rsidP="00D455B6">
      <w:pPr>
        <w:spacing w:line="240" w:lineRule="auto"/>
        <w:rPr>
          <w:rFonts w:eastAsia="Times New Roman" w:cs="Arial"/>
          <w:lang w:eastAsia="bg-BG"/>
        </w:rPr>
      </w:pPr>
      <w:r w:rsidRPr="00D455B6">
        <w:rPr>
          <w:rFonts w:eastAsia="Times New Roman" w:cs="Arial"/>
          <w:i/>
          <w:iCs/>
          <w:color w:val="000000"/>
          <w:lang w:eastAsia="bg-BG"/>
        </w:rPr>
        <w:t>Фуроземид:</w:t>
      </w:r>
      <w:r w:rsidRPr="00D455B6">
        <w:rPr>
          <w:rFonts w:eastAsia="Times New Roman" w:cs="Arial"/>
          <w:color w:val="000000"/>
          <w:lang w:eastAsia="bg-BG"/>
        </w:rPr>
        <w:t xml:space="preserve"> На базата на проучвания при животни съпътстващата употреба с цефазолин може да увеличи риска от развитие на бъбречна токсичност. Това може да се наблюдава при лечение с всеки мощен диуретик.</w:t>
      </w:r>
    </w:p>
    <w:p w14:paraId="1607398C" w14:textId="77777777" w:rsidR="00D455B6" w:rsidRPr="00D455B6" w:rsidRDefault="00D455B6" w:rsidP="00D455B6">
      <w:pPr>
        <w:spacing w:line="240" w:lineRule="auto"/>
        <w:rPr>
          <w:rFonts w:eastAsia="Times New Roman" w:cs="Arial"/>
          <w:lang w:eastAsia="bg-BG"/>
        </w:rPr>
      </w:pPr>
      <w:r w:rsidRPr="00D455B6">
        <w:rPr>
          <w:rFonts w:eastAsia="Times New Roman" w:cs="Arial"/>
          <w:i/>
          <w:iCs/>
          <w:color w:val="000000"/>
          <w:lang w:eastAsia="bg-BG"/>
        </w:rPr>
        <w:t>Пробенецид:</w:t>
      </w:r>
      <w:r w:rsidRPr="00D455B6">
        <w:rPr>
          <w:rFonts w:eastAsia="Times New Roman" w:cs="Arial"/>
          <w:color w:val="000000"/>
          <w:lang w:eastAsia="bg-BG"/>
        </w:rPr>
        <w:t xml:space="preserve"> Пробенецид може да потисне бъбречната тубулна секреция на цефалоспорините при съпътстваща употреба, което може да доведе до увеличаване на кръвните нива на цефазолин и пролонгиране на ефекта му.</w:t>
      </w:r>
    </w:p>
    <w:p w14:paraId="5EC31E1A" w14:textId="77777777" w:rsidR="00D455B6" w:rsidRDefault="00D455B6" w:rsidP="00D455B6">
      <w:pPr>
        <w:spacing w:line="240" w:lineRule="auto"/>
        <w:rPr>
          <w:rFonts w:eastAsia="Times New Roman" w:cs="Arial"/>
          <w:i/>
          <w:iCs/>
          <w:color w:val="000000"/>
          <w:lang w:eastAsia="bg-BG"/>
        </w:rPr>
      </w:pPr>
    </w:p>
    <w:p w14:paraId="2E377F6F" w14:textId="29E8B060" w:rsidR="00D455B6" w:rsidRPr="00D455B6" w:rsidRDefault="00D455B6" w:rsidP="00D455B6">
      <w:pPr>
        <w:spacing w:line="240" w:lineRule="auto"/>
        <w:rPr>
          <w:rFonts w:eastAsia="Times New Roman" w:cs="Arial"/>
          <w:lang w:eastAsia="bg-BG"/>
        </w:rPr>
      </w:pPr>
      <w:r w:rsidRPr="00D455B6">
        <w:rPr>
          <w:rFonts w:eastAsia="Times New Roman" w:cs="Arial"/>
          <w:i/>
          <w:iCs/>
          <w:color w:val="000000"/>
          <w:lang w:eastAsia="bg-BG"/>
        </w:rPr>
        <w:t>Лабораторни изследвания</w:t>
      </w:r>
    </w:p>
    <w:p w14:paraId="22209B6B" w14:textId="77777777" w:rsidR="00D455B6" w:rsidRPr="00D455B6" w:rsidRDefault="00D455B6" w:rsidP="00D455B6">
      <w:pPr>
        <w:spacing w:line="240" w:lineRule="auto"/>
        <w:rPr>
          <w:rFonts w:eastAsia="Times New Roman" w:cs="Arial"/>
          <w:lang w:eastAsia="bg-BG"/>
        </w:rPr>
      </w:pPr>
      <w:r w:rsidRPr="00D455B6">
        <w:rPr>
          <w:rFonts w:eastAsia="Times New Roman" w:cs="Arial"/>
          <w:color w:val="000000"/>
          <w:lang w:eastAsia="bg-BG"/>
        </w:rPr>
        <w:t>Тестовете за качествено доказване на глюкоза в урината с използване на разтвори на Бенедикт, Фелинг или таблетки меден сулфат могат да дадат фалшиво положителни резултати. Това не се случва при използване на методи, базирани на глюкозо-оксидазната реакция.</w:t>
      </w:r>
    </w:p>
    <w:p w14:paraId="57F72665" w14:textId="77777777" w:rsidR="00D455B6" w:rsidRPr="00D455B6" w:rsidRDefault="00D455B6" w:rsidP="00D455B6">
      <w:pPr>
        <w:spacing w:line="240" w:lineRule="auto"/>
        <w:rPr>
          <w:rFonts w:eastAsia="Times New Roman" w:cs="Arial"/>
          <w:lang w:eastAsia="bg-BG"/>
        </w:rPr>
      </w:pPr>
      <w:r w:rsidRPr="00D455B6">
        <w:rPr>
          <w:rFonts w:eastAsia="Times New Roman" w:cs="Arial"/>
          <w:color w:val="000000"/>
          <w:lang w:eastAsia="bg-BG"/>
        </w:rPr>
        <w:t>Може да се наблюдава позитивиране на директния и индиректния тест на Кумбс, това също може да се случи при новородени, когато на майката са прилагани цефалоспорини преди раждането.</w:t>
      </w:r>
    </w:p>
    <w:p w14:paraId="0FB5A470" w14:textId="77777777" w:rsidR="00D455B6" w:rsidRPr="00D455B6" w:rsidRDefault="00D455B6" w:rsidP="00D455B6"/>
    <w:p w14:paraId="48846BBA" w14:textId="2507FDE7" w:rsidR="009F77A4" w:rsidRDefault="002C50EE" w:rsidP="00387A66">
      <w:pPr>
        <w:pStyle w:val="Heading2"/>
      </w:pPr>
      <w:r>
        <w:t>4.6. Фертилитет, бременност и кърмене</w:t>
      </w:r>
    </w:p>
    <w:p w14:paraId="44FC1AE1" w14:textId="77777777" w:rsidR="00D455B6" w:rsidRDefault="00D455B6" w:rsidP="00D455B6"/>
    <w:p w14:paraId="2BF1AD00" w14:textId="77777777" w:rsidR="00D455B6" w:rsidRPr="00D455B6" w:rsidRDefault="00D455B6" w:rsidP="00D455B6">
      <w:pPr>
        <w:pStyle w:val="Heading3"/>
        <w:rPr>
          <w:rFonts w:eastAsia="Times New Roman"/>
          <w:u w:val="single"/>
          <w:lang w:eastAsia="bg-BG"/>
        </w:rPr>
      </w:pPr>
      <w:r w:rsidRPr="00D455B6">
        <w:rPr>
          <w:rFonts w:eastAsia="Times New Roman"/>
          <w:u w:val="single"/>
          <w:lang w:eastAsia="bg-BG"/>
        </w:rPr>
        <w:t>Бременност</w:t>
      </w:r>
    </w:p>
    <w:p w14:paraId="7186B024" w14:textId="77777777" w:rsidR="00D455B6" w:rsidRPr="00D455B6" w:rsidRDefault="00D455B6" w:rsidP="00D455B6">
      <w:pPr>
        <w:spacing w:line="240" w:lineRule="auto"/>
        <w:rPr>
          <w:rFonts w:eastAsia="Times New Roman" w:cs="Arial"/>
          <w:lang w:eastAsia="bg-BG"/>
        </w:rPr>
      </w:pPr>
      <w:r w:rsidRPr="00D455B6">
        <w:rPr>
          <w:rFonts w:eastAsia="Times New Roman" w:cs="Arial"/>
          <w:color w:val="000000"/>
          <w:lang w:eastAsia="bg-BG"/>
        </w:rPr>
        <w:t>Няма достатъчен брой и добре контролирани проучвания при бременни жени. От проучвания при животни няма данни за влияние върху фертилитета или тератогенност. Ако се употребява по време на бременност, трябва да се прави с внимание. В случаите, когато цефазолин е приложен непосредствено преди цезарово сечение, нивото му в кръв от пъпната връв са били 25-33% от нивото му в кръвта на майката. Изглежда, че приложението на лекарственият продукт не води до поява на нежелани лекарствени реакции при плода.</w:t>
      </w:r>
    </w:p>
    <w:p w14:paraId="21224564" w14:textId="77777777" w:rsidR="00D455B6" w:rsidRDefault="00D455B6" w:rsidP="00D455B6">
      <w:pPr>
        <w:spacing w:line="240" w:lineRule="auto"/>
        <w:rPr>
          <w:rFonts w:eastAsia="Times New Roman" w:cs="Arial"/>
          <w:color w:val="000000"/>
          <w:u w:val="single"/>
          <w:lang w:eastAsia="bg-BG"/>
        </w:rPr>
      </w:pPr>
    </w:p>
    <w:p w14:paraId="5720386F" w14:textId="2C039971" w:rsidR="00D455B6" w:rsidRPr="00D455B6" w:rsidRDefault="00D455B6" w:rsidP="00D455B6">
      <w:pPr>
        <w:pStyle w:val="Heading3"/>
        <w:rPr>
          <w:rFonts w:eastAsia="Times New Roman"/>
          <w:u w:val="single"/>
          <w:lang w:eastAsia="bg-BG"/>
        </w:rPr>
      </w:pPr>
      <w:r w:rsidRPr="00D455B6">
        <w:rPr>
          <w:rFonts w:eastAsia="Times New Roman"/>
          <w:u w:val="single"/>
          <w:lang w:eastAsia="bg-BG"/>
        </w:rPr>
        <w:t>Кърмене</w:t>
      </w:r>
    </w:p>
    <w:p w14:paraId="128B23E4" w14:textId="0A21CEC6" w:rsidR="00D455B6" w:rsidRDefault="00D455B6" w:rsidP="00D455B6">
      <w:pPr>
        <w:rPr>
          <w:rFonts w:eastAsia="Times New Roman" w:cs="Arial"/>
          <w:color w:val="000000"/>
          <w:lang w:eastAsia="bg-BG"/>
        </w:rPr>
      </w:pPr>
      <w:r w:rsidRPr="00D455B6">
        <w:rPr>
          <w:rFonts w:eastAsia="Times New Roman" w:cs="Arial"/>
          <w:color w:val="000000"/>
          <w:lang w:eastAsia="bg-BG"/>
        </w:rPr>
        <w:t>В кърмата са установени много ниски концентрации на цефазолин, ето защо при жени, които кърмят цефазолин трябва да се прилага изключително предпазливо след оценка на съотношението полза/ риск. Препоръчително е кърменето да бъде преустановено</w:t>
      </w:r>
    </w:p>
    <w:p w14:paraId="653730EF" w14:textId="77777777" w:rsidR="00D455B6" w:rsidRPr="00D455B6" w:rsidRDefault="00D455B6" w:rsidP="00D455B6">
      <w:pPr>
        <w:rPr>
          <w:rFonts w:cs="Arial"/>
        </w:rPr>
      </w:pPr>
    </w:p>
    <w:p w14:paraId="321AAB00" w14:textId="3EA4494E" w:rsidR="009F77A4" w:rsidRDefault="002C50EE" w:rsidP="00387A66">
      <w:pPr>
        <w:pStyle w:val="Heading2"/>
      </w:pPr>
      <w:r>
        <w:t>4.7. Ефекти върху способността за шофиране и работа с машини</w:t>
      </w:r>
    </w:p>
    <w:p w14:paraId="76268A52" w14:textId="77777777" w:rsidR="00D455B6" w:rsidRDefault="00D455B6" w:rsidP="00D455B6"/>
    <w:p w14:paraId="5F299157" w14:textId="00587F54" w:rsidR="00D455B6" w:rsidRDefault="00D455B6" w:rsidP="00D455B6">
      <w:pPr>
        <w:rPr>
          <w:lang w:eastAsia="bg-BG"/>
        </w:rPr>
      </w:pPr>
      <w:r w:rsidRPr="00D455B6">
        <w:rPr>
          <w:lang w:eastAsia="bg-BG"/>
        </w:rPr>
        <w:t>Неприложимо.</w:t>
      </w:r>
    </w:p>
    <w:p w14:paraId="103598E6" w14:textId="77777777" w:rsidR="00D455B6" w:rsidRPr="00D455B6" w:rsidRDefault="00D455B6" w:rsidP="00D455B6">
      <w:pPr>
        <w:rPr>
          <w:sz w:val="24"/>
          <w:szCs w:val="24"/>
          <w:lang w:eastAsia="bg-BG"/>
        </w:rPr>
      </w:pPr>
    </w:p>
    <w:p w14:paraId="136C86B8" w14:textId="3F9D0CA1" w:rsidR="009F77A4" w:rsidRDefault="002C50EE" w:rsidP="00387A66">
      <w:pPr>
        <w:pStyle w:val="Heading2"/>
      </w:pPr>
      <w:r>
        <w:t>4.8. Нежелани лекарствени реакции</w:t>
      </w:r>
    </w:p>
    <w:p w14:paraId="631F47AA" w14:textId="77777777" w:rsidR="00D455B6" w:rsidRDefault="00D455B6" w:rsidP="00D455B6"/>
    <w:p w14:paraId="3E22AA55" w14:textId="77777777" w:rsidR="00D455B6" w:rsidRPr="00D455B6" w:rsidRDefault="00D455B6" w:rsidP="00D455B6">
      <w:pPr>
        <w:spacing w:line="240" w:lineRule="auto"/>
        <w:rPr>
          <w:rFonts w:eastAsia="Times New Roman" w:cs="Arial"/>
          <w:lang w:eastAsia="bg-BG"/>
        </w:rPr>
      </w:pPr>
      <w:r w:rsidRPr="00D455B6">
        <w:rPr>
          <w:rFonts w:eastAsia="Times New Roman" w:cs="Arial"/>
          <w:color w:val="000000"/>
          <w:lang w:eastAsia="bg-BG"/>
        </w:rPr>
        <w:t xml:space="preserve">НЛР са посочени по-долу съгласно </w:t>
      </w:r>
      <w:r w:rsidRPr="00D455B6">
        <w:rPr>
          <w:rFonts w:eastAsia="Times New Roman" w:cs="Arial"/>
          <w:color w:val="000000"/>
          <w:lang w:val="en-US"/>
        </w:rPr>
        <w:t xml:space="preserve">MedDRA </w:t>
      </w:r>
      <w:r w:rsidRPr="00D455B6">
        <w:rPr>
          <w:rFonts w:eastAsia="Times New Roman" w:cs="Arial"/>
          <w:color w:val="000000"/>
          <w:lang w:eastAsia="bg-BG"/>
        </w:rPr>
        <w:t>база данни на системо-органните класове и честота. Честотите се определят като: много чести (&gt;1/10); чести (&gt;1/100, &lt;1/10); нечести (&gt;1/1,000, &lt;1/100); редки (&gt;1/10,000, &lt;1/1,000); много редки (&lt;1/10,000), включително отделни съобщения и с неизвестна честота (не може да бъде направена оценка от наличните данни).</w:t>
      </w:r>
    </w:p>
    <w:p w14:paraId="327ED816" w14:textId="77777777" w:rsidR="00D455B6" w:rsidRDefault="00D455B6" w:rsidP="00D455B6">
      <w:pPr>
        <w:spacing w:line="240" w:lineRule="auto"/>
        <w:rPr>
          <w:rFonts w:eastAsia="Times New Roman" w:cs="Arial"/>
          <w:color w:val="000000"/>
          <w:lang w:eastAsia="bg-BG"/>
        </w:rPr>
      </w:pPr>
    </w:p>
    <w:p w14:paraId="52ED5771" w14:textId="4BDB2DF4" w:rsidR="00D455B6" w:rsidRPr="00D455B6" w:rsidRDefault="00D455B6" w:rsidP="00D455B6">
      <w:pPr>
        <w:spacing w:line="240" w:lineRule="auto"/>
        <w:rPr>
          <w:rFonts w:eastAsia="Times New Roman" w:cs="Arial"/>
          <w:lang w:eastAsia="bg-BG"/>
        </w:rPr>
      </w:pPr>
      <w:r w:rsidRPr="00D455B6">
        <w:rPr>
          <w:rFonts w:eastAsia="Times New Roman" w:cs="Arial"/>
          <w:color w:val="000000"/>
          <w:lang w:eastAsia="bg-BG"/>
        </w:rPr>
        <w:t>Въпреки, че като цяло се понася добре са съобщени следните нежелани реакции:</w:t>
      </w:r>
    </w:p>
    <w:p w14:paraId="47169761" w14:textId="77777777" w:rsidR="00D455B6" w:rsidRDefault="00D455B6" w:rsidP="00D455B6">
      <w:pPr>
        <w:spacing w:line="240" w:lineRule="auto"/>
        <w:rPr>
          <w:rFonts w:eastAsia="Times New Roman" w:cs="Arial"/>
          <w:b/>
          <w:bCs/>
          <w:color w:val="000000"/>
          <w:lang w:eastAsia="bg-BG"/>
        </w:rPr>
      </w:pPr>
      <w:bookmarkStart w:id="1" w:name="bookmark0"/>
    </w:p>
    <w:p w14:paraId="76407EB6" w14:textId="473493CA" w:rsidR="00D455B6" w:rsidRPr="00D455B6" w:rsidRDefault="00D455B6" w:rsidP="00D455B6">
      <w:pPr>
        <w:spacing w:line="240" w:lineRule="auto"/>
        <w:rPr>
          <w:rFonts w:eastAsia="Times New Roman" w:cs="Arial"/>
          <w:lang w:eastAsia="bg-BG"/>
        </w:rPr>
      </w:pPr>
      <w:r w:rsidRPr="00D455B6">
        <w:rPr>
          <w:rFonts w:eastAsia="Times New Roman" w:cs="Arial"/>
          <w:b/>
          <w:bCs/>
          <w:color w:val="000000"/>
          <w:lang w:eastAsia="bg-BG"/>
        </w:rPr>
        <w:t>Общи нарушения и ефекти на мястото на приложение</w:t>
      </w:r>
      <w:bookmarkEnd w:id="1"/>
    </w:p>
    <w:p w14:paraId="234A0534" w14:textId="77777777" w:rsidR="00D455B6" w:rsidRPr="00D455B6" w:rsidRDefault="00D455B6" w:rsidP="00D455B6">
      <w:pPr>
        <w:spacing w:line="240" w:lineRule="auto"/>
        <w:rPr>
          <w:rFonts w:eastAsia="Times New Roman" w:cs="Arial"/>
          <w:lang w:eastAsia="bg-BG"/>
        </w:rPr>
      </w:pPr>
      <w:r w:rsidRPr="00D455B6">
        <w:rPr>
          <w:rFonts w:eastAsia="Times New Roman" w:cs="Arial"/>
          <w:i/>
          <w:iCs/>
          <w:color w:val="000000"/>
          <w:lang w:eastAsia="bg-BG"/>
        </w:rPr>
        <w:t>Нечести:</w:t>
      </w:r>
      <w:r w:rsidRPr="00D455B6">
        <w:rPr>
          <w:rFonts w:eastAsia="Times New Roman" w:cs="Arial"/>
          <w:color w:val="000000"/>
          <w:lang w:eastAsia="bg-BG"/>
        </w:rPr>
        <w:t xml:space="preserve"> болка, в някои случаи съпътствана от индурация, след интрамускулна инжекция.</w:t>
      </w:r>
    </w:p>
    <w:p w14:paraId="69B663BF" w14:textId="77777777" w:rsidR="00D455B6" w:rsidRPr="00D455B6" w:rsidRDefault="00D455B6" w:rsidP="00D455B6">
      <w:pPr>
        <w:spacing w:line="240" w:lineRule="auto"/>
        <w:rPr>
          <w:rFonts w:eastAsia="Times New Roman" w:cs="Arial"/>
          <w:lang w:eastAsia="bg-BG"/>
        </w:rPr>
      </w:pPr>
      <w:r w:rsidRPr="00D455B6">
        <w:rPr>
          <w:rFonts w:eastAsia="Times New Roman" w:cs="Arial"/>
          <w:i/>
          <w:iCs/>
          <w:color w:val="000000"/>
          <w:lang w:eastAsia="bg-BG"/>
        </w:rPr>
        <w:t>Редки:</w:t>
      </w:r>
      <w:r w:rsidRPr="00D455B6">
        <w:rPr>
          <w:rFonts w:eastAsia="Times New Roman" w:cs="Arial"/>
          <w:color w:val="000000"/>
          <w:lang w:eastAsia="bg-BG"/>
        </w:rPr>
        <w:t xml:space="preserve"> флебит на мястото на инжектиране след интравенозно приложение.</w:t>
      </w:r>
    </w:p>
    <w:p w14:paraId="2E1FBD97" w14:textId="77777777" w:rsidR="00D455B6" w:rsidRDefault="00D455B6" w:rsidP="00D455B6">
      <w:pPr>
        <w:spacing w:line="240" w:lineRule="auto"/>
        <w:rPr>
          <w:rFonts w:eastAsia="Times New Roman" w:cs="Arial"/>
          <w:b/>
          <w:bCs/>
          <w:color w:val="000000"/>
          <w:lang w:eastAsia="bg-BG"/>
        </w:rPr>
      </w:pPr>
      <w:bookmarkStart w:id="2" w:name="bookmark2"/>
    </w:p>
    <w:p w14:paraId="151D77A6" w14:textId="48BA4CC3" w:rsidR="00D455B6" w:rsidRPr="00D455B6" w:rsidRDefault="00D455B6" w:rsidP="00D455B6">
      <w:pPr>
        <w:spacing w:line="240" w:lineRule="auto"/>
        <w:rPr>
          <w:rFonts w:eastAsia="Times New Roman" w:cs="Arial"/>
          <w:lang w:eastAsia="bg-BG"/>
        </w:rPr>
      </w:pPr>
      <w:r w:rsidRPr="00D455B6">
        <w:rPr>
          <w:rFonts w:eastAsia="Times New Roman" w:cs="Arial"/>
          <w:b/>
          <w:bCs/>
          <w:color w:val="000000"/>
          <w:lang w:eastAsia="bg-BG"/>
        </w:rPr>
        <w:t>Стомашно-чревни нарушения</w:t>
      </w:r>
      <w:bookmarkEnd w:id="2"/>
    </w:p>
    <w:p w14:paraId="2683C5F1" w14:textId="77777777" w:rsidR="00D455B6" w:rsidRPr="00D455B6" w:rsidRDefault="00D455B6" w:rsidP="00D455B6">
      <w:pPr>
        <w:spacing w:line="240" w:lineRule="auto"/>
        <w:rPr>
          <w:rFonts w:eastAsia="Times New Roman" w:cs="Arial"/>
          <w:lang w:eastAsia="bg-BG"/>
        </w:rPr>
      </w:pPr>
      <w:r w:rsidRPr="00D455B6">
        <w:rPr>
          <w:rFonts w:eastAsia="Times New Roman" w:cs="Arial"/>
          <w:i/>
          <w:iCs/>
          <w:color w:val="000000"/>
          <w:lang w:eastAsia="bg-BG"/>
        </w:rPr>
        <w:t>Редки:</w:t>
      </w:r>
      <w:r w:rsidRPr="00D455B6">
        <w:rPr>
          <w:rFonts w:eastAsia="Times New Roman" w:cs="Arial"/>
          <w:color w:val="000000"/>
          <w:lang w:eastAsia="bg-BG"/>
        </w:rPr>
        <w:t xml:space="preserve"> гадене и повръщане.</w:t>
      </w:r>
    </w:p>
    <w:p w14:paraId="284D6F97" w14:textId="77777777" w:rsidR="00D455B6" w:rsidRPr="00D455B6" w:rsidRDefault="00D455B6" w:rsidP="00D455B6">
      <w:pPr>
        <w:spacing w:line="240" w:lineRule="auto"/>
        <w:rPr>
          <w:rFonts w:eastAsia="Times New Roman" w:cs="Arial"/>
          <w:lang w:eastAsia="bg-BG"/>
        </w:rPr>
      </w:pPr>
      <w:r w:rsidRPr="00D455B6">
        <w:rPr>
          <w:rFonts w:eastAsia="Times New Roman" w:cs="Arial"/>
          <w:i/>
          <w:iCs/>
          <w:color w:val="000000"/>
          <w:lang w:eastAsia="bg-BG"/>
        </w:rPr>
        <w:t>С неизвестна честота:</w:t>
      </w:r>
      <w:r w:rsidRPr="00D455B6">
        <w:rPr>
          <w:rFonts w:eastAsia="Times New Roman" w:cs="Arial"/>
          <w:color w:val="000000"/>
          <w:lang w:eastAsia="bg-BG"/>
        </w:rPr>
        <w:t xml:space="preserve"> по време на или след лечението могат да се наблюдават симптоми на псевдомембранозен колит. Съобщавани са анорексия, диария и орална кандидоза.</w:t>
      </w:r>
    </w:p>
    <w:p w14:paraId="633979BB" w14:textId="77777777" w:rsidR="00D455B6" w:rsidRDefault="00D455B6" w:rsidP="00D455B6">
      <w:pPr>
        <w:spacing w:line="240" w:lineRule="auto"/>
        <w:rPr>
          <w:rFonts w:eastAsia="Times New Roman" w:cs="Arial"/>
          <w:b/>
          <w:bCs/>
          <w:color w:val="000000"/>
          <w:lang w:eastAsia="bg-BG"/>
        </w:rPr>
      </w:pPr>
      <w:bookmarkStart w:id="3" w:name="bookmark4"/>
    </w:p>
    <w:p w14:paraId="3DBEC0CF" w14:textId="12B92126" w:rsidR="00D455B6" w:rsidRPr="00D455B6" w:rsidRDefault="00D455B6" w:rsidP="00D455B6">
      <w:pPr>
        <w:spacing w:line="240" w:lineRule="auto"/>
        <w:rPr>
          <w:rFonts w:eastAsia="Times New Roman" w:cs="Arial"/>
          <w:lang w:eastAsia="bg-BG"/>
        </w:rPr>
      </w:pPr>
      <w:r w:rsidRPr="00D455B6">
        <w:rPr>
          <w:rFonts w:eastAsia="Times New Roman" w:cs="Arial"/>
          <w:b/>
          <w:bCs/>
          <w:color w:val="000000"/>
          <w:lang w:eastAsia="bg-BG"/>
        </w:rPr>
        <w:t>Нарушения на възпроизводителната система и гърдата</w:t>
      </w:r>
      <w:bookmarkEnd w:id="3"/>
    </w:p>
    <w:p w14:paraId="59F78D94" w14:textId="77777777" w:rsidR="00D455B6" w:rsidRPr="00D455B6" w:rsidRDefault="00D455B6" w:rsidP="00D455B6">
      <w:pPr>
        <w:spacing w:line="240" w:lineRule="auto"/>
        <w:rPr>
          <w:rFonts w:eastAsia="Times New Roman" w:cs="Arial"/>
          <w:lang w:eastAsia="bg-BG"/>
        </w:rPr>
      </w:pPr>
      <w:r w:rsidRPr="00D455B6">
        <w:rPr>
          <w:rFonts w:eastAsia="Times New Roman" w:cs="Arial"/>
          <w:i/>
          <w:iCs/>
          <w:color w:val="000000"/>
          <w:lang w:eastAsia="bg-BG"/>
        </w:rPr>
        <w:t>С неизвестна честота:</w:t>
      </w:r>
      <w:r w:rsidRPr="00D455B6">
        <w:rPr>
          <w:rFonts w:eastAsia="Times New Roman" w:cs="Arial"/>
          <w:color w:val="000000"/>
          <w:lang w:eastAsia="bg-BG"/>
        </w:rPr>
        <w:t xml:space="preserve"> случаи на генитален и анален пруритус, генитална кандидоза и вагинит.</w:t>
      </w:r>
    </w:p>
    <w:p w14:paraId="2B41572F" w14:textId="77777777" w:rsidR="00D455B6" w:rsidRDefault="00D455B6" w:rsidP="00D455B6">
      <w:pPr>
        <w:spacing w:line="240" w:lineRule="auto"/>
        <w:rPr>
          <w:rFonts w:eastAsia="Times New Roman" w:cs="Arial"/>
          <w:b/>
          <w:bCs/>
          <w:color w:val="000000"/>
          <w:lang w:eastAsia="bg-BG"/>
        </w:rPr>
      </w:pPr>
      <w:bookmarkStart w:id="4" w:name="bookmark6"/>
    </w:p>
    <w:p w14:paraId="08FF5271" w14:textId="2EFFED5A" w:rsidR="00D455B6" w:rsidRPr="00D455B6" w:rsidRDefault="00D455B6" w:rsidP="00D455B6">
      <w:pPr>
        <w:spacing w:line="240" w:lineRule="auto"/>
        <w:rPr>
          <w:rFonts w:eastAsia="Times New Roman" w:cs="Arial"/>
          <w:lang w:eastAsia="bg-BG"/>
        </w:rPr>
      </w:pPr>
      <w:r w:rsidRPr="00D455B6">
        <w:rPr>
          <w:rFonts w:eastAsia="Times New Roman" w:cs="Arial"/>
          <w:b/>
          <w:bCs/>
          <w:color w:val="000000"/>
          <w:lang w:eastAsia="bg-BG"/>
        </w:rPr>
        <w:t>Нарушения на кръвта и лимфната система</w:t>
      </w:r>
      <w:bookmarkEnd w:id="4"/>
    </w:p>
    <w:p w14:paraId="460A6D33" w14:textId="77777777" w:rsidR="00D455B6" w:rsidRPr="00D455B6" w:rsidRDefault="00D455B6" w:rsidP="00D455B6">
      <w:pPr>
        <w:spacing w:line="240" w:lineRule="auto"/>
        <w:rPr>
          <w:rFonts w:eastAsia="Times New Roman" w:cs="Arial"/>
          <w:lang w:eastAsia="bg-BG"/>
        </w:rPr>
      </w:pPr>
      <w:r w:rsidRPr="00D455B6">
        <w:rPr>
          <w:rFonts w:eastAsia="Times New Roman" w:cs="Arial"/>
          <w:i/>
          <w:iCs/>
          <w:color w:val="000000"/>
          <w:lang w:eastAsia="bg-BG"/>
        </w:rPr>
        <w:t>С неизвестна честота:</w:t>
      </w:r>
      <w:r w:rsidRPr="00D455B6">
        <w:rPr>
          <w:rFonts w:eastAsia="Times New Roman" w:cs="Arial"/>
          <w:color w:val="000000"/>
          <w:lang w:eastAsia="bg-BG"/>
        </w:rPr>
        <w:t xml:space="preserve"> положителен директен и индиректен тест на Кумбс, левкопения, неутропения, тромбоцитопения, тромбоцитоза.</w:t>
      </w:r>
    </w:p>
    <w:p w14:paraId="005FD5FB" w14:textId="77777777" w:rsidR="00D455B6" w:rsidRDefault="00D455B6" w:rsidP="00D455B6">
      <w:pPr>
        <w:spacing w:line="240" w:lineRule="auto"/>
        <w:rPr>
          <w:rFonts w:eastAsia="Times New Roman" w:cs="Arial"/>
          <w:b/>
          <w:bCs/>
          <w:color w:val="000000"/>
          <w:lang w:eastAsia="bg-BG"/>
        </w:rPr>
      </w:pPr>
      <w:bookmarkStart w:id="5" w:name="bookmark8"/>
    </w:p>
    <w:p w14:paraId="190C278E" w14:textId="04BA767A" w:rsidR="00D455B6" w:rsidRPr="00D455B6" w:rsidRDefault="00D455B6" w:rsidP="00D455B6">
      <w:pPr>
        <w:spacing w:line="240" w:lineRule="auto"/>
        <w:rPr>
          <w:rFonts w:eastAsia="Times New Roman" w:cs="Arial"/>
          <w:lang w:eastAsia="bg-BG"/>
        </w:rPr>
      </w:pPr>
      <w:r w:rsidRPr="00D455B6">
        <w:rPr>
          <w:rFonts w:eastAsia="Times New Roman" w:cs="Arial"/>
          <w:b/>
          <w:bCs/>
          <w:color w:val="000000"/>
          <w:lang w:eastAsia="bg-BG"/>
        </w:rPr>
        <w:t>Хепатобилиарнн нарушения</w:t>
      </w:r>
      <w:bookmarkEnd w:id="5"/>
    </w:p>
    <w:p w14:paraId="025626E4" w14:textId="77777777" w:rsidR="00D455B6" w:rsidRPr="00D455B6" w:rsidRDefault="00D455B6" w:rsidP="00D455B6">
      <w:pPr>
        <w:spacing w:line="240" w:lineRule="auto"/>
        <w:rPr>
          <w:rFonts w:eastAsia="Times New Roman" w:cs="Arial"/>
          <w:lang w:eastAsia="bg-BG"/>
        </w:rPr>
      </w:pPr>
      <w:r w:rsidRPr="00D455B6">
        <w:rPr>
          <w:rFonts w:eastAsia="Times New Roman" w:cs="Arial"/>
          <w:i/>
          <w:iCs/>
          <w:color w:val="000000"/>
          <w:lang w:eastAsia="bg-BG"/>
        </w:rPr>
        <w:t>Редки:</w:t>
      </w:r>
      <w:r w:rsidRPr="00D455B6">
        <w:rPr>
          <w:rFonts w:eastAsia="Times New Roman" w:cs="Arial"/>
          <w:color w:val="000000"/>
          <w:lang w:eastAsia="bg-BG"/>
        </w:rPr>
        <w:t xml:space="preserve"> преходно повишение на нивата на алкална фосфатаза, алалинин аминотрансфераза и аспартат трансаминаза. Има редки съобщения за транзиторна холестатична жълтеница и хепатит.</w:t>
      </w:r>
    </w:p>
    <w:p w14:paraId="680F119F" w14:textId="77777777" w:rsidR="00D455B6" w:rsidRDefault="00D455B6" w:rsidP="00D455B6">
      <w:pPr>
        <w:spacing w:line="240" w:lineRule="auto"/>
        <w:rPr>
          <w:rFonts w:eastAsia="Times New Roman" w:cs="Arial"/>
          <w:b/>
          <w:bCs/>
          <w:color w:val="000000"/>
          <w:lang w:eastAsia="bg-BG"/>
        </w:rPr>
      </w:pPr>
      <w:bookmarkStart w:id="6" w:name="bookmark10"/>
    </w:p>
    <w:p w14:paraId="3E1EA410" w14:textId="77A09F60" w:rsidR="00D455B6" w:rsidRPr="00D455B6" w:rsidRDefault="00D455B6" w:rsidP="00D455B6">
      <w:pPr>
        <w:spacing w:line="240" w:lineRule="auto"/>
        <w:rPr>
          <w:rFonts w:eastAsia="Times New Roman" w:cs="Arial"/>
          <w:lang w:eastAsia="bg-BG"/>
        </w:rPr>
      </w:pPr>
      <w:r w:rsidRPr="00D455B6">
        <w:rPr>
          <w:rFonts w:eastAsia="Times New Roman" w:cs="Arial"/>
          <w:b/>
          <w:bCs/>
          <w:color w:val="000000"/>
          <w:lang w:eastAsia="bg-BG"/>
        </w:rPr>
        <w:t>Нарушения на имунната система</w:t>
      </w:r>
      <w:bookmarkEnd w:id="6"/>
    </w:p>
    <w:p w14:paraId="3888CC3D" w14:textId="77777777" w:rsidR="00D455B6" w:rsidRPr="00D455B6" w:rsidRDefault="00D455B6" w:rsidP="00D455B6">
      <w:pPr>
        <w:spacing w:line="240" w:lineRule="auto"/>
        <w:rPr>
          <w:rFonts w:eastAsia="Times New Roman" w:cs="Arial"/>
          <w:lang w:eastAsia="bg-BG"/>
        </w:rPr>
      </w:pPr>
      <w:r w:rsidRPr="00D455B6">
        <w:rPr>
          <w:rFonts w:eastAsia="Times New Roman" w:cs="Arial"/>
          <w:i/>
          <w:iCs/>
          <w:color w:val="000000"/>
          <w:lang w:eastAsia="bg-BG"/>
        </w:rPr>
        <w:t>С неизвестна честота:</w:t>
      </w:r>
      <w:r w:rsidRPr="00D455B6">
        <w:rPr>
          <w:rFonts w:eastAsia="Times New Roman" w:cs="Arial"/>
          <w:color w:val="000000"/>
          <w:lang w:eastAsia="bg-BG"/>
        </w:rPr>
        <w:t xml:space="preserve"> анафилаксия, лекарствена треска, еозинофилия, обрив и сърбеж на вулвата.</w:t>
      </w:r>
    </w:p>
    <w:p w14:paraId="6ED33198" w14:textId="77777777" w:rsidR="00D455B6" w:rsidRDefault="00D455B6" w:rsidP="00D455B6">
      <w:pPr>
        <w:spacing w:line="240" w:lineRule="auto"/>
        <w:rPr>
          <w:rFonts w:eastAsia="Times New Roman" w:cs="Arial"/>
          <w:b/>
          <w:bCs/>
          <w:color w:val="000000"/>
          <w:lang w:eastAsia="bg-BG"/>
        </w:rPr>
      </w:pPr>
      <w:bookmarkStart w:id="7" w:name="bookmark12"/>
    </w:p>
    <w:p w14:paraId="73100325" w14:textId="2523F0A2" w:rsidR="00D455B6" w:rsidRPr="00D455B6" w:rsidRDefault="00D455B6" w:rsidP="00D455B6">
      <w:pPr>
        <w:spacing w:line="240" w:lineRule="auto"/>
        <w:rPr>
          <w:rFonts w:eastAsia="Times New Roman" w:cs="Arial"/>
          <w:lang w:eastAsia="bg-BG"/>
        </w:rPr>
      </w:pPr>
      <w:r w:rsidRPr="00D455B6">
        <w:rPr>
          <w:rFonts w:eastAsia="Times New Roman" w:cs="Arial"/>
          <w:b/>
          <w:bCs/>
          <w:color w:val="000000"/>
          <w:lang w:eastAsia="bg-BG"/>
        </w:rPr>
        <w:t>Нарушения на нервната система</w:t>
      </w:r>
      <w:bookmarkEnd w:id="7"/>
    </w:p>
    <w:p w14:paraId="48558B1E" w14:textId="77777777" w:rsidR="00D455B6" w:rsidRPr="00D455B6" w:rsidRDefault="00D455B6" w:rsidP="00D455B6">
      <w:pPr>
        <w:spacing w:line="240" w:lineRule="auto"/>
        <w:rPr>
          <w:rFonts w:eastAsia="Times New Roman" w:cs="Arial"/>
          <w:lang w:eastAsia="bg-BG"/>
        </w:rPr>
      </w:pPr>
      <w:r w:rsidRPr="00D455B6">
        <w:rPr>
          <w:rFonts w:eastAsia="Times New Roman" w:cs="Arial"/>
          <w:i/>
          <w:iCs/>
          <w:color w:val="000000"/>
          <w:lang w:eastAsia="bg-BG"/>
        </w:rPr>
        <w:t>С неизвестна честота:</w:t>
      </w:r>
      <w:r w:rsidRPr="00D455B6">
        <w:rPr>
          <w:rFonts w:eastAsia="Times New Roman" w:cs="Arial"/>
          <w:color w:val="000000"/>
          <w:lang w:eastAsia="bg-BG"/>
        </w:rPr>
        <w:t xml:space="preserve"> изолирани съобщения за гърчове, често свързани с приложението на високи дози при тежко увредена бъбречна функция.</w:t>
      </w:r>
    </w:p>
    <w:p w14:paraId="413AEC4C" w14:textId="77777777" w:rsidR="00D455B6" w:rsidRDefault="00D455B6" w:rsidP="00D455B6">
      <w:pPr>
        <w:spacing w:line="240" w:lineRule="auto"/>
        <w:rPr>
          <w:rFonts w:eastAsia="Times New Roman" w:cs="Arial"/>
          <w:b/>
          <w:bCs/>
          <w:color w:val="000000"/>
          <w:lang w:eastAsia="bg-BG"/>
        </w:rPr>
      </w:pPr>
      <w:bookmarkStart w:id="8" w:name="bookmark14"/>
    </w:p>
    <w:p w14:paraId="14C6CE4D" w14:textId="37227DA5" w:rsidR="00D455B6" w:rsidRPr="00D455B6" w:rsidRDefault="00D455B6" w:rsidP="00D455B6">
      <w:pPr>
        <w:spacing w:line="240" w:lineRule="auto"/>
        <w:rPr>
          <w:rFonts w:eastAsia="Times New Roman" w:cs="Arial"/>
          <w:lang w:eastAsia="bg-BG"/>
        </w:rPr>
      </w:pPr>
      <w:r w:rsidRPr="00D455B6">
        <w:rPr>
          <w:rFonts w:eastAsia="Times New Roman" w:cs="Arial"/>
          <w:b/>
          <w:bCs/>
          <w:color w:val="000000"/>
          <w:lang w:eastAsia="bg-BG"/>
        </w:rPr>
        <w:t>Нарушения на бъбреците и пикочните пътища</w:t>
      </w:r>
      <w:bookmarkEnd w:id="8"/>
    </w:p>
    <w:p w14:paraId="29E50FA1" w14:textId="77777777" w:rsidR="00D455B6" w:rsidRPr="00D455B6" w:rsidRDefault="00D455B6" w:rsidP="00D455B6">
      <w:pPr>
        <w:spacing w:line="240" w:lineRule="auto"/>
        <w:rPr>
          <w:rFonts w:eastAsia="Times New Roman" w:cs="Arial"/>
          <w:lang w:eastAsia="bg-BG"/>
        </w:rPr>
      </w:pPr>
      <w:r w:rsidRPr="00D455B6">
        <w:rPr>
          <w:rFonts w:eastAsia="Times New Roman" w:cs="Arial"/>
          <w:i/>
          <w:iCs/>
          <w:color w:val="000000"/>
          <w:lang w:eastAsia="bg-BG"/>
        </w:rPr>
        <w:t>Редки:</w:t>
      </w:r>
      <w:r w:rsidRPr="00D455B6">
        <w:rPr>
          <w:rFonts w:eastAsia="Times New Roman" w:cs="Arial"/>
          <w:color w:val="000000"/>
          <w:lang w:eastAsia="bg-BG"/>
        </w:rPr>
        <w:t xml:space="preserve"> транзиторно увеличение на урея в кръвта, без клинични данни за увреждане на бъбречната функция. Рядко са докладвани съобщения за развитие на интерстициален нефрит и други бъбречни заболявалия. Повечето от тези съобщения са от пациенти с тежки заболявания на комбинирана лекарствена терапия. Не е определена ролята на цефазолин за възникването на тези НЛР.</w:t>
      </w:r>
    </w:p>
    <w:p w14:paraId="5679ADF5" w14:textId="77777777" w:rsidR="00D455B6" w:rsidRDefault="00D455B6" w:rsidP="00D455B6">
      <w:pPr>
        <w:spacing w:line="240" w:lineRule="auto"/>
        <w:rPr>
          <w:rFonts w:eastAsia="Times New Roman" w:cs="Arial"/>
          <w:color w:val="000000"/>
          <w:u w:val="single"/>
          <w:lang w:eastAsia="bg-BG"/>
        </w:rPr>
      </w:pPr>
    </w:p>
    <w:p w14:paraId="53955B0B" w14:textId="0C87F2C9" w:rsidR="00D455B6" w:rsidRPr="00D455B6" w:rsidRDefault="00D455B6" w:rsidP="00D455B6">
      <w:pPr>
        <w:spacing w:line="240" w:lineRule="auto"/>
        <w:rPr>
          <w:rFonts w:eastAsia="Times New Roman" w:cs="Arial"/>
          <w:lang w:eastAsia="bg-BG"/>
        </w:rPr>
      </w:pPr>
      <w:r w:rsidRPr="00D455B6">
        <w:rPr>
          <w:rFonts w:eastAsia="Times New Roman" w:cs="Arial"/>
          <w:color w:val="000000"/>
          <w:u w:val="single"/>
          <w:lang w:eastAsia="bg-BG"/>
        </w:rPr>
        <w:t>Съобщаване на подозирани нежелани реакции</w:t>
      </w:r>
    </w:p>
    <w:p w14:paraId="434362C8" w14:textId="77777777" w:rsidR="00D455B6" w:rsidRPr="00D455B6" w:rsidRDefault="00D455B6" w:rsidP="00D455B6">
      <w:pPr>
        <w:rPr>
          <w:rFonts w:eastAsia="Times New Roman" w:cs="Arial"/>
          <w:lang w:eastAsia="bg-BG"/>
        </w:rPr>
      </w:pPr>
      <w:r w:rsidRPr="00D455B6">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w:t>
      </w:r>
      <w:r>
        <w:rPr>
          <w:rFonts w:eastAsia="Times New Roman" w:cs="Arial"/>
          <w:color w:val="000000"/>
          <w:lang w:val="en-US" w:eastAsia="bg-BG"/>
        </w:rPr>
        <w:t xml:space="preserve"> </w:t>
      </w:r>
      <w:r w:rsidRPr="00D455B6">
        <w:rPr>
          <w:rFonts w:eastAsia="Times New Roman" w:cs="Arial"/>
          <w:color w:val="000000"/>
          <w:lang w:eastAsia="bg-BG"/>
        </w:rPr>
        <w:t>съотношението полза/ риск за лекарствения продукт. От медицинските специалисти се изисква да съобщават всяка подозирана нежелана реакция чрез националната система за съобщаване:</w:t>
      </w:r>
    </w:p>
    <w:p w14:paraId="0B3177F6" w14:textId="77777777" w:rsidR="00D455B6" w:rsidRPr="00D455B6" w:rsidRDefault="00D455B6" w:rsidP="00D455B6">
      <w:pPr>
        <w:spacing w:line="240" w:lineRule="auto"/>
        <w:rPr>
          <w:rFonts w:eastAsia="Times New Roman" w:cs="Arial"/>
          <w:lang w:eastAsia="bg-BG"/>
        </w:rPr>
      </w:pPr>
      <w:r w:rsidRPr="00D455B6">
        <w:rPr>
          <w:rFonts w:eastAsia="Times New Roman" w:cs="Arial"/>
          <w:color w:val="000000"/>
          <w:lang w:eastAsia="bg-BG"/>
        </w:rPr>
        <w:t>Изпълнителна агенция по лекарствата</w:t>
      </w:r>
    </w:p>
    <w:p w14:paraId="03D3E207" w14:textId="77777777" w:rsidR="00D455B6" w:rsidRPr="00D455B6" w:rsidRDefault="00D455B6" w:rsidP="00D455B6">
      <w:pPr>
        <w:spacing w:line="240" w:lineRule="auto"/>
        <w:rPr>
          <w:rFonts w:eastAsia="Times New Roman" w:cs="Arial"/>
          <w:lang w:eastAsia="bg-BG"/>
        </w:rPr>
      </w:pPr>
      <w:r w:rsidRPr="00D455B6">
        <w:rPr>
          <w:rFonts w:eastAsia="Times New Roman" w:cs="Arial"/>
          <w:color w:val="000000"/>
          <w:lang w:eastAsia="bg-BG"/>
        </w:rPr>
        <w:t>ул.,Дамян Груев” № 8</w:t>
      </w:r>
    </w:p>
    <w:p w14:paraId="7292C8DB" w14:textId="77777777" w:rsidR="00D455B6" w:rsidRPr="00D455B6" w:rsidRDefault="00D455B6" w:rsidP="00D455B6">
      <w:pPr>
        <w:spacing w:line="240" w:lineRule="auto"/>
        <w:rPr>
          <w:rFonts w:eastAsia="Times New Roman" w:cs="Arial"/>
          <w:lang w:eastAsia="bg-BG"/>
        </w:rPr>
      </w:pPr>
      <w:r w:rsidRPr="00D455B6">
        <w:rPr>
          <w:rFonts w:eastAsia="Times New Roman" w:cs="Arial"/>
          <w:color w:val="000000"/>
          <w:lang w:eastAsia="bg-BG"/>
        </w:rPr>
        <w:lastRenderedPageBreak/>
        <w:t>1303 София</w:t>
      </w:r>
    </w:p>
    <w:p w14:paraId="0430811C" w14:textId="77777777" w:rsidR="00D455B6" w:rsidRPr="00D455B6" w:rsidRDefault="00D455B6" w:rsidP="00D455B6">
      <w:pPr>
        <w:spacing w:line="240" w:lineRule="auto"/>
        <w:rPr>
          <w:rFonts w:eastAsia="Times New Roman" w:cs="Arial"/>
          <w:lang w:eastAsia="bg-BG"/>
        </w:rPr>
      </w:pPr>
      <w:r w:rsidRPr="00D455B6">
        <w:rPr>
          <w:rFonts w:eastAsia="Times New Roman" w:cs="Arial"/>
          <w:color w:val="000000"/>
          <w:lang w:eastAsia="bg-BG"/>
        </w:rPr>
        <w:t>Тел.;+35928903417</w:t>
      </w:r>
    </w:p>
    <w:p w14:paraId="53D5B2E9" w14:textId="77777777" w:rsidR="00D455B6" w:rsidRPr="00D455B6" w:rsidRDefault="00D455B6" w:rsidP="00D455B6">
      <w:pPr>
        <w:spacing w:line="240" w:lineRule="auto"/>
        <w:rPr>
          <w:rFonts w:ascii="Times New Roman" w:eastAsia="Times New Roman" w:hAnsi="Times New Roman" w:cs="Times New Roman"/>
          <w:sz w:val="24"/>
          <w:szCs w:val="24"/>
          <w:lang w:eastAsia="bg-BG"/>
        </w:rPr>
      </w:pPr>
      <w:r w:rsidRPr="00D455B6">
        <w:rPr>
          <w:rFonts w:eastAsia="Times New Roman" w:cs="Arial"/>
          <w:color w:val="000000"/>
          <w:lang w:eastAsia="bg-BG"/>
        </w:rPr>
        <w:t xml:space="preserve">уебсайт: </w:t>
      </w:r>
      <w:r w:rsidRPr="00D455B6">
        <w:rPr>
          <w:rFonts w:eastAsia="Times New Roman" w:cs="Arial"/>
          <w:lang w:eastAsia="bg-BG"/>
        </w:rPr>
        <w:fldChar w:fldCharType="begin"/>
      </w:r>
      <w:r w:rsidRPr="00D455B6">
        <w:rPr>
          <w:rFonts w:eastAsia="Times New Roman" w:cs="Arial"/>
          <w:lang w:eastAsia="bg-BG"/>
        </w:rPr>
        <w:instrText xml:space="preserve"> HYPERLINK "http://www.bda.bg" </w:instrText>
      </w:r>
      <w:r w:rsidRPr="00D455B6">
        <w:rPr>
          <w:rFonts w:eastAsia="Times New Roman" w:cs="Arial"/>
          <w:lang w:eastAsia="bg-BG"/>
        </w:rPr>
      </w:r>
      <w:r w:rsidRPr="00D455B6">
        <w:rPr>
          <w:rFonts w:eastAsia="Times New Roman" w:cs="Arial"/>
          <w:lang w:eastAsia="bg-BG"/>
        </w:rPr>
        <w:fldChar w:fldCharType="separate"/>
      </w:r>
      <w:r w:rsidRPr="00D455B6">
        <w:rPr>
          <w:rFonts w:eastAsia="Times New Roman" w:cs="Arial"/>
          <w:color w:val="000000"/>
          <w:u w:val="single"/>
          <w:lang w:val="en-US"/>
        </w:rPr>
        <w:t>www.bda.bg</w:t>
      </w:r>
      <w:r w:rsidRPr="00D455B6">
        <w:rPr>
          <w:rFonts w:eastAsia="Times New Roman" w:cs="Arial"/>
          <w:lang w:eastAsia="bg-BG"/>
        </w:rPr>
        <w:fldChar w:fldCharType="end"/>
      </w:r>
    </w:p>
    <w:p w14:paraId="2FB0D223" w14:textId="483D8723" w:rsidR="00D455B6" w:rsidRPr="00D455B6" w:rsidRDefault="00D455B6" w:rsidP="00D455B6">
      <w:pPr>
        <w:rPr>
          <w:rFonts w:cs="Arial"/>
          <w:lang w:val="en-US"/>
        </w:rPr>
      </w:pPr>
    </w:p>
    <w:p w14:paraId="378A0F20" w14:textId="65582394" w:rsidR="001D095A" w:rsidRDefault="002C50EE" w:rsidP="00340E8D">
      <w:pPr>
        <w:pStyle w:val="Heading2"/>
      </w:pPr>
      <w:r>
        <w:t>4.9. Предозиране</w:t>
      </w:r>
    </w:p>
    <w:p w14:paraId="4EA28B46" w14:textId="77777777" w:rsidR="00D455B6" w:rsidRDefault="00D455B6" w:rsidP="00D455B6"/>
    <w:p w14:paraId="0FF6D392" w14:textId="77777777" w:rsidR="00D455B6" w:rsidRPr="00D455B6" w:rsidRDefault="00D455B6" w:rsidP="00D455B6">
      <w:pPr>
        <w:spacing w:line="240" w:lineRule="auto"/>
        <w:rPr>
          <w:rFonts w:eastAsia="Times New Roman" w:cs="Arial"/>
          <w:lang w:eastAsia="bg-BG"/>
        </w:rPr>
      </w:pPr>
      <w:r w:rsidRPr="00D455B6">
        <w:rPr>
          <w:rFonts w:eastAsia="Times New Roman" w:cs="Arial"/>
          <w:color w:val="000000"/>
          <w:u w:val="single"/>
          <w:lang w:eastAsia="bg-BG"/>
        </w:rPr>
        <w:t>Симптоми</w:t>
      </w:r>
    </w:p>
    <w:p w14:paraId="0B1F44A9" w14:textId="77777777" w:rsidR="00D455B6" w:rsidRPr="00D455B6" w:rsidRDefault="00D455B6" w:rsidP="00D455B6">
      <w:pPr>
        <w:spacing w:line="240" w:lineRule="auto"/>
        <w:rPr>
          <w:rFonts w:eastAsia="Times New Roman" w:cs="Arial"/>
          <w:lang w:eastAsia="bg-BG"/>
        </w:rPr>
      </w:pPr>
      <w:r w:rsidRPr="00D455B6">
        <w:rPr>
          <w:rFonts w:eastAsia="Times New Roman" w:cs="Arial"/>
          <w:color w:val="000000"/>
          <w:lang w:eastAsia="bg-BG"/>
        </w:rPr>
        <w:t>Симптомите могат да включват болка, флебит и възпаление на мястото на инжектиране. Могат да се наблюдават замайване, главоболие и парестезии, възможни са гърчове, особено при пациенти с увредена бъбречна функция, при които се наблюдава кумулиране. Отклонението на лабораторните показатели може да включва повишение на билирубина, уреята, креатинина, ензимите, отразяващи функцията на черния дроб, положителен тест на Кумбс и еозинофилия, левкопения, тромбоцитопения, тромбоцитоза и удължаване на протромбиновото време.</w:t>
      </w:r>
    </w:p>
    <w:p w14:paraId="7CD06199" w14:textId="77777777" w:rsidR="00D455B6" w:rsidRDefault="00D455B6" w:rsidP="00D455B6">
      <w:pPr>
        <w:spacing w:line="240" w:lineRule="auto"/>
        <w:rPr>
          <w:rFonts w:eastAsia="Times New Roman" w:cs="Arial"/>
          <w:color w:val="000000"/>
          <w:u w:val="single"/>
          <w:lang w:eastAsia="bg-BG"/>
        </w:rPr>
      </w:pPr>
    </w:p>
    <w:p w14:paraId="4999B8D9" w14:textId="096EDAE6" w:rsidR="00D455B6" w:rsidRPr="00D455B6" w:rsidRDefault="00D455B6" w:rsidP="00D455B6">
      <w:pPr>
        <w:spacing w:line="240" w:lineRule="auto"/>
        <w:rPr>
          <w:rFonts w:eastAsia="Times New Roman" w:cs="Arial"/>
          <w:lang w:eastAsia="bg-BG"/>
        </w:rPr>
      </w:pPr>
      <w:r w:rsidRPr="00D455B6">
        <w:rPr>
          <w:rFonts w:eastAsia="Times New Roman" w:cs="Arial"/>
          <w:color w:val="000000"/>
          <w:u w:val="single"/>
          <w:lang w:eastAsia="bg-BG"/>
        </w:rPr>
        <w:t>Овладяване на симптомите</w:t>
      </w:r>
    </w:p>
    <w:p w14:paraId="2955322D" w14:textId="77777777" w:rsidR="00D455B6" w:rsidRPr="00D455B6" w:rsidRDefault="00D455B6" w:rsidP="00D455B6">
      <w:pPr>
        <w:spacing w:line="240" w:lineRule="auto"/>
        <w:rPr>
          <w:rFonts w:eastAsia="Times New Roman" w:cs="Arial"/>
          <w:lang w:eastAsia="bg-BG"/>
        </w:rPr>
      </w:pPr>
      <w:r w:rsidRPr="00D455B6">
        <w:rPr>
          <w:rFonts w:eastAsia="Times New Roman" w:cs="Arial"/>
          <w:color w:val="000000"/>
          <w:lang w:eastAsia="bg-BG"/>
        </w:rPr>
        <w:t>Лечението трябва да бъде симптоматично и с общи поддържащи грижи. Препоръчва се да се проследяват коагулационния статус, хематологичната, чернодробна и бъбречна функция докато пациентът се стабилизира. В случай на поява на гърчове, лекарственият продукт трябва незабавно да се спре и да се приложи подходящо и клинично показано антиконвулсивно лечение. Комбиниране на хемодиализа и хемоперфузия може да е ефективно, въпреки че няма данни за такива случаи.</w:t>
      </w:r>
    </w:p>
    <w:p w14:paraId="60601CB5" w14:textId="77777777" w:rsidR="00D455B6" w:rsidRPr="00D455B6" w:rsidRDefault="00D455B6" w:rsidP="00D455B6"/>
    <w:p w14:paraId="02081B24" w14:textId="36FE76F4" w:rsidR="00395555" w:rsidRPr="00395555" w:rsidRDefault="002C50EE" w:rsidP="008A6AF2">
      <w:pPr>
        <w:pStyle w:val="Heading1"/>
      </w:pPr>
      <w:r>
        <w:t>5. ФАРМАКОЛОГИЧНИ СВОЙСТВА</w:t>
      </w:r>
    </w:p>
    <w:p w14:paraId="7F6CC5E1" w14:textId="38E92AEC" w:rsidR="00F62E44" w:rsidRDefault="002C50EE" w:rsidP="00387A66">
      <w:pPr>
        <w:pStyle w:val="Heading2"/>
      </w:pPr>
      <w:r>
        <w:t>5.1. Фармакодинамични свойства</w:t>
      </w:r>
    </w:p>
    <w:p w14:paraId="01DBBB91" w14:textId="77777777" w:rsidR="00D455B6" w:rsidRDefault="00D455B6" w:rsidP="00D455B6"/>
    <w:p w14:paraId="2A9650CA" w14:textId="77777777" w:rsidR="00D455B6" w:rsidRPr="00D455B6" w:rsidRDefault="00D455B6" w:rsidP="00D455B6">
      <w:pPr>
        <w:spacing w:line="240" w:lineRule="auto"/>
        <w:rPr>
          <w:rFonts w:eastAsia="Times New Roman" w:cs="Arial"/>
          <w:lang w:eastAsia="bg-BG"/>
        </w:rPr>
      </w:pPr>
      <w:r w:rsidRPr="00D455B6">
        <w:rPr>
          <w:rFonts w:eastAsia="Times New Roman" w:cs="Arial"/>
          <w:color w:val="000000"/>
          <w:lang w:eastAsia="bg-BG"/>
        </w:rPr>
        <w:t xml:space="preserve">Фармакотерапевтична група: първа генерация цефалоспорини; АТС код: </w:t>
      </w:r>
      <w:r w:rsidRPr="00D455B6">
        <w:rPr>
          <w:rFonts w:eastAsia="Times New Roman" w:cs="Arial"/>
          <w:color w:val="000000"/>
          <w:lang w:val="en-US"/>
        </w:rPr>
        <w:t>J01DB04</w:t>
      </w:r>
    </w:p>
    <w:p w14:paraId="24491C1C" w14:textId="77777777" w:rsidR="00D455B6" w:rsidRDefault="00D455B6" w:rsidP="00D455B6">
      <w:pPr>
        <w:spacing w:line="240" w:lineRule="auto"/>
        <w:rPr>
          <w:rFonts w:eastAsia="Times New Roman" w:cs="Arial"/>
          <w:color w:val="000000"/>
          <w:u w:val="single"/>
          <w:lang w:eastAsia="bg-BG"/>
        </w:rPr>
      </w:pPr>
    </w:p>
    <w:p w14:paraId="63A610CD" w14:textId="7C996874" w:rsidR="00D455B6" w:rsidRPr="00D455B6" w:rsidRDefault="00D455B6" w:rsidP="00D455B6">
      <w:pPr>
        <w:spacing w:line="240" w:lineRule="auto"/>
        <w:rPr>
          <w:rFonts w:eastAsia="Times New Roman" w:cs="Arial"/>
          <w:lang w:eastAsia="bg-BG"/>
        </w:rPr>
      </w:pPr>
      <w:r w:rsidRPr="00D455B6">
        <w:rPr>
          <w:rFonts w:eastAsia="Times New Roman" w:cs="Arial"/>
          <w:color w:val="000000"/>
          <w:u w:val="single"/>
          <w:lang w:eastAsia="bg-BG"/>
        </w:rPr>
        <w:t>Механизъм на действие:</w:t>
      </w:r>
    </w:p>
    <w:p w14:paraId="74DF63E2" w14:textId="77777777" w:rsidR="00D455B6" w:rsidRPr="00D455B6" w:rsidRDefault="00D455B6" w:rsidP="00D455B6">
      <w:pPr>
        <w:spacing w:line="240" w:lineRule="auto"/>
        <w:rPr>
          <w:rFonts w:eastAsia="Times New Roman" w:cs="Arial"/>
          <w:lang w:eastAsia="bg-BG"/>
        </w:rPr>
      </w:pPr>
      <w:r w:rsidRPr="00D455B6">
        <w:rPr>
          <w:rFonts w:eastAsia="Times New Roman" w:cs="Arial"/>
          <w:color w:val="000000"/>
          <w:lang w:eastAsia="bg-BG"/>
        </w:rPr>
        <w:t>Цефазолин е цефалоспоринов антибиотик с бактерицидни свойства. Той повлиява последната фаза от синтезирането на бактериалната клетъчна стена на Грам-положителните и Грам-отрицателни бактерии.</w:t>
      </w:r>
    </w:p>
    <w:p w14:paraId="4EF20C9D" w14:textId="77777777" w:rsidR="00D455B6" w:rsidRDefault="00D455B6" w:rsidP="00D455B6">
      <w:pPr>
        <w:spacing w:line="240" w:lineRule="auto"/>
        <w:rPr>
          <w:rFonts w:eastAsia="Times New Roman" w:cs="Arial"/>
          <w:color w:val="000000"/>
          <w:u w:val="single"/>
          <w:lang w:eastAsia="bg-BG"/>
        </w:rPr>
      </w:pPr>
    </w:p>
    <w:p w14:paraId="3907C605" w14:textId="23C81C4A" w:rsidR="00D455B6" w:rsidRPr="00D455B6" w:rsidRDefault="00D455B6" w:rsidP="00D455B6">
      <w:pPr>
        <w:spacing w:line="240" w:lineRule="auto"/>
        <w:rPr>
          <w:rFonts w:eastAsia="Times New Roman" w:cs="Arial"/>
          <w:lang w:eastAsia="bg-BG"/>
        </w:rPr>
      </w:pPr>
      <w:r w:rsidRPr="00D455B6">
        <w:rPr>
          <w:rFonts w:eastAsia="Times New Roman" w:cs="Arial"/>
          <w:color w:val="000000"/>
          <w:u w:val="single"/>
          <w:lang w:eastAsia="bg-BG"/>
        </w:rPr>
        <w:t>Микробиология</w:t>
      </w:r>
    </w:p>
    <w:p w14:paraId="7A447D76" w14:textId="77777777" w:rsidR="00D455B6" w:rsidRPr="00D455B6" w:rsidRDefault="00D455B6" w:rsidP="00D455B6">
      <w:pPr>
        <w:spacing w:line="240" w:lineRule="auto"/>
        <w:rPr>
          <w:rFonts w:eastAsia="Times New Roman" w:cs="Arial"/>
          <w:lang w:eastAsia="bg-BG"/>
        </w:rPr>
      </w:pPr>
      <w:r w:rsidRPr="00D455B6">
        <w:rPr>
          <w:rFonts w:eastAsia="Times New Roman" w:cs="Arial"/>
          <w:color w:val="000000"/>
          <w:lang w:eastAsia="bg-BG"/>
        </w:rPr>
        <w:t xml:space="preserve">Цефазолин </w:t>
      </w:r>
      <w:r w:rsidRPr="00D455B6">
        <w:rPr>
          <w:rFonts w:eastAsia="Times New Roman" w:cs="Arial"/>
          <w:i/>
          <w:iCs/>
          <w:color w:val="000000"/>
          <w:lang w:val="en-US"/>
        </w:rPr>
        <w:t>in vitro</w:t>
      </w:r>
      <w:r w:rsidRPr="00D455B6">
        <w:rPr>
          <w:rFonts w:eastAsia="Times New Roman" w:cs="Arial"/>
          <w:color w:val="000000"/>
          <w:lang w:val="en-US"/>
        </w:rPr>
        <w:t xml:space="preserve"> </w:t>
      </w:r>
      <w:r w:rsidRPr="00D455B6">
        <w:rPr>
          <w:rFonts w:eastAsia="Times New Roman" w:cs="Arial"/>
          <w:color w:val="000000"/>
          <w:lang w:eastAsia="bg-BG"/>
        </w:rPr>
        <w:t>е активен срещу:</w:t>
      </w:r>
    </w:p>
    <w:p w14:paraId="784437A8" w14:textId="77777777" w:rsidR="00D455B6" w:rsidRPr="00D455B6" w:rsidRDefault="00D455B6" w:rsidP="00D455B6">
      <w:pPr>
        <w:pStyle w:val="ListParagraph"/>
        <w:numPr>
          <w:ilvl w:val="0"/>
          <w:numId w:val="42"/>
        </w:numPr>
        <w:spacing w:line="240" w:lineRule="auto"/>
        <w:rPr>
          <w:rFonts w:eastAsia="Times New Roman" w:cs="Arial"/>
          <w:lang w:eastAsia="bg-BG"/>
        </w:rPr>
      </w:pPr>
      <w:r w:rsidRPr="00D455B6">
        <w:rPr>
          <w:rFonts w:eastAsia="Times New Roman" w:cs="Arial"/>
          <w:color w:val="000000"/>
          <w:lang w:eastAsia="bg-BG"/>
        </w:rPr>
        <w:t xml:space="preserve">Грам-положителни микроорганизми: </w:t>
      </w:r>
      <w:r w:rsidRPr="00D455B6">
        <w:rPr>
          <w:rFonts w:eastAsia="Times New Roman" w:cs="Arial"/>
          <w:i/>
          <w:iCs/>
          <w:color w:val="000000"/>
          <w:lang w:val="en-US"/>
        </w:rPr>
        <w:t>Staphylococcus aureus</w:t>
      </w:r>
      <w:r w:rsidRPr="00D455B6">
        <w:rPr>
          <w:rFonts w:eastAsia="Times New Roman" w:cs="Arial"/>
          <w:color w:val="000000"/>
          <w:lang w:val="en-US"/>
        </w:rPr>
        <w:t xml:space="preserve"> </w:t>
      </w:r>
      <w:r w:rsidRPr="00D455B6">
        <w:rPr>
          <w:rFonts w:eastAsia="Times New Roman" w:cs="Arial"/>
          <w:color w:val="000000"/>
          <w:lang w:eastAsia="bg-BG"/>
        </w:rPr>
        <w:t xml:space="preserve">(чувствителни и резистентни на пеницилин), </w:t>
      </w:r>
      <w:r w:rsidRPr="00D455B6">
        <w:rPr>
          <w:rFonts w:eastAsia="Times New Roman" w:cs="Arial"/>
          <w:i/>
          <w:iCs/>
          <w:color w:val="000000"/>
          <w:lang w:val="en-US"/>
        </w:rPr>
        <w:t>Staphylococcus epidermidis,</w:t>
      </w:r>
      <w:r w:rsidRPr="00D455B6">
        <w:rPr>
          <w:rFonts w:eastAsia="Times New Roman" w:cs="Arial"/>
          <w:color w:val="000000"/>
          <w:lang w:val="en-US"/>
        </w:rPr>
        <w:t xml:space="preserve"> </w:t>
      </w:r>
      <w:r w:rsidRPr="00D455B6">
        <w:rPr>
          <w:rFonts w:eastAsia="Times New Roman" w:cs="Arial"/>
          <w:color w:val="000000"/>
          <w:lang w:eastAsia="bg-BG"/>
        </w:rPr>
        <w:t xml:space="preserve">група А β-хемолитични стрептококи, и други щамове стрептококи (много щамове ентерококи са резистентни), </w:t>
      </w:r>
      <w:r w:rsidRPr="00D455B6">
        <w:rPr>
          <w:rFonts w:eastAsia="Times New Roman" w:cs="Arial"/>
          <w:i/>
          <w:iCs/>
          <w:color w:val="000000"/>
          <w:lang w:val="en-US"/>
        </w:rPr>
        <w:t>Streptococcus pneumoniae.</w:t>
      </w:r>
    </w:p>
    <w:p w14:paraId="56B9D6CC" w14:textId="1089245A" w:rsidR="00D455B6" w:rsidRPr="00D455B6" w:rsidRDefault="00D455B6" w:rsidP="00D455B6">
      <w:pPr>
        <w:pStyle w:val="ListParagraph"/>
        <w:numPr>
          <w:ilvl w:val="0"/>
          <w:numId w:val="42"/>
        </w:numPr>
        <w:spacing w:line="240" w:lineRule="auto"/>
        <w:rPr>
          <w:rFonts w:eastAsia="Times New Roman" w:cs="Arial"/>
          <w:lang w:eastAsia="bg-BG"/>
        </w:rPr>
      </w:pPr>
      <w:r w:rsidRPr="00D455B6">
        <w:rPr>
          <w:rFonts w:eastAsia="Times New Roman" w:cs="Arial"/>
          <w:color w:val="000000"/>
          <w:lang w:eastAsia="bg-BG"/>
        </w:rPr>
        <w:t xml:space="preserve">Грам-отрицателни микроорганизми: </w:t>
      </w:r>
      <w:r w:rsidRPr="00D455B6">
        <w:rPr>
          <w:rFonts w:eastAsia="Times New Roman" w:cs="Arial"/>
          <w:i/>
          <w:iCs/>
          <w:color w:val="000000"/>
          <w:lang w:val="en-US"/>
        </w:rPr>
        <w:t xml:space="preserve">Enterobacter aerogenes, Escherichia coli, </w:t>
      </w:r>
      <w:proofErr w:type="spellStart"/>
      <w:r w:rsidRPr="00D455B6">
        <w:rPr>
          <w:rFonts w:eastAsia="Times New Roman" w:cs="Arial"/>
          <w:i/>
          <w:iCs/>
          <w:color w:val="000000"/>
          <w:lang w:val="en-US"/>
        </w:rPr>
        <w:t>Haemophilus</w:t>
      </w:r>
      <w:proofErr w:type="spellEnd"/>
      <w:r w:rsidRPr="00D455B6">
        <w:rPr>
          <w:rFonts w:eastAsia="Times New Roman" w:cs="Arial"/>
          <w:i/>
          <w:iCs/>
          <w:color w:val="000000"/>
          <w:lang w:val="en-US"/>
        </w:rPr>
        <w:t xml:space="preserve"> influenzae, Klebsiella sp., Proteus mirabilis.</w:t>
      </w:r>
    </w:p>
    <w:p w14:paraId="72A77BC1" w14:textId="77777777" w:rsidR="00D455B6" w:rsidRDefault="00D455B6" w:rsidP="00D455B6">
      <w:pPr>
        <w:spacing w:line="240" w:lineRule="auto"/>
        <w:rPr>
          <w:rFonts w:eastAsia="Times New Roman" w:cs="Arial"/>
          <w:color w:val="000000"/>
          <w:lang w:eastAsia="bg-BG"/>
        </w:rPr>
      </w:pPr>
    </w:p>
    <w:p w14:paraId="3272460C" w14:textId="6C181340" w:rsidR="00D455B6" w:rsidRPr="00D455B6" w:rsidRDefault="00D455B6" w:rsidP="00D455B6">
      <w:pPr>
        <w:spacing w:line="240" w:lineRule="auto"/>
        <w:rPr>
          <w:rFonts w:eastAsia="Times New Roman" w:cs="Arial"/>
          <w:lang w:eastAsia="bg-BG"/>
        </w:rPr>
      </w:pPr>
      <w:r w:rsidRPr="00D455B6">
        <w:rPr>
          <w:rFonts w:eastAsia="Times New Roman" w:cs="Arial"/>
          <w:color w:val="000000"/>
          <w:lang w:eastAsia="bg-BG"/>
        </w:rPr>
        <w:t xml:space="preserve">Повечето щамове индол-положителни </w:t>
      </w:r>
      <w:r w:rsidRPr="00D455B6">
        <w:rPr>
          <w:rFonts w:eastAsia="Times New Roman" w:cs="Arial"/>
          <w:i/>
          <w:iCs/>
          <w:color w:val="000000"/>
          <w:lang w:val="en-US"/>
        </w:rPr>
        <w:t xml:space="preserve">Proteus (Proteus vulgaris), Enterobacter cloacae, </w:t>
      </w:r>
      <w:proofErr w:type="spellStart"/>
      <w:r w:rsidRPr="00D455B6">
        <w:rPr>
          <w:rFonts w:eastAsia="Times New Roman" w:cs="Arial"/>
          <w:i/>
          <w:iCs/>
          <w:color w:val="000000"/>
          <w:lang w:val="en-US"/>
        </w:rPr>
        <w:t>Morganella</w:t>
      </w:r>
      <w:proofErr w:type="spellEnd"/>
      <w:r w:rsidRPr="00D455B6">
        <w:rPr>
          <w:rFonts w:eastAsia="Times New Roman" w:cs="Arial"/>
          <w:i/>
          <w:iCs/>
          <w:color w:val="000000"/>
          <w:lang w:val="en-US"/>
        </w:rPr>
        <w:t xml:space="preserve"> morganii</w:t>
      </w:r>
      <w:r w:rsidRPr="00D455B6">
        <w:rPr>
          <w:rFonts w:eastAsia="Times New Roman" w:cs="Arial"/>
          <w:color w:val="000000"/>
          <w:lang w:val="en-US"/>
        </w:rPr>
        <w:t xml:space="preserve"> </w:t>
      </w:r>
      <w:r w:rsidRPr="00D455B6">
        <w:rPr>
          <w:rFonts w:eastAsia="Times New Roman" w:cs="Arial"/>
          <w:color w:val="000000"/>
          <w:lang w:eastAsia="bg-BG"/>
        </w:rPr>
        <w:t xml:space="preserve">и </w:t>
      </w:r>
      <w:r w:rsidRPr="00D455B6">
        <w:rPr>
          <w:rFonts w:eastAsia="Times New Roman" w:cs="Arial"/>
          <w:i/>
          <w:iCs/>
          <w:color w:val="000000"/>
          <w:lang w:val="en-US"/>
        </w:rPr>
        <w:t xml:space="preserve">Providencia </w:t>
      </w:r>
      <w:proofErr w:type="spellStart"/>
      <w:r w:rsidRPr="00D455B6">
        <w:rPr>
          <w:rFonts w:eastAsia="Times New Roman" w:cs="Arial"/>
          <w:i/>
          <w:iCs/>
          <w:color w:val="000000"/>
          <w:lang w:val="en-US"/>
        </w:rPr>
        <w:t>rettgeri</w:t>
      </w:r>
      <w:proofErr w:type="spellEnd"/>
      <w:r w:rsidRPr="00D455B6">
        <w:rPr>
          <w:rFonts w:eastAsia="Times New Roman" w:cs="Arial"/>
          <w:color w:val="000000"/>
          <w:lang w:val="en-US"/>
        </w:rPr>
        <w:t xml:space="preserve"> </w:t>
      </w:r>
      <w:r w:rsidRPr="00D455B6">
        <w:rPr>
          <w:rFonts w:eastAsia="Times New Roman" w:cs="Arial"/>
          <w:color w:val="000000"/>
          <w:lang w:eastAsia="bg-BG"/>
        </w:rPr>
        <w:t xml:space="preserve">са резистентни. </w:t>
      </w:r>
      <w:r w:rsidRPr="00D455B6">
        <w:rPr>
          <w:rFonts w:eastAsia="Times New Roman" w:cs="Arial"/>
          <w:i/>
          <w:iCs/>
          <w:color w:val="000000"/>
          <w:lang w:val="en-US"/>
        </w:rPr>
        <w:t xml:space="preserve">Serratia, </w:t>
      </w:r>
      <w:r w:rsidRPr="00D455B6">
        <w:rPr>
          <w:rFonts w:eastAsia="Times New Roman" w:cs="Arial"/>
          <w:color w:val="000000"/>
          <w:lang w:eastAsia="bg-BG"/>
        </w:rPr>
        <w:t>Pseudomonas</w:t>
      </w:r>
      <w:r w:rsidRPr="00D455B6">
        <w:rPr>
          <w:rFonts w:eastAsia="Times New Roman" w:cs="Arial"/>
          <w:color w:val="000000"/>
          <w:lang w:val="en-US"/>
        </w:rPr>
        <w:t xml:space="preserve"> </w:t>
      </w:r>
      <w:r w:rsidRPr="00D455B6">
        <w:rPr>
          <w:rFonts w:eastAsia="Times New Roman" w:cs="Arial"/>
          <w:color w:val="000000"/>
          <w:lang w:eastAsia="bg-BG"/>
        </w:rPr>
        <w:t>и</w:t>
      </w:r>
      <w:r w:rsidRPr="00D455B6">
        <w:rPr>
          <w:rFonts w:eastAsia="Times New Roman" w:cs="Arial"/>
          <w:i/>
          <w:iCs/>
          <w:color w:val="000000"/>
          <w:lang w:val="en-US"/>
        </w:rPr>
        <w:t xml:space="preserve"> Acinetobacter </w:t>
      </w:r>
      <w:proofErr w:type="spellStart"/>
      <w:r w:rsidRPr="00D455B6">
        <w:rPr>
          <w:rFonts w:eastAsia="Times New Roman" w:cs="Arial"/>
          <w:i/>
          <w:iCs/>
          <w:color w:val="000000"/>
          <w:lang w:val="en-US"/>
        </w:rPr>
        <w:t>calcoaceticus</w:t>
      </w:r>
      <w:proofErr w:type="spellEnd"/>
      <w:r w:rsidRPr="00D455B6">
        <w:rPr>
          <w:rFonts w:eastAsia="Times New Roman" w:cs="Arial"/>
          <w:color w:val="000000"/>
          <w:lang w:val="en-US"/>
        </w:rPr>
        <w:t xml:space="preserve"> </w:t>
      </w:r>
      <w:r w:rsidRPr="00D455B6">
        <w:rPr>
          <w:rFonts w:eastAsia="Times New Roman" w:cs="Arial"/>
          <w:color w:val="000000"/>
          <w:lang w:eastAsia="bg-BG"/>
        </w:rPr>
        <w:t>са резистентни към цефазолин в почти еднаква степен.</w:t>
      </w:r>
    </w:p>
    <w:p w14:paraId="1E5A75D6" w14:textId="77777777" w:rsidR="00D455B6" w:rsidRDefault="00D455B6" w:rsidP="00D455B6">
      <w:pPr>
        <w:spacing w:line="240" w:lineRule="auto"/>
        <w:rPr>
          <w:rFonts w:eastAsia="Times New Roman" w:cs="Arial"/>
          <w:color w:val="000000"/>
          <w:lang w:eastAsia="bg-BG"/>
        </w:rPr>
      </w:pPr>
    </w:p>
    <w:p w14:paraId="2D9D110C" w14:textId="77777777" w:rsidR="00D455B6" w:rsidRPr="00D455B6" w:rsidRDefault="00D455B6" w:rsidP="00D455B6">
      <w:pPr>
        <w:rPr>
          <w:rFonts w:eastAsia="Times New Roman" w:cs="Arial"/>
          <w:lang w:eastAsia="bg-BG"/>
        </w:rPr>
      </w:pPr>
      <w:r w:rsidRPr="00D455B6">
        <w:rPr>
          <w:rFonts w:eastAsia="Times New Roman" w:cs="Arial"/>
          <w:color w:val="000000"/>
          <w:lang w:eastAsia="bg-BG"/>
        </w:rPr>
        <w:t xml:space="preserve">За определяне на антимикробна чувствителност към антибиотици се прилага дисково дифузионният метод- количествен метод, който изисква измерване на диаметъра на </w:t>
      </w:r>
      <w:r w:rsidRPr="00D455B6">
        <w:rPr>
          <w:rFonts w:eastAsia="Times New Roman" w:cs="Arial"/>
          <w:color w:val="000000"/>
          <w:lang w:eastAsia="bg-BG"/>
        </w:rPr>
        <w:lastRenderedPageBreak/>
        <w:t>зоната</w:t>
      </w:r>
      <w:r>
        <w:rPr>
          <w:rFonts w:eastAsia="Times New Roman" w:cs="Arial"/>
          <w:color w:val="000000"/>
          <w:lang w:val="en-US" w:eastAsia="bg-BG"/>
        </w:rPr>
        <w:t xml:space="preserve"> </w:t>
      </w:r>
      <w:r w:rsidRPr="00D455B6">
        <w:rPr>
          <w:rFonts w:eastAsia="Times New Roman" w:cs="Arial"/>
          <w:color w:val="000000"/>
          <w:lang w:eastAsia="bg-BG"/>
        </w:rPr>
        <w:t>на потискане на растежа. Препоръчва се прилагането на този метод при определяне на чувствителността към цефазолин. Получаването на лабораторен резултат “чувствителен” предполага, че микроорганизмът ще се повлияе от терапията. Резултатът “резистентен” показва, че инфектиращият агент вероятно няма да се повлияе от лечението. Резултатът “умерено чувствителен” предполага, че микроорганизмът ще се повлияе, ако се приложи висока доза или, ако инфекцията е ограничена в тъканите или в течности (например урината), в които се достигат високи концентрации на антибиотика.</w:t>
      </w:r>
    </w:p>
    <w:p w14:paraId="7DA3D37F" w14:textId="77777777" w:rsidR="00D455B6" w:rsidRPr="00D455B6" w:rsidRDefault="00D455B6" w:rsidP="00D455B6">
      <w:pPr>
        <w:spacing w:line="240" w:lineRule="auto"/>
        <w:rPr>
          <w:rFonts w:eastAsia="Times New Roman" w:cs="Arial"/>
          <w:lang w:eastAsia="bg-BG"/>
        </w:rPr>
      </w:pPr>
      <w:r w:rsidRPr="00D455B6">
        <w:rPr>
          <w:rFonts w:eastAsia="Times New Roman" w:cs="Arial"/>
          <w:color w:val="000000"/>
          <w:lang w:eastAsia="bg-BG"/>
        </w:rPr>
        <w:t xml:space="preserve">За Грам-положителните изолати, зона на потискане на растежа от 18 </w:t>
      </w:r>
      <w:r w:rsidRPr="00D455B6">
        <w:rPr>
          <w:rFonts w:eastAsia="Times New Roman" w:cs="Arial"/>
          <w:color w:val="000000"/>
          <w:lang w:val="en-US"/>
        </w:rPr>
        <w:t xml:space="preserve">mm </w:t>
      </w:r>
      <w:r w:rsidRPr="00D455B6">
        <w:rPr>
          <w:rFonts w:eastAsia="Times New Roman" w:cs="Arial"/>
          <w:color w:val="000000"/>
          <w:lang w:eastAsia="bg-BG"/>
        </w:rPr>
        <w:t>е показателна, че микроорганизмът е чувствителен на цефазолин, когато е тестван с диск, напоен с антибиотик от цефалоспориновия клас (30 μ</w:t>
      </w:r>
      <w:r w:rsidRPr="00D455B6">
        <w:rPr>
          <w:rFonts w:eastAsia="Times New Roman" w:cs="Arial"/>
          <w:color w:val="000000"/>
          <w:lang w:val="en-US"/>
        </w:rPr>
        <w:t xml:space="preserve">g </w:t>
      </w:r>
      <w:r w:rsidRPr="00D455B6">
        <w:rPr>
          <w:rFonts w:eastAsia="Times New Roman" w:cs="Arial"/>
          <w:color w:val="000000"/>
          <w:lang w:eastAsia="bg-BG"/>
        </w:rPr>
        <w:t>цефалотин) или с диск, напоен с цефазолин (30 μ</w:t>
      </w:r>
      <w:r w:rsidRPr="00D455B6">
        <w:rPr>
          <w:rFonts w:eastAsia="Times New Roman" w:cs="Arial"/>
          <w:color w:val="000000"/>
          <w:lang w:val="en-US"/>
        </w:rPr>
        <w:t xml:space="preserve">g </w:t>
      </w:r>
      <w:r w:rsidRPr="00D455B6">
        <w:rPr>
          <w:rFonts w:eastAsia="Times New Roman" w:cs="Arial"/>
          <w:color w:val="000000"/>
          <w:lang w:eastAsia="bg-BG"/>
        </w:rPr>
        <w:t>цефазолин).</w:t>
      </w:r>
    </w:p>
    <w:p w14:paraId="10F59CAF" w14:textId="77777777" w:rsidR="00D455B6" w:rsidRPr="00D455B6" w:rsidRDefault="00D455B6" w:rsidP="00D455B6">
      <w:pPr>
        <w:spacing w:line="240" w:lineRule="auto"/>
        <w:rPr>
          <w:rFonts w:eastAsia="Times New Roman" w:cs="Arial"/>
          <w:lang w:eastAsia="bg-BG"/>
        </w:rPr>
      </w:pPr>
      <w:r w:rsidRPr="00D455B6">
        <w:rPr>
          <w:rFonts w:eastAsia="Times New Roman" w:cs="Arial"/>
          <w:color w:val="000000"/>
          <w:lang w:eastAsia="bg-BG"/>
        </w:rPr>
        <w:t xml:space="preserve">Грам-отрицателните микроорганизми трябва да се тестват с диск, съдържащ цефазолин (като се прилагат приложените по-горе критерии), тъй като той е показал </w:t>
      </w:r>
      <w:r w:rsidRPr="00D455B6">
        <w:rPr>
          <w:rFonts w:eastAsia="Times New Roman" w:cs="Arial"/>
          <w:i/>
          <w:iCs/>
          <w:color w:val="000000"/>
          <w:lang w:val="en-US"/>
        </w:rPr>
        <w:t>in vitro</w:t>
      </w:r>
      <w:r w:rsidRPr="00D455B6">
        <w:rPr>
          <w:rFonts w:eastAsia="Times New Roman" w:cs="Arial"/>
          <w:color w:val="000000"/>
          <w:lang w:val="en-US"/>
        </w:rPr>
        <w:t xml:space="preserve"> </w:t>
      </w:r>
      <w:r w:rsidRPr="00D455B6">
        <w:rPr>
          <w:rFonts w:eastAsia="Times New Roman" w:cs="Arial"/>
          <w:color w:val="000000"/>
          <w:lang w:eastAsia="bg-BG"/>
        </w:rPr>
        <w:t xml:space="preserve">активност към някои щамове </w:t>
      </w:r>
      <w:r w:rsidRPr="00D455B6">
        <w:rPr>
          <w:rFonts w:eastAsia="Times New Roman" w:cs="Arial"/>
          <w:i/>
          <w:iCs/>
          <w:color w:val="000000"/>
          <w:lang w:val="en-US"/>
        </w:rPr>
        <w:t>Enterobacteriaceae,</w:t>
      </w:r>
      <w:r w:rsidRPr="00D455B6">
        <w:rPr>
          <w:rFonts w:eastAsia="Times New Roman" w:cs="Arial"/>
          <w:color w:val="000000"/>
          <w:lang w:val="en-US"/>
        </w:rPr>
        <w:t xml:space="preserve"> </w:t>
      </w:r>
      <w:r w:rsidRPr="00D455B6">
        <w:rPr>
          <w:rFonts w:eastAsia="Times New Roman" w:cs="Arial"/>
          <w:color w:val="000000"/>
          <w:lang w:eastAsia="bg-BG"/>
        </w:rPr>
        <w:t xml:space="preserve">които са показали резистентност при тестване с диск, съдържащ цефалотин. Когато се прилага диск с цефалотин, Грам-отрицателните микроорганизми със зона на потискане на растежа с диаметър &lt;18 </w:t>
      </w:r>
      <w:r w:rsidRPr="00D455B6">
        <w:rPr>
          <w:rFonts w:eastAsia="Times New Roman" w:cs="Arial"/>
          <w:color w:val="000000"/>
          <w:lang w:val="en-US"/>
        </w:rPr>
        <w:t xml:space="preserve">mm </w:t>
      </w:r>
      <w:r w:rsidRPr="00D455B6">
        <w:rPr>
          <w:rFonts w:eastAsia="Times New Roman" w:cs="Arial"/>
          <w:color w:val="000000"/>
          <w:lang w:eastAsia="bg-BG"/>
        </w:rPr>
        <w:t xml:space="preserve">могат да се считат като чувствителни и към цефазолин. За микроорганизми със зона на потискане на растежа с диаметър &lt;18 </w:t>
      </w:r>
      <w:r w:rsidRPr="00D455B6">
        <w:rPr>
          <w:rFonts w:eastAsia="Times New Roman" w:cs="Arial"/>
          <w:color w:val="000000"/>
          <w:lang w:val="en-US"/>
        </w:rPr>
        <w:t xml:space="preserve">mm </w:t>
      </w:r>
      <w:r w:rsidRPr="00D455B6">
        <w:rPr>
          <w:rFonts w:eastAsia="Times New Roman" w:cs="Arial"/>
          <w:color w:val="000000"/>
          <w:lang w:eastAsia="bg-BG"/>
        </w:rPr>
        <w:t>не е логично да са резистентни или умерено чувствителни.</w:t>
      </w:r>
    </w:p>
    <w:p w14:paraId="3988AEA1" w14:textId="77777777" w:rsidR="00D455B6" w:rsidRPr="00D455B6" w:rsidRDefault="00D455B6" w:rsidP="00D455B6">
      <w:pPr>
        <w:spacing w:line="240" w:lineRule="auto"/>
        <w:rPr>
          <w:rFonts w:eastAsia="Times New Roman" w:cs="Arial"/>
          <w:lang w:eastAsia="bg-BG"/>
        </w:rPr>
      </w:pPr>
      <w:r w:rsidRPr="00D455B6">
        <w:rPr>
          <w:rFonts w:eastAsia="Times New Roman" w:cs="Arial"/>
          <w:color w:val="000000"/>
          <w:lang w:eastAsia="bg-BG"/>
        </w:rPr>
        <w:t>Дисковете с цефазолин не трябва да се използват за определяне на антимикробната чувствителност към други цефалоспорини.</w:t>
      </w:r>
    </w:p>
    <w:p w14:paraId="4BA03426" w14:textId="77777777" w:rsidR="00D455B6" w:rsidRPr="00D455B6" w:rsidRDefault="00D455B6" w:rsidP="00D455B6">
      <w:pPr>
        <w:spacing w:line="240" w:lineRule="auto"/>
        <w:rPr>
          <w:rFonts w:eastAsia="Times New Roman" w:cs="Arial"/>
          <w:lang w:eastAsia="bg-BG"/>
        </w:rPr>
      </w:pPr>
      <w:r w:rsidRPr="00D455B6">
        <w:rPr>
          <w:rFonts w:eastAsia="Times New Roman" w:cs="Arial"/>
          <w:color w:val="000000"/>
          <w:lang w:eastAsia="bg-BG"/>
        </w:rPr>
        <w:t>Метод с падащи разреждания - бактериалният щам трябва да се счита за чувствителен, ако минималната инхибираща концентрация /М</w:t>
      </w:r>
      <w:r w:rsidRPr="00D455B6">
        <w:rPr>
          <w:rFonts w:eastAsia="Times New Roman" w:cs="Arial"/>
          <w:color w:val="000000"/>
          <w:lang w:val="en-US"/>
        </w:rPr>
        <w:t>I</w:t>
      </w:r>
      <w:r w:rsidRPr="00D455B6">
        <w:rPr>
          <w:rFonts w:eastAsia="Times New Roman" w:cs="Arial"/>
          <w:color w:val="000000"/>
          <w:lang w:eastAsia="bg-BG"/>
        </w:rPr>
        <w:t xml:space="preserve">С/ на цефазолин не е повече от 16 </w:t>
      </w:r>
      <w:r w:rsidRPr="00D455B6">
        <w:rPr>
          <w:rFonts w:eastAsia="Times New Roman" w:cs="Arial"/>
          <w:color w:val="000000"/>
          <w:lang w:val="en-US"/>
        </w:rPr>
        <w:t xml:space="preserve">mcg/ml. </w:t>
      </w:r>
      <w:r w:rsidRPr="00D455B6">
        <w:rPr>
          <w:rFonts w:eastAsia="Times New Roman" w:cs="Arial"/>
          <w:color w:val="000000"/>
          <w:lang w:eastAsia="bg-BG"/>
        </w:rPr>
        <w:t xml:space="preserve">Може да се счита, че микроорганизмите са резистентни, ако </w:t>
      </w:r>
      <w:r w:rsidRPr="00D455B6">
        <w:rPr>
          <w:rFonts w:eastAsia="Times New Roman" w:cs="Arial"/>
          <w:color w:val="000000"/>
          <w:lang w:val="en-US"/>
        </w:rPr>
        <w:t xml:space="preserve">MIC </w:t>
      </w:r>
      <w:r w:rsidRPr="00D455B6">
        <w:rPr>
          <w:rFonts w:eastAsia="Times New Roman" w:cs="Arial"/>
          <w:color w:val="000000"/>
          <w:lang w:eastAsia="bg-BG"/>
        </w:rPr>
        <w:t xml:space="preserve">≥64 </w:t>
      </w:r>
      <w:r w:rsidRPr="00D455B6">
        <w:rPr>
          <w:rFonts w:eastAsia="Times New Roman" w:cs="Arial"/>
          <w:color w:val="000000"/>
          <w:lang w:val="en-US"/>
        </w:rPr>
        <w:t>mcg/ml.</w:t>
      </w:r>
    </w:p>
    <w:p w14:paraId="437835A2" w14:textId="77777777" w:rsidR="00D455B6" w:rsidRPr="00D455B6" w:rsidRDefault="00D455B6" w:rsidP="00D455B6"/>
    <w:p w14:paraId="544FFDAF" w14:textId="64206E42" w:rsidR="00F62E44" w:rsidRDefault="002C50EE" w:rsidP="00387A66">
      <w:pPr>
        <w:pStyle w:val="Heading2"/>
      </w:pPr>
      <w:r>
        <w:t>5.2. Фармакокинетични свойства</w:t>
      </w:r>
    </w:p>
    <w:p w14:paraId="74BEBD07" w14:textId="77777777" w:rsidR="00D455B6" w:rsidRDefault="00D455B6" w:rsidP="00D455B6"/>
    <w:p w14:paraId="48C9F1D4" w14:textId="77777777" w:rsidR="00D455B6" w:rsidRPr="00D455B6" w:rsidRDefault="00D455B6" w:rsidP="00D455B6">
      <w:pPr>
        <w:spacing w:line="240" w:lineRule="auto"/>
        <w:rPr>
          <w:rFonts w:eastAsia="Times New Roman" w:cs="Arial"/>
          <w:lang w:eastAsia="bg-BG"/>
        </w:rPr>
      </w:pPr>
      <w:r w:rsidRPr="00D455B6">
        <w:rPr>
          <w:rFonts w:eastAsia="Times New Roman" w:cs="Arial"/>
          <w:color w:val="000000"/>
          <w:lang w:eastAsia="bg-BG"/>
        </w:rPr>
        <w:t xml:space="preserve">Поради лошата резорбция от стомашно-чревния тракт цефазолин се прилага парентерално. След интрамускулно приложение на доза от 500 </w:t>
      </w:r>
      <w:r w:rsidRPr="00D455B6">
        <w:rPr>
          <w:rFonts w:eastAsia="Times New Roman" w:cs="Arial"/>
          <w:color w:val="000000"/>
          <w:lang w:val="en-US"/>
        </w:rPr>
        <w:t xml:space="preserve">mg, </w:t>
      </w:r>
      <w:r w:rsidRPr="00D455B6">
        <w:rPr>
          <w:rFonts w:eastAsia="Times New Roman" w:cs="Arial"/>
          <w:color w:val="000000"/>
          <w:lang w:eastAsia="bg-BG"/>
        </w:rPr>
        <w:t>пикови плазмени нива от 30 μ</w:t>
      </w:r>
      <w:r w:rsidRPr="00D455B6">
        <w:rPr>
          <w:rFonts w:eastAsia="Times New Roman" w:cs="Arial"/>
          <w:color w:val="000000"/>
          <w:lang w:val="en-US"/>
        </w:rPr>
        <w:t xml:space="preserve">g/ml </w:t>
      </w:r>
      <w:r w:rsidRPr="00D455B6">
        <w:rPr>
          <w:rFonts w:eastAsia="Times New Roman" w:cs="Arial"/>
          <w:color w:val="000000"/>
          <w:lang w:eastAsia="bg-BG"/>
        </w:rPr>
        <w:t>се достигат след 1 час. Свързването с плазмените протеини е в около 90%. При нормална бъбречна функция времето на полуживот е около 1.8 часа. Цефазолин се екскретира непроменен с урината, приблизително 80% от дозата е откриваема до 24 часа след приложението.</w:t>
      </w:r>
    </w:p>
    <w:p w14:paraId="12C09278" w14:textId="77777777" w:rsidR="00D455B6" w:rsidRPr="00D455B6" w:rsidRDefault="00D455B6" w:rsidP="00D455B6"/>
    <w:p w14:paraId="6925FEB0" w14:textId="4B32C19A" w:rsidR="00F62E44" w:rsidRDefault="002C50EE" w:rsidP="00387A66">
      <w:pPr>
        <w:pStyle w:val="Heading2"/>
      </w:pPr>
      <w:r>
        <w:t>5.3. Предклинични данни за безопасност</w:t>
      </w:r>
    </w:p>
    <w:p w14:paraId="58455807" w14:textId="77777777" w:rsidR="00D455B6" w:rsidRDefault="00D455B6" w:rsidP="00D455B6"/>
    <w:p w14:paraId="4CD1CB67" w14:textId="77777777" w:rsidR="00D455B6" w:rsidRPr="00D455B6" w:rsidRDefault="00D455B6" w:rsidP="00D455B6">
      <w:pPr>
        <w:rPr>
          <w:sz w:val="24"/>
          <w:szCs w:val="24"/>
          <w:lang w:eastAsia="bg-BG"/>
        </w:rPr>
      </w:pPr>
      <w:r w:rsidRPr="00D455B6">
        <w:rPr>
          <w:lang w:eastAsia="bg-BG"/>
        </w:rPr>
        <w:t>От проучвания при животни няма данни за прояви на редуцирана фертилност или тератогенност. Проучванията при животни са показали, че съпътстващата употреба с мощни диуретици може да доведе до повишен риск от бъбречна токсичност.</w:t>
      </w:r>
    </w:p>
    <w:p w14:paraId="2B8786C5" w14:textId="77777777" w:rsidR="00D455B6" w:rsidRPr="00D455B6" w:rsidRDefault="00D455B6" w:rsidP="00D455B6"/>
    <w:p w14:paraId="357049A8" w14:textId="6CD46E4B" w:rsidR="00BB22B4" w:rsidRDefault="002C50EE" w:rsidP="00471F10">
      <w:pPr>
        <w:pStyle w:val="Heading1"/>
      </w:pPr>
      <w:r>
        <w:t>7. ПРИТЕЖАТЕЛ НА РАЗРЕШЕНИЕТО ЗА УПОТРЕБА</w:t>
      </w:r>
    </w:p>
    <w:p w14:paraId="1DC8BADF" w14:textId="77777777" w:rsidR="00D455B6" w:rsidRDefault="00D455B6" w:rsidP="00D455B6"/>
    <w:p w14:paraId="0BD0B8B6" w14:textId="77777777" w:rsidR="00D455B6" w:rsidRPr="00D455B6" w:rsidRDefault="00D455B6" w:rsidP="00D455B6">
      <w:pPr>
        <w:rPr>
          <w:sz w:val="24"/>
          <w:szCs w:val="24"/>
          <w:lang w:val="en-US" w:eastAsia="bg-BG"/>
        </w:rPr>
      </w:pPr>
      <w:proofErr w:type="spellStart"/>
      <w:r w:rsidRPr="00D455B6">
        <w:rPr>
          <w:lang w:val="en-US"/>
        </w:rPr>
        <w:t>Medochemie</w:t>
      </w:r>
      <w:proofErr w:type="spellEnd"/>
      <w:r w:rsidRPr="00D455B6">
        <w:rPr>
          <w:lang w:val="en-US"/>
        </w:rPr>
        <w:t xml:space="preserve"> Ltd., </w:t>
      </w:r>
      <w:r w:rsidRPr="00D455B6">
        <w:rPr>
          <w:lang w:eastAsia="bg-BG"/>
        </w:rPr>
        <w:t xml:space="preserve">1-10 </w:t>
      </w:r>
      <w:proofErr w:type="spellStart"/>
      <w:r w:rsidRPr="00D455B6">
        <w:rPr>
          <w:lang w:val="en-US"/>
        </w:rPr>
        <w:t>Constantinoupoleos</w:t>
      </w:r>
      <w:proofErr w:type="spellEnd"/>
      <w:r w:rsidRPr="00D455B6">
        <w:rPr>
          <w:lang w:val="en-US"/>
        </w:rPr>
        <w:t xml:space="preserve"> str., </w:t>
      </w:r>
      <w:proofErr w:type="spellStart"/>
      <w:r w:rsidRPr="00D455B6">
        <w:rPr>
          <w:lang w:val="en-US"/>
        </w:rPr>
        <w:t>p.o.</w:t>
      </w:r>
      <w:proofErr w:type="spellEnd"/>
      <w:r w:rsidRPr="00D455B6">
        <w:rPr>
          <w:lang w:val="en-US"/>
        </w:rPr>
        <w:t xml:space="preserve"> box 51409, Limassol, </w:t>
      </w:r>
      <w:r w:rsidRPr="00D455B6">
        <w:rPr>
          <w:lang w:eastAsia="bg-BG"/>
        </w:rPr>
        <w:t>Кипър</w:t>
      </w:r>
    </w:p>
    <w:p w14:paraId="315F6D9F" w14:textId="77777777" w:rsidR="00D455B6" w:rsidRPr="00D455B6" w:rsidRDefault="00D455B6" w:rsidP="00D455B6"/>
    <w:p w14:paraId="0A53321D" w14:textId="74FBD4FB" w:rsidR="00EE6C97" w:rsidRDefault="00936AD0" w:rsidP="00A93499">
      <w:pPr>
        <w:pStyle w:val="Heading1"/>
      </w:pPr>
      <w:r>
        <w:t>8.</w:t>
      </w:r>
      <w:r w:rsidR="002C50EE">
        <w:t>НОМЕР НА РАЗРЕШЕНИЕТО ЗА УПОТРЕБА</w:t>
      </w:r>
    </w:p>
    <w:p w14:paraId="7C2688F5" w14:textId="6D610EDF" w:rsidR="00F62E44" w:rsidRDefault="00F62E44" w:rsidP="00F62E44"/>
    <w:p w14:paraId="0EE99C14" w14:textId="43D5FE34" w:rsidR="00D455B6" w:rsidRDefault="00B60C99" w:rsidP="00B60C99">
      <w:r>
        <w:t>Pe</w:t>
      </w:r>
      <w:r>
        <w:t>г</w:t>
      </w:r>
      <w:r>
        <w:t>. №: 20040379</w:t>
      </w:r>
    </w:p>
    <w:p w14:paraId="00481C21" w14:textId="753A12CC" w:rsidR="00F62E44" w:rsidRDefault="002C50EE" w:rsidP="00387A66">
      <w:pPr>
        <w:pStyle w:val="Heading1"/>
      </w:pPr>
      <w:r>
        <w:lastRenderedPageBreak/>
        <w:t>9. ДАТА НА ПЪРВО РАЗРЕШАВАНЕ/ПОДНОВЯВАНЕ НА РАЗРЕШЕНИЕТО ЗА УПОТРЕБА</w:t>
      </w:r>
    </w:p>
    <w:p w14:paraId="6CC436FD" w14:textId="77777777" w:rsidR="00B60C99" w:rsidRDefault="00B60C99" w:rsidP="00B60C99"/>
    <w:p w14:paraId="0AB982B3" w14:textId="77777777" w:rsidR="00B60C99" w:rsidRPr="00B60C99" w:rsidRDefault="00B60C99" w:rsidP="00B60C99">
      <w:pPr>
        <w:rPr>
          <w:sz w:val="24"/>
          <w:szCs w:val="24"/>
          <w:lang w:eastAsia="bg-BG"/>
        </w:rPr>
      </w:pPr>
      <w:r w:rsidRPr="00B60C99">
        <w:rPr>
          <w:lang w:eastAsia="bg-BG"/>
        </w:rPr>
        <w:t>Дата на първо разрешение: 05 август 2004 г.</w:t>
      </w:r>
    </w:p>
    <w:p w14:paraId="09D7CD78" w14:textId="77777777" w:rsidR="00B60C99" w:rsidRPr="00B60C99" w:rsidRDefault="00B60C99" w:rsidP="00B60C99">
      <w:pPr>
        <w:rPr>
          <w:sz w:val="24"/>
          <w:szCs w:val="24"/>
          <w:lang w:eastAsia="bg-BG"/>
        </w:rPr>
      </w:pPr>
      <w:r w:rsidRPr="00B60C99">
        <w:rPr>
          <w:lang w:eastAsia="bg-BG"/>
        </w:rPr>
        <w:t>Дата на последно подновяване: 18 май 2010 г.</w:t>
      </w:r>
    </w:p>
    <w:p w14:paraId="12EBA3BE" w14:textId="77777777" w:rsidR="00B60C99" w:rsidRPr="00B60C99" w:rsidRDefault="00B60C99" w:rsidP="00B60C99"/>
    <w:p w14:paraId="43FB38A2" w14:textId="0C18A683" w:rsidR="007C605B" w:rsidRDefault="002C50EE" w:rsidP="005726E3">
      <w:pPr>
        <w:pStyle w:val="Heading1"/>
      </w:pPr>
      <w:r>
        <w:t>10. ДАТА НА АКТУАЛИЗИРАНЕ НА ТЕКСТА</w:t>
      </w:r>
      <w:bookmarkEnd w:id="0"/>
    </w:p>
    <w:p w14:paraId="472617BD" w14:textId="02FCF9E0" w:rsidR="00BB22B4" w:rsidRPr="00BB22B4" w:rsidRDefault="00B60C99" w:rsidP="00B60C99">
      <w:r>
        <w:t>03/2018</w:t>
      </w:r>
    </w:p>
    <w:sectPr w:rsidR="00BB22B4" w:rsidRPr="00BB2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9304D31"/>
    <w:multiLevelType w:val="hybridMultilevel"/>
    <w:tmpl w:val="558E93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47664A"/>
    <w:multiLevelType w:val="hybridMultilevel"/>
    <w:tmpl w:val="D9C4AB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6D37A7"/>
    <w:multiLevelType w:val="hybridMultilevel"/>
    <w:tmpl w:val="46CC86F0"/>
    <w:lvl w:ilvl="0" w:tplc="D1263D34">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5"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797BF9"/>
    <w:multiLevelType w:val="hybridMultilevel"/>
    <w:tmpl w:val="B6EE79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7466B7"/>
    <w:multiLevelType w:val="hybridMultilevel"/>
    <w:tmpl w:val="618A6E54"/>
    <w:lvl w:ilvl="0" w:tplc="6868E720">
      <w:start w:val="5"/>
      <w:numFmt w:val="bullet"/>
      <w:lvlText w:val="-"/>
      <w:lvlJc w:val="left"/>
      <w:pPr>
        <w:ind w:left="720" w:hanging="360"/>
      </w:pPr>
      <w:rPr>
        <w:rFonts w:ascii="Arial" w:eastAsia="Times New Roman" w:hAnsi="Arial" w:cs="Arial" w:hint="default"/>
        <w:color w:val="00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E06251"/>
    <w:multiLevelType w:val="hybridMultilevel"/>
    <w:tmpl w:val="1090AE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1574118384">
    <w:abstractNumId w:val="31"/>
  </w:num>
  <w:num w:numId="2" w16cid:durableId="1612932146">
    <w:abstractNumId w:val="0"/>
  </w:num>
  <w:num w:numId="3" w16cid:durableId="1810323821">
    <w:abstractNumId w:val="15"/>
  </w:num>
  <w:num w:numId="4" w16cid:durableId="2135319613">
    <w:abstractNumId w:val="3"/>
  </w:num>
  <w:num w:numId="5" w16cid:durableId="740105516">
    <w:abstractNumId w:val="1"/>
  </w:num>
  <w:num w:numId="6" w16cid:durableId="1668363208">
    <w:abstractNumId w:val="20"/>
  </w:num>
  <w:num w:numId="7" w16cid:durableId="1241988161">
    <w:abstractNumId w:val="12"/>
  </w:num>
  <w:num w:numId="8" w16cid:durableId="2102022361">
    <w:abstractNumId w:val="19"/>
  </w:num>
  <w:num w:numId="9" w16cid:durableId="1154613663">
    <w:abstractNumId w:val="2"/>
  </w:num>
  <w:num w:numId="10" w16cid:durableId="1733848127">
    <w:abstractNumId w:val="4"/>
  </w:num>
  <w:num w:numId="11" w16cid:durableId="1861704680">
    <w:abstractNumId w:val="35"/>
  </w:num>
  <w:num w:numId="12" w16cid:durableId="1434934028">
    <w:abstractNumId w:val="17"/>
  </w:num>
  <w:num w:numId="13" w16cid:durableId="479157895">
    <w:abstractNumId w:val="23"/>
  </w:num>
  <w:num w:numId="14" w16cid:durableId="1670476636">
    <w:abstractNumId w:val="14"/>
  </w:num>
  <w:num w:numId="15" w16cid:durableId="1000155783">
    <w:abstractNumId w:val="33"/>
  </w:num>
  <w:num w:numId="16" w16cid:durableId="2056420707">
    <w:abstractNumId w:val="11"/>
  </w:num>
  <w:num w:numId="17" w16cid:durableId="1787119182">
    <w:abstractNumId w:val="28"/>
  </w:num>
  <w:num w:numId="18" w16cid:durableId="722945139">
    <w:abstractNumId w:val="8"/>
  </w:num>
  <w:num w:numId="19" w16cid:durableId="1678728408">
    <w:abstractNumId w:val="30"/>
  </w:num>
  <w:num w:numId="20" w16cid:durableId="1970816657">
    <w:abstractNumId w:val="27"/>
  </w:num>
  <w:num w:numId="21" w16cid:durableId="1531146514">
    <w:abstractNumId w:val="21"/>
  </w:num>
  <w:num w:numId="22" w16cid:durableId="1276465">
    <w:abstractNumId w:val="29"/>
  </w:num>
  <w:num w:numId="23" w16cid:durableId="1624310558">
    <w:abstractNumId w:val="22"/>
  </w:num>
  <w:num w:numId="24" w16cid:durableId="1692877547">
    <w:abstractNumId w:val="9"/>
  </w:num>
  <w:num w:numId="25" w16cid:durableId="50930855">
    <w:abstractNumId w:val="26"/>
  </w:num>
  <w:num w:numId="26" w16cid:durableId="176701536">
    <w:abstractNumId w:val="25"/>
  </w:num>
  <w:num w:numId="27" w16cid:durableId="2050564750">
    <w:abstractNumId w:val="36"/>
  </w:num>
  <w:num w:numId="28" w16cid:durableId="1820733422">
    <w:abstractNumId w:val="6"/>
  </w:num>
  <w:num w:numId="29" w16cid:durableId="973678124">
    <w:abstractNumId w:val="24"/>
  </w:num>
  <w:num w:numId="30" w16cid:durableId="154884452">
    <w:abstractNumId w:val="41"/>
  </w:num>
  <w:num w:numId="31" w16cid:durableId="1053964910">
    <w:abstractNumId w:val="5"/>
  </w:num>
  <w:num w:numId="32" w16cid:durableId="2073575793">
    <w:abstractNumId w:val="39"/>
  </w:num>
  <w:num w:numId="33" w16cid:durableId="1566643170">
    <w:abstractNumId w:val="32"/>
  </w:num>
  <w:num w:numId="34" w16cid:durableId="2060787732">
    <w:abstractNumId w:val="37"/>
  </w:num>
  <w:num w:numId="35" w16cid:durableId="34161354">
    <w:abstractNumId w:val="7"/>
  </w:num>
  <w:num w:numId="36" w16cid:durableId="1976908676">
    <w:abstractNumId w:val="10"/>
  </w:num>
  <w:num w:numId="37" w16cid:durableId="758528303">
    <w:abstractNumId w:val="18"/>
  </w:num>
  <w:num w:numId="38" w16cid:durableId="178396561">
    <w:abstractNumId w:val="40"/>
  </w:num>
  <w:num w:numId="39" w16cid:durableId="934825996">
    <w:abstractNumId w:val="13"/>
  </w:num>
  <w:num w:numId="40" w16cid:durableId="1798908698">
    <w:abstractNumId w:val="16"/>
  </w:num>
  <w:num w:numId="41" w16cid:durableId="814181782">
    <w:abstractNumId w:val="34"/>
  </w:num>
  <w:num w:numId="42" w16cid:durableId="114370015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185A46"/>
    <w:rsid w:val="001915B6"/>
    <w:rsid w:val="001A6EBD"/>
    <w:rsid w:val="001D095A"/>
    <w:rsid w:val="001D1B23"/>
    <w:rsid w:val="002B3C38"/>
    <w:rsid w:val="002B4DBB"/>
    <w:rsid w:val="002C50EE"/>
    <w:rsid w:val="00340A0A"/>
    <w:rsid w:val="00340E8D"/>
    <w:rsid w:val="003765DC"/>
    <w:rsid w:val="00387A66"/>
    <w:rsid w:val="00395555"/>
    <w:rsid w:val="003E3126"/>
    <w:rsid w:val="00426E5F"/>
    <w:rsid w:val="00471F10"/>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8F7F23"/>
    <w:rsid w:val="00936AD0"/>
    <w:rsid w:val="00954129"/>
    <w:rsid w:val="009773E4"/>
    <w:rsid w:val="009B171C"/>
    <w:rsid w:val="009F1313"/>
    <w:rsid w:val="009F77A4"/>
    <w:rsid w:val="00A20351"/>
    <w:rsid w:val="00A428B7"/>
    <w:rsid w:val="00A65A81"/>
    <w:rsid w:val="00A71DCF"/>
    <w:rsid w:val="00A93499"/>
    <w:rsid w:val="00AA23EC"/>
    <w:rsid w:val="00AC63CE"/>
    <w:rsid w:val="00AE2107"/>
    <w:rsid w:val="00B275A8"/>
    <w:rsid w:val="00B60C99"/>
    <w:rsid w:val="00B6672E"/>
    <w:rsid w:val="00BA5B74"/>
    <w:rsid w:val="00BB22B4"/>
    <w:rsid w:val="00BF2600"/>
    <w:rsid w:val="00C0049F"/>
    <w:rsid w:val="00C07B84"/>
    <w:rsid w:val="00C33464"/>
    <w:rsid w:val="00C40420"/>
    <w:rsid w:val="00C809A7"/>
    <w:rsid w:val="00C83063"/>
    <w:rsid w:val="00C87E90"/>
    <w:rsid w:val="00CA1B57"/>
    <w:rsid w:val="00CF77F7"/>
    <w:rsid w:val="00D455B6"/>
    <w:rsid w:val="00D86297"/>
    <w:rsid w:val="00DB32D3"/>
    <w:rsid w:val="00DD466D"/>
    <w:rsid w:val="00E9184E"/>
    <w:rsid w:val="00EB6364"/>
    <w:rsid w:val="00EE6C97"/>
    <w:rsid w:val="00F37B64"/>
    <w:rsid w:val="00F53FB7"/>
    <w:rsid w:val="00F62E4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3006</Words>
  <Characters>17137</Characters>
  <Application>Microsoft Office Word</Application>
  <DocSecurity>0</DocSecurity>
  <Lines>142</Lines>
  <Paragraphs>40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2023-04-25T17:19:00Z</dcterms:created>
  <dcterms:modified xsi:type="dcterms:W3CDTF">2023-04-25T17:19:00Z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