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0308FB46" w:rsidR="009F77A4" w:rsidRDefault="00DD466D" w:rsidP="00387A66">
      <w:pPr>
        <w:pStyle w:val="Heading1"/>
      </w:pPr>
      <w:r>
        <w:t>1.ИМЕ НА ЛЕКАРСТВЕНИЯ ПРОДУКТ</w:t>
      </w:r>
    </w:p>
    <w:p w14:paraId="710516FD" w14:textId="77777777" w:rsidR="00C53D00" w:rsidRDefault="00C53D00" w:rsidP="00C53D00"/>
    <w:p w14:paraId="6B93CBFB" w14:textId="77777777" w:rsidR="00C53D00" w:rsidRPr="00C53D00" w:rsidRDefault="00C53D00" w:rsidP="00C53D00">
      <w:pPr>
        <w:rPr>
          <w:sz w:val="24"/>
          <w:szCs w:val="24"/>
          <w:lang w:val="en-US" w:eastAsia="bg-BG"/>
        </w:rPr>
      </w:pPr>
      <w:r w:rsidRPr="00C53D00">
        <w:rPr>
          <w:lang w:eastAsia="bg-BG"/>
        </w:rPr>
        <w:t xml:space="preserve">Зевесин 5 </w:t>
      </w:r>
      <w:r w:rsidRPr="00C53D00">
        <w:rPr>
          <w:lang w:val="en-US"/>
        </w:rPr>
        <w:t xml:space="preserve">mg </w:t>
      </w:r>
      <w:r w:rsidRPr="00C53D00">
        <w:rPr>
          <w:lang w:eastAsia="bg-BG"/>
        </w:rPr>
        <w:t>филмирани таблетки</w:t>
      </w:r>
    </w:p>
    <w:p w14:paraId="70D3B186" w14:textId="2CD41BB4" w:rsidR="00C53D00" w:rsidRPr="00C53D00" w:rsidRDefault="00C53D00" w:rsidP="00C53D00">
      <w:pPr>
        <w:rPr>
          <w:sz w:val="24"/>
          <w:szCs w:val="24"/>
          <w:lang w:val="en-US" w:eastAsia="bg-BG"/>
        </w:rPr>
      </w:pPr>
      <w:proofErr w:type="spellStart"/>
      <w:r w:rsidRPr="00C53D00">
        <w:rPr>
          <w:lang w:val="en-US"/>
        </w:rPr>
        <w:t>Zevesin</w:t>
      </w:r>
      <w:proofErr w:type="spellEnd"/>
      <w:r w:rsidRPr="00C53D00">
        <w:rPr>
          <w:lang w:val="en-US"/>
        </w:rPr>
        <w:t xml:space="preserve"> </w:t>
      </w:r>
      <w:r w:rsidRPr="00C53D00">
        <w:rPr>
          <w:lang w:eastAsia="bg-BG"/>
        </w:rPr>
        <w:t xml:space="preserve">5 </w:t>
      </w:r>
      <w:r w:rsidRPr="00C53D00">
        <w:rPr>
          <w:lang w:val="en-US"/>
        </w:rPr>
        <w:t>mg film-coated tablets</w:t>
      </w:r>
    </w:p>
    <w:p w14:paraId="0DF202EC" w14:textId="10882A08" w:rsidR="00F53FB7" w:rsidRDefault="00DD466D" w:rsidP="00A93499">
      <w:pPr>
        <w:pStyle w:val="Heading1"/>
      </w:pPr>
      <w:r>
        <w:t>2. КАЧЕСТВЕН И КОЛИЧЕСТВЕН СЪСТАВ</w:t>
      </w:r>
    </w:p>
    <w:p w14:paraId="337DA1B7" w14:textId="77777777" w:rsidR="00C53D00" w:rsidRDefault="00C53D00" w:rsidP="00C53D00"/>
    <w:p w14:paraId="36B6FA85" w14:textId="77777777" w:rsidR="00C53D00" w:rsidRPr="00C53D00" w:rsidRDefault="00C53D00" w:rsidP="00C53D00">
      <w:pPr>
        <w:rPr>
          <w:sz w:val="24"/>
          <w:szCs w:val="24"/>
          <w:lang w:eastAsia="bg-BG"/>
        </w:rPr>
      </w:pPr>
      <w:r w:rsidRPr="00C53D00">
        <w:rPr>
          <w:lang w:eastAsia="bg-BG"/>
        </w:rPr>
        <w:t xml:space="preserve">Всяка таблетка съдържа 5 </w:t>
      </w:r>
      <w:r w:rsidRPr="00C53D00">
        <w:rPr>
          <w:lang w:val="en-US"/>
        </w:rPr>
        <w:t xml:space="preserve">mg </w:t>
      </w:r>
      <w:r w:rsidRPr="00C53D00">
        <w:rPr>
          <w:lang w:eastAsia="bg-BG"/>
        </w:rPr>
        <w:t xml:space="preserve">активна съставка солифенацин сукцинат </w:t>
      </w:r>
      <w:r w:rsidRPr="00C53D00">
        <w:rPr>
          <w:i/>
          <w:iCs/>
          <w:lang w:val="en-US"/>
        </w:rPr>
        <w:t>(</w:t>
      </w:r>
      <w:proofErr w:type="spellStart"/>
      <w:r w:rsidRPr="00C53D00">
        <w:rPr>
          <w:i/>
          <w:iCs/>
          <w:lang w:val="en-US"/>
        </w:rPr>
        <w:t>solifenacin</w:t>
      </w:r>
      <w:proofErr w:type="spellEnd"/>
      <w:r w:rsidRPr="00C53D00">
        <w:rPr>
          <w:i/>
          <w:iCs/>
          <w:lang w:val="en-US"/>
        </w:rPr>
        <w:t xml:space="preserve"> succinate), </w:t>
      </w:r>
      <w:r w:rsidRPr="00C53D00">
        <w:rPr>
          <w:lang w:eastAsia="bg-BG"/>
        </w:rPr>
        <w:t xml:space="preserve">съответстваща на 3,8 </w:t>
      </w:r>
      <w:r w:rsidRPr="00C53D00">
        <w:rPr>
          <w:lang w:val="en-US"/>
        </w:rPr>
        <w:t xml:space="preserve">mg </w:t>
      </w:r>
      <w:r w:rsidRPr="00C53D00">
        <w:rPr>
          <w:lang w:eastAsia="bg-BG"/>
        </w:rPr>
        <w:t xml:space="preserve">солифенацин </w:t>
      </w:r>
      <w:r w:rsidRPr="00C53D00">
        <w:rPr>
          <w:i/>
          <w:iCs/>
          <w:lang w:val="en-US"/>
        </w:rPr>
        <w:t>(</w:t>
      </w:r>
      <w:proofErr w:type="spellStart"/>
      <w:r w:rsidRPr="00C53D00">
        <w:rPr>
          <w:i/>
          <w:iCs/>
          <w:lang w:val="en-US"/>
        </w:rPr>
        <w:t>solifenacin</w:t>
      </w:r>
      <w:proofErr w:type="spellEnd"/>
      <w:r w:rsidRPr="00C53D00">
        <w:rPr>
          <w:i/>
          <w:iCs/>
          <w:lang w:val="en-US"/>
        </w:rPr>
        <w:t>).</w:t>
      </w:r>
    </w:p>
    <w:p w14:paraId="3B82E1CB" w14:textId="60CC34FF" w:rsidR="00C53D00" w:rsidRPr="00C53D00" w:rsidRDefault="00C53D00" w:rsidP="00C53D00">
      <w:pPr>
        <w:rPr>
          <w:sz w:val="24"/>
          <w:szCs w:val="24"/>
          <w:lang w:eastAsia="bg-BG"/>
        </w:rPr>
      </w:pPr>
      <w:r w:rsidRPr="00C53D00">
        <w:rPr>
          <w:lang w:eastAsia="bg-BG"/>
        </w:rPr>
        <w:t xml:space="preserve">Помощни вещества с известен ефект: Лактоза монохидрат 149,05 </w:t>
      </w:r>
      <w:r w:rsidRPr="00C53D00">
        <w:rPr>
          <w:lang w:val="en-US"/>
        </w:rPr>
        <w:t>mg</w:t>
      </w:r>
    </w:p>
    <w:p w14:paraId="4CABB9ED" w14:textId="2740FB4D" w:rsidR="00F53FB7" w:rsidRDefault="00DD466D" w:rsidP="00A93499">
      <w:pPr>
        <w:pStyle w:val="Heading1"/>
      </w:pPr>
      <w:r>
        <w:t>3. ЛЕКАРСТВЕНА ФОРМА</w:t>
      </w:r>
    </w:p>
    <w:p w14:paraId="004E65A1" w14:textId="77777777" w:rsidR="00C53D00" w:rsidRDefault="00C53D00" w:rsidP="00C53D00"/>
    <w:p w14:paraId="6701CCD8" w14:textId="77777777" w:rsidR="00C53D00" w:rsidRPr="00C53D00" w:rsidRDefault="00C53D00" w:rsidP="00C53D00">
      <w:pPr>
        <w:rPr>
          <w:sz w:val="24"/>
          <w:szCs w:val="24"/>
          <w:lang w:eastAsia="bg-BG"/>
        </w:rPr>
      </w:pPr>
      <w:r w:rsidRPr="00C53D00">
        <w:rPr>
          <w:lang w:eastAsia="bg-BG"/>
        </w:rPr>
        <w:t>Филмирана таблетка</w:t>
      </w:r>
    </w:p>
    <w:p w14:paraId="72F8C3CF" w14:textId="77777777" w:rsidR="00C53D00" w:rsidRDefault="00C53D00" w:rsidP="00C53D00">
      <w:pPr>
        <w:rPr>
          <w:lang w:eastAsia="bg-BG"/>
        </w:rPr>
      </w:pPr>
    </w:p>
    <w:p w14:paraId="68BAC120" w14:textId="75A5C162" w:rsidR="00C53D00" w:rsidRPr="00C53D00" w:rsidRDefault="00C53D00" w:rsidP="00C53D00">
      <w:pPr>
        <w:rPr>
          <w:sz w:val="24"/>
          <w:szCs w:val="24"/>
          <w:lang w:eastAsia="bg-BG"/>
        </w:rPr>
      </w:pPr>
      <w:r w:rsidRPr="00C53D00">
        <w:rPr>
          <w:lang w:eastAsia="bg-BG"/>
        </w:rPr>
        <w:t xml:space="preserve">Зевесин 5 </w:t>
      </w:r>
      <w:r w:rsidRPr="00C53D00">
        <w:rPr>
          <w:lang w:val="en-US"/>
        </w:rPr>
        <w:t xml:space="preserve">mg: </w:t>
      </w:r>
      <w:r w:rsidRPr="00C53D00">
        <w:rPr>
          <w:lang w:eastAsia="bg-BG"/>
        </w:rPr>
        <w:t xml:space="preserve">бяла до бледожълта лещовидна филмирана таблетка с диаметър 8.0-8.2 </w:t>
      </w:r>
      <w:r w:rsidRPr="00C53D00">
        <w:rPr>
          <w:lang w:val="en-US"/>
        </w:rPr>
        <w:t>mm.</w:t>
      </w:r>
    </w:p>
    <w:p w14:paraId="490FC2C4" w14:textId="6899DE43" w:rsidR="002C50EE" w:rsidRDefault="002C50EE" w:rsidP="002C50EE">
      <w:pPr>
        <w:pStyle w:val="Heading1"/>
      </w:pPr>
      <w:r>
        <w:t>4. КЛИНИЧНИ ДАННИ</w:t>
      </w:r>
    </w:p>
    <w:p w14:paraId="461901E4" w14:textId="0A9C51D3" w:rsidR="009F77A4" w:rsidRDefault="002C50EE" w:rsidP="00387A66">
      <w:pPr>
        <w:pStyle w:val="Heading2"/>
      </w:pPr>
      <w:r>
        <w:t>4.1. Терапевтични показания</w:t>
      </w:r>
    </w:p>
    <w:p w14:paraId="38F3AB88" w14:textId="77777777" w:rsidR="00C53D00" w:rsidRDefault="00C53D00" w:rsidP="00C53D00"/>
    <w:p w14:paraId="2C5E4A36" w14:textId="77777777" w:rsidR="00C53D00" w:rsidRPr="00C53D00" w:rsidRDefault="00C53D00" w:rsidP="00C53D00">
      <w:pPr>
        <w:rPr>
          <w:sz w:val="24"/>
          <w:szCs w:val="24"/>
          <w:lang w:eastAsia="bg-BG"/>
        </w:rPr>
      </w:pPr>
      <w:r w:rsidRPr="00C53D00">
        <w:rPr>
          <w:lang w:eastAsia="bg-BG"/>
        </w:rPr>
        <w:t>Симптоматично лечение на инконтиненция на урина и/или увеличена честота на позиви за уриниране, срещащи се при пациенти със синдром на свръхактивен пикочен мехур.</w:t>
      </w:r>
    </w:p>
    <w:p w14:paraId="13DD32B2" w14:textId="77777777" w:rsidR="00C53D00" w:rsidRPr="00C53D00" w:rsidRDefault="00C53D00" w:rsidP="00C53D00"/>
    <w:p w14:paraId="31744E5A" w14:textId="29FBB145" w:rsidR="009F77A4" w:rsidRDefault="002C50EE" w:rsidP="00387A66">
      <w:pPr>
        <w:pStyle w:val="Heading2"/>
      </w:pPr>
      <w:r>
        <w:t>4.2. Дозировка и начин на приложение</w:t>
      </w:r>
    </w:p>
    <w:p w14:paraId="18ADCC17" w14:textId="77777777" w:rsidR="00C53D00" w:rsidRDefault="00C53D00" w:rsidP="00C53D00"/>
    <w:p w14:paraId="3AF39998" w14:textId="77777777" w:rsidR="00C53D00" w:rsidRPr="00C53D00" w:rsidRDefault="00C53D00" w:rsidP="00C53D00">
      <w:pPr>
        <w:pStyle w:val="Heading3"/>
        <w:rPr>
          <w:rFonts w:eastAsia="Times New Roman"/>
          <w:u w:val="single"/>
          <w:lang w:eastAsia="bg-BG"/>
        </w:rPr>
      </w:pPr>
      <w:r w:rsidRPr="00C53D00">
        <w:rPr>
          <w:rFonts w:eastAsia="Times New Roman"/>
          <w:u w:val="single"/>
          <w:lang w:eastAsia="bg-BG"/>
        </w:rPr>
        <w:t>Дозировка</w:t>
      </w:r>
    </w:p>
    <w:p w14:paraId="7748264F" w14:textId="77777777" w:rsidR="00C53D00" w:rsidRPr="00C53D00" w:rsidRDefault="00C53D00" w:rsidP="00C53D00">
      <w:pPr>
        <w:spacing w:line="240" w:lineRule="auto"/>
        <w:rPr>
          <w:rFonts w:eastAsia="Times New Roman" w:cs="Arial"/>
          <w:i/>
          <w:iCs/>
          <w:color w:val="000000"/>
          <w:lang w:eastAsia="bg-BG"/>
        </w:rPr>
      </w:pPr>
    </w:p>
    <w:p w14:paraId="2E5839A8" w14:textId="657C940A" w:rsidR="00C53D00" w:rsidRPr="00C53D00" w:rsidRDefault="00C53D00" w:rsidP="00C53D00">
      <w:pPr>
        <w:spacing w:line="240" w:lineRule="auto"/>
        <w:rPr>
          <w:rFonts w:eastAsia="Times New Roman" w:cs="Arial"/>
          <w:sz w:val="24"/>
          <w:szCs w:val="24"/>
          <w:lang w:eastAsia="bg-BG"/>
        </w:rPr>
      </w:pPr>
      <w:r w:rsidRPr="00C53D00">
        <w:rPr>
          <w:rFonts w:eastAsia="Times New Roman" w:cs="Arial"/>
          <w:i/>
          <w:iCs/>
          <w:color w:val="000000"/>
          <w:lang w:eastAsia="bg-BG"/>
        </w:rPr>
        <w:t>Възрастни, включително в напреднала възраст</w:t>
      </w:r>
    </w:p>
    <w:p w14:paraId="09A8A8EB"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 xml:space="preserve">Препоръчаната доза е 5 </w:t>
      </w:r>
      <w:r w:rsidRPr="00C53D00">
        <w:rPr>
          <w:rFonts w:eastAsia="Times New Roman" w:cs="Arial"/>
          <w:color w:val="000000"/>
          <w:lang w:val="en-US"/>
        </w:rPr>
        <w:t xml:space="preserve">mg </w:t>
      </w:r>
      <w:r w:rsidRPr="00C53D00">
        <w:rPr>
          <w:rFonts w:eastAsia="Times New Roman" w:cs="Arial"/>
          <w:color w:val="000000"/>
          <w:lang w:eastAsia="bg-BG"/>
        </w:rPr>
        <w:t xml:space="preserve">солифенацин сукцинат веднъж дневно. При необходимост може да се увеличи до 10 </w:t>
      </w:r>
      <w:r w:rsidRPr="00C53D00">
        <w:rPr>
          <w:rFonts w:eastAsia="Times New Roman" w:cs="Arial"/>
          <w:color w:val="000000"/>
          <w:lang w:val="en-US"/>
        </w:rPr>
        <w:t xml:space="preserve">mg </w:t>
      </w:r>
      <w:r w:rsidRPr="00C53D00">
        <w:rPr>
          <w:rFonts w:eastAsia="Times New Roman" w:cs="Arial"/>
          <w:color w:val="000000"/>
          <w:lang w:eastAsia="bg-BG"/>
        </w:rPr>
        <w:t>солифенацин сукцинат веднъж дневно.</w:t>
      </w:r>
    </w:p>
    <w:p w14:paraId="2664EC68"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i/>
          <w:iCs/>
          <w:color w:val="000000"/>
          <w:lang w:eastAsia="bg-BG"/>
        </w:rPr>
        <w:t>Специални популации</w:t>
      </w:r>
    </w:p>
    <w:p w14:paraId="69F1D4F9" w14:textId="77777777" w:rsidR="00C53D00" w:rsidRPr="00C53D00" w:rsidRDefault="00C53D00" w:rsidP="00C53D00">
      <w:pPr>
        <w:spacing w:line="240" w:lineRule="auto"/>
        <w:rPr>
          <w:rFonts w:eastAsia="Times New Roman" w:cs="Arial"/>
          <w:i/>
          <w:iCs/>
          <w:color w:val="000000"/>
          <w:u w:val="single"/>
          <w:lang w:eastAsia="bg-BG"/>
        </w:rPr>
      </w:pPr>
    </w:p>
    <w:p w14:paraId="08CE0BA1" w14:textId="25F2AD5F" w:rsidR="00C53D00" w:rsidRPr="00C53D00" w:rsidRDefault="00C53D00" w:rsidP="00C53D00">
      <w:pPr>
        <w:spacing w:line="240" w:lineRule="auto"/>
        <w:rPr>
          <w:rFonts w:eastAsia="Times New Roman" w:cs="Arial"/>
          <w:sz w:val="24"/>
          <w:szCs w:val="24"/>
          <w:lang w:eastAsia="bg-BG"/>
        </w:rPr>
      </w:pPr>
      <w:r w:rsidRPr="00C53D00">
        <w:rPr>
          <w:rFonts w:eastAsia="Times New Roman" w:cs="Arial"/>
          <w:i/>
          <w:iCs/>
          <w:color w:val="000000"/>
          <w:u w:val="single"/>
          <w:lang w:eastAsia="bg-BG"/>
        </w:rPr>
        <w:t>Педиатрична популация</w:t>
      </w:r>
    </w:p>
    <w:p w14:paraId="63A0DBA7"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Безопасността и ефективността на солифенацин при деца още не е доказана. Поради това солифенацин не трябва да се използва при деца.</w:t>
      </w:r>
    </w:p>
    <w:p w14:paraId="57D35306" w14:textId="77777777" w:rsidR="00C53D00" w:rsidRPr="00C53D00" w:rsidRDefault="00C53D00" w:rsidP="00C53D00">
      <w:pPr>
        <w:spacing w:line="240" w:lineRule="auto"/>
        <w:rPr>
          <w:rFonts w:eastAsia="Times New Roman" w:cs="Arial"/>
          <w:i/>
          <w:iCs/>
          <w:color w:val="000000"/>
          <w:lang w:eastAsia="bg-BG"/>
        </w:rPr>
      </w:pPr>
    </w:p>
    <w:p w14:paraId="2D179067" w14:textId="7D844EE3" w:rsidR="00C53D00" w:rsidRPr="00C53D00" w:rsidRDefault="00C53D00" w:rsidP="00C53D00">
      <w:pPr>
        <w:spacing w:line="240" w:lineRule="auto"/>
        <w:rPr>
          <w:rFonts w:eastAsia="Times New Roman" w:cs="Arial"/>
          <w:sz w:val="24"/>
          <w:szCs w:val="24"/>
          <w:lang w:eastAsia="bg-BG"/>
        </w:rPr>
      </w:pPr>
      <w:r w:rsidRPr="00C53D00">
        <w:rPr>
          <w:rFonts w:eastAsia="Times New Roman" w:cs="Arial"/>
          <w:i/>
          <w:iCs/>
          <w:color w:val="000000"/>
          <w:lang w:eastAsia="bg-BG"/>
        </w:rPr>
        <w:t>Пациенти със бъбречна недостатъчност</w:t>
      </w:r>
    </w:p>
    <w:p w14:paraId="7C0B871F"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 xml:space="preserve">При пациенти с лека до умерена бъбречна недостатъчност (креатининов клирънс &gt; 30 </w:t>
      </w:r>
      <w:r w:rsidRPr="00C53D00">
        <w:rPr>
          <w:rFonts w:eastAsia="Times New Roman" w:cs="Arial"/>
          <w:color w:val="000000"/>
          <w:lang w:val="en-US"/>
        </w:rPr>
        <w:t xml:space="preserve">ml/min) </w:t>
      </w:r>
      <w:r w:rsidRPr="00C53D00">
        <w:rPr>
          <w:rFonts w:eastAsia="Times New Roman" w:cs="Arial"/>
          <w:color w:val="000000"/>
          <w:lang w:eastAsia="bg-BG"/>
        </w:rPr>
        <w:t xml:space="preserve">не се налага адаптиране на дозата. Пациенти с тежка бъбречна недостатъчност (креатининов клирънс ≤ 30 </w:t>
      </w:r>
      <w:r w:rsidRPr="00C53D00">
        <w:rPr>
          <w:rFonts w:eastAsia="Times New Roman" w:cs="Arial"/>
          <w:color w:val="000000"/>
          <w:lang w:val="en-US"/>
        </w:rPr>
        <w:t xml:space="preserve">ml/min) </w:t>
      </w:r>
      <w:r w:rsidRPr="00C53D00">
        <w:rPr>
          <w:rFonts w:eastAsia="Times New Roman" w:cs="Arial"/>
          <w:color w:val="000000"/>
          <w:lang w:eastAsia="bg-BG"/>
        </w:rPr>
        <w:t xml:space="preserve">трябва да се лекуват внимателно и дневната доза да не надвишава 5 </w:t>
      </w:r>
      <w:r w:rsidRPr="00C53D00">
        <w:rPr>
          <w:rFonts w:eastAsia="Times New Roman" w:cs="Arial"/>
          <w:color w:val="000000"/>
          <w:lang w:val="en-US"/>
        </w:rPr>
        <w:t xml:space="preserve">mg </w:t>
      </w:r>
      <w:r w:rsidRPr="00C53D00">
        <w:rPr>
          <w:rFonts w:eastAsia="Times New Roman" w:cs="Arial"/>
          <w:color w:val="000000"/>
          <w:lang w:eastAsia="bg-BG"/>
        </w:rPr>
        <w:t>(вж. точка 5.2).</w:t>
      </w:r>
    </w:p>
    <w:p w14:paraId="6140AB28" w14:textId="77777777" w:rsidR="00C53D00" w:rsidRPr="00C53D00" w:rsidRDefault="00C53D00" w:rsidP="00C53D00">
      <w:pPr>
        <w:spacing w:line="240" w:lineRule="auto"/>
        <w:rPr>
          <w:rFonts w:eastAsia="Times New Roman" w:cs="Arial"/>
          <w:i/>
          <w:iCs/>
          <w:color w:val="000000"/>
          <w:lang w:eastAsia="bg-BG"/>
        </w:rPr>
      </w:pPr>
    </w:p>
    <w:p w14:paraId="614BA9F2" w14:textId="6124F10F" w:rsidR="00C53D00" w:rsidRPr="00C53D00" w:rsidRDefault="00C53D00" w:rsidP="00C53D00">
      <w:pPr>
        <w:spacing w:line="240" w:lineRule="auto"/>
        <w:rPr>
          <w:rFonts w:eastAsia="Times New Roman" w:cs="Arial"/>
          <w:sz w:val="24"/>
          <w:szCs w:val="24"/>
          <w:lang w:eastAsia="bg-BG"/>
        </w:rPr>
      </w:pPr>
      <w:r w:rsidRPr="00C53D00">
        <w:rPr>
          <w:rFonts w:eastAsia="Times New Roman" w:cs="Arial"/>
          <w:i/>
          <w:iCs/>
          <w:color w:val="000000"/>
          <w:lang w:eastAsia="bg-BG"/>
        </w:rPr>
        <w:lastRenderedPageBreak/>
        <w:t>Пациенти с чернодробна недостатъчност</w:t>
      </w:r>
    </w:p>
    <w:p w14:paraId="2EC38228"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 xml:space="preserve">При пациенти с лека степен на чернодробна недостатъчност не се налага адаптиране на дозата. При пациенти с умерена чернодробна недостатъчност (точки по </w:t>
      </w:r>
      <w:r w:rsidRPr="00C53D00">
        <w:rPr>
          <w:rFonts w:eastAsia="Times New Roman" w:cs="Arial"/>
          <w:color w:val="000000"/>
          <w:lang w:val="en-US"/>
        </w:rPr>
        <w:t xml:space="preserve">Child-Pugh 7 </w:t>
      </w:r>
      <w:r w:rsidRPr="00C53D00">
        <w:rPr>
          <w:rFonts w:eastAsia="Times New Roman" w:cs="Arial"/>
          <w:color w:val="000000"/>
          <w:lang w:eastAsia="bg-BG"/>
        </w:rPr>
        <w:t xml:space="preserve">до 9) лечението трябва да се провежда предпазливо и дневната доза да не надвишава 5 </w:t>
      </w:r>
      <w:r w:rsidRPr="00C53D00">
        <w:rPr>
          <w:rFonts w:eastAsia="Times New Roman" w:cs="Arial"/>
          <w:color w:val="000000"/>
          <w:lang w:val="en-US"/>
        </w:rPr>
        <w:t>mg. (</w:t>
      </w:r>
      <w:r w:rsidRPr="00C53D00">
        <w:rPr>
          <w:rFonts w:eastAsia="Times New Roman" w:cs="Arial"/>
          <w:color w:val="000000"/>
          <w:lang w:eastAsia="bg-BG"/>
        </w:rPr>
        <w:t>вж. точка 5.2)</w:t>
      </w:r>
    </w:p>
    <w:p w14:paraId="399C39EC" w14:textId="77777777" w:rsidR="00C53D00" w:rsidRPr="00C53D00" w:rsidRDefault="00C53D00" w:rsidP="00C53D00">
      <w:pPr>
        <w:rPr>
          <w:rFonts w:cs="Arial"/>
        </w:rPr>
      </w:pPr>
    </w:p>
    <w:p w14:paraId="2D52B5A0"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i/>
          <w:iCs/>
          <w:color w:val="000000"/>
          <w:lang w:eastAsia="bg-BG"/>
        </w:rPr>
        <w:t>Пациенти, лекувани едновременно с инхибитори на цитохром Р450 ЗА4.</w:t>
      </w:r>
      <w:r w:rsidRPr="00C53D00">
        <w:rPr>
          <w:rFonts w:eastAsia="Times New Roman" w:cs="Arial"/>
          <w:color w:val="000000"/>
          <w:lang w:eastAsia="bg-BG"/>
        </w:rPr>
        <w:t xml:space="preserve"> Максималната доза на солифенацин сукцинат трябва да бъде 5 </w:t>
      </w:r>
      <w:r w:rsidRPr="00C53D00">
        <w:rPr>
          <w:rFonts w:eastAsia="Times New Roman" w:cs="Arial"/>
          <w:color w:val="000000"/>
          <w:lang w:val="en-US"/>
        </w:rPr>
        <w:t xml:space="preserve">mg, </w:t>
      </w:r>
      <w:r w:rsidRPr="00C53D00">
        <w:rPr>
          <w:rFonts w:eastAsia="Times New Roman" w:cs="Arial"/>
          <w:color w:val="000000"/>
          <w:lang w:eastAsia="bg-BG"/>
        </w:rPr>
        <w:t xml:space="preserve">когато пациентите едновременно се лекуват с кетоконазол или терапевтични дози от други мощни инхибитори на </w:t>
      </w:r>
      <w:r w:rsidRPr="00C53D00">
        <w:rPr>
          <w:rFonts w:eastAsia="Times New Roman" w:cs="Arial"/>
          <w:color w:val="000000"/>
          <w:lang w:val="en-US"/>
        </w:rPr>
        <w:t xml:space="preserve">CYP </w:t>
      </w:r>
      <w:r w:rsidRPr="00C53D00">
        <w:rPr>
          <w:rFonts w:eastAsia="Times New Roman" w:cs="Arial"/>
          <w:color w:val="000000"/>
          <w:lang w:eastAsia="bg-BG"/>
        </w:rPr>
        <w:t>ЗА4, например ритонавир, нелфинавир, итраконазол (вж. точка 4.5).</w:t>
      </w:r>
    </w:p>
    <w:p w14:paraId="17C5B669" w14:textId="77777777" w:rsidR="00C53D00" w:rsidRPr="00C53D00" w:rsidRDefault="00C53D00" w:rsidP="00C53D00">
      <w:pPr>
        <w:spacing w:line="240" w:lineRule="auto"/>
        <w:rPr>
          <w:rFonts w:eastAsia="Times New Roman" w:cs="Arial"/>
          <w:color w:val="000000"/>
          <w:u w:val="single"/>
          <w:lang w:eastAsia="bg-BG"/>
        </w:rPr>
      </w:pPr>
    </w:p>
    <w:p w14:paraId="590E921E" w14:textId="3139F701" w:rsidR="00C53D00" w:rsidRPr="00C53D00" w:rsidRDefault="00C53D00" w:rsidP="00C53D00">
      <w:pPr>
        <w:pStyle w:val="Heading3"/>
        <w:rPr>
          <w:rFonts w:eastAsia="Times New Roman"/>
          <w:u w:val="single"/>
          <w:lang w:eastAsia="bg-BG"/>
        </w:rPr>
      </w:pPr>
      <w:r w:rsidRPr="00C53D00">
        <w:rPr>
          <w:rFonts w:eastAsia="Times New Roman"/>
          <w:u w:val="single"/>
          <w:lang w:eastAsia="bg-BG"/>
        </w:rPr>
        <w:t>Начин на приложение</w:t>
      </w:r>
    </w:p>
    <w:p w14:paraId="197B73B4" w14:textId="77777777" w:rsidR="00C53D00" w:rsidRPr="00C53D00" w:rsidRDefault="00C53D00" w:rsidP="00C53D00">
      <w:pPr>
        <w:spacing w:line="240" w:lineRule="auto"/>
        <w:rPr>
          <w:rFonts w:eastAsia="Times New Roman" w:cs="Arial"/>
          <w:color w:val="000000"/>
          <w:lang w:eastAsia="bg-BG"/>
        </w:rPr>
      </w:pPr>
    </w:p>
    <w:p w14:paraId="1F085E52" w14:textId="16F393D8"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Зевесин се приема перорално и таблетките се гълтат цели с течности, независимо дали с или без храна.</w:t>
      </w:r>
    </w:p>
    <w:p w14:paraId="6F72A1DE" w14:textId="77777777" w:rsidR="00C53D00" w:rsidRPr="00C53D00" w:rsidRDefault="00C53D00" w:rsidP="00C53D00"/>
    <w:p w14:paraId="5D9E65DA" w14:textId="37CC7594" w:rsidR="009F77A4" w:rsidRDefault="002C50EE" w:rsidP="00387A66">
      <w:pPr>
        <w:pStyle w:val="Heading2"/>
      </w:pPr>
      <w:r>
        <w:t>4.3. Противопоказания</w:t>
      </w:r>
    </w:p>
    <w:p w14:paraId="0383C16D" w14:textId="77777777" w:rsidR="00C53D00" w:rsidRDefault="00C53D00" w:rsidP="00C53D00"/>
    <w:p w14:paraId="705B5B8D"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Солифенацин е противопоказан при пациенти</w:t>
      </w:r>
    </w:p>
    <w:p w14:paraId="375FF573" w14:textId="77777777" w:rsidR="00C53D00" w:rsidRPr="00C53D00" w:rsidRDefault="00C53D00" w:rsidP="00C53D00">
      <w:pPr>
        <w:pStyle w:val="ListParagraph"/>
        <w:numPr>
          <w:ilvl w:val="0"/>
          <w:numId w:val="40"/>
        </w:numPr>
        <w:spacing w:line="240" w:lineRule="auto"/>
        <w:rPr>
          <w:rFonts w:eastAsia="Times New Roman" w:cs="Arial"/>
          <w:sz w:val="24"/>
          <w:szCs w:val="24"/>
          <w:lang w:eastAsia="bg-BG"/>
        </w:rPr>
      </w:pPr>
      <w:r w:rsidRPr="00C53D00">
        <w:rPr>
          <w:rFonts w:eastAsia="Times New Roman" w:cs="Arial"/>
          <w:color w:val="000000"/>
          <w:lang w:eastAsia="bg-BG"/>
        </w:rPr>
        <w:t>със свръхчувствителност към активната съставка или към което и да е от помощните вещества, изброени в точка 6.1.</w:t>
      </w:r>
    </w:p>
    <w:p w14:paraId="41C2302E" w14:textId="77777777" w:rsidR="00C53D00" w:rsidRPr="00C53D00" w:rsidRDefault="00C53D00" w:rsidP="00C53D00">
      <w:pPr>
        <w:pStyle w:val="ListParagraph"/>
        <w:numPr>
          <w:ilvl w:val="0"/>
          <w:numId w:val="40"/>
        </w:numPr>
        <w:spacing w:line="240" w:lineRule="auto"/>
        <w:rPr>
          <w:rFonts w:eastAsia="Times New Roman" w:cs="Arial"/>
          <w:sz w:val="24"/>
          <w:szCs w:val="24"/>
          <w:lang w:eastAsia="bg-BG"/>
        </w:rPr>
      </w:pPr>
      <w:r w:rsidRPr="00C53D00">
        <w:rPr>
          <w:rFonts w:eastAsia="Times New Roman" w:cs="Arial"/>
          <w:color w:val="000000"/>
          <w:lang w:eastAsia="bg-BG"/>
        </w:rPr>
        <w:t>със задръжка на урина, с тежки стомашно-чревни оплаквания (включително токсичен мегаколон), миастения гравис или тясноъгълна глаукома и при пациенти с риск за тези състояния.</w:t>
      </w:r>
    </w:p>
    <w:p w14:paraId="6018DE46" w14:textId="77777777" w:rsidR="00C53D00" w:rsidRPr="00C53D00" w:rsidRDefault="00C53D00" w:rsidP="00C53D00">
      <w:pPr>
        <w:pStyle w:val="ListParagraph"/>
        <w:numPr>
          <w:ilvl w:val="0"/>
          <w:numId w:val="40"/>
        </w:numPr>
        <w:spacing w:line="240" w:lineRule="auto"/>
        <w:rPr>
          <w:rFonts w:eastAsia="Times New Roman" w:cs="Arial"/>
          <w:sz w:val="24"/>
          <w:szCs w:val="24"/>
          <w:lang w:eastAsia="bg-BG"/>
        </w:rPr>
      </w:pPr>
      <w:r w:rsidRPr="00C53D00">
        <w:rPr>
          <w:rFonts w:eastAsia="Times New Roman" w:cs="Arial"/>
          <w:color w:val="000000"/>
          <w:lang w:eastAsia="bg-BG"/>
        </w:rPr>
        <w:t>подлежащи на хемодиализа (вж. точка 5.2);</w:t>
      </w:r>
    </w:p>
    <w:p w14:paraId="75D96539" w14:textId="77777777" w:rsidR="00C53D00" w:rsidRPr="00C53D00" w:rsidRDefault="00C53D00" w:rsidP="00C53D00">
      <w:pPr>
        <w:pStyle w:val="ListParagraph"/>
        <w:numPr>
          <w:ilvl w:val="0"/>
          <w:numId w:val="40"/>
        </w:numPr>
        <w:spacing w:line="240" w:lineRule="auto"/>
        <w:rPr>
          <w:rFonts w:eastAsia="Times New Roman" w:cs="Arial"/>
          <w:sz w:val="24"/>
          <w:szCs w:val="24"/>
          <w:lang w:eastAsia="bg-BG"/>
        </w:rPr>
      </w:pPr>
      <w:r w:rsidRPr="00C53D00">
        <w:rPr>
          <w:rFonts w:eastAsia="Times New Roman" w:cs="Arial"/>
          <w:color w:val="000000"/>
          <w:lang w:eastAsia="bg-BG"/>
        </w:rPr>
        <w:t>с тежко чернодробно увреждане (вж. точка 5.2);</w:t>
      </w:r>
    </w:p>
    <w:p w14:paraId="59527732" w14:textId="341A73CE" w:rsidR="00C53D00" w:rsidRPr="00C53D00" w:rsidRDefault="00C53D00" w:rsidP="00C53D00">
      <w:pPr>
        <w:pStyle w:val="ListParagraph"/>
        <w:numPr>
          <w:ilvl w:val="0"/>
          <w:numId w:val="40"/>
        </w:numPr>
        <w:spacing w:line="240" w:lineRule="auto"/>
        <w:rPr>
          <w:rFonts w:eastAsia="Times New Roman" w:cs="Arial"/>
          <w:sz w:val="24"/>
          <w:szCs w:val="24"/>
          <w:lang w:eastAsia="bg-BG"/>
        </w:rPr>
      </w:pPr>
      <w:r w:rsidRPr="00C53D00">
        <w:rPr>
          <w:rFonts w:eastAsia="Times New Roman" w:cs="Arial"/>
          <w:color w:val="000000"/>
          <w:lang w:eastAsia="bg-BG"/>
        </w:rPr>
        <w:t xml:space="preserve">с тежка бъбречна или умерена чернодробна недостатъчност и пациенти, които в момента се лекуват с мощен инхибитор на </w:t>
      </w:r>
      <w:r w:rsidRPr="00C53D00">
        <w:rPr>
          <w:rFonts w:eastAsia="Times New Roman" w:cs="Arial"/>
          <w:color w:val="000000"/>
          <w:lang w:val="en-US"/>
        </w:rPr>
        <w:t xml:space="preserve">CYP </w:t>
      </w:r>
      <w:r w:rsidRPr="00C53D00">
        <w:rPr>
          <w:rFonts w:eastAsia="Times New Roman" w:cs="Arial"/>
          <w:color w:val="000000"/>
          <w:lang w:eastAsia="bg-BG"/>
        </w:rPr>
        <w:t>ЗА4, напр. кетоконазол (вж. точка 4.5)</w:t>
      </w:r>
    </w:p>
    <w:p w14:paraId="4996E772" w14:textId="77777777" w:rsidR="00C53D00" w:rsidRPr="00C53D00" w:rsidRDefault="00C53D00" w:rsidP="00C53D00"/>
    <w:p w14:paraId="1C27CE53" w14:textId="39C79156" w:rsidR="009F77A4" w:rsidRDefault="002C50EE" w:rsidP="00387A66">
      <w:pPr>
        <w:pStyle w:val="Heading2"/>
      </w:pPr>
      <w:r>
        <w:t>4.4. Специални предупреждения и предпазни мерки при употреба</w:t>
      </w:r>
    </w:p>
    <w:p w14:paraId="1624402F" w14:textId="77777777" w:rsidR="00C53D00" w:rsidRDefault="00C53D00" w:rsidP="00C53D00"/>
    <w:p w14:paraId="60FB04B4"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Преди да започне лечението с Зевесин трябва да се установи дали честото уриниране не се дължи на други фактори (сърдечна недостатъчност или бъбречно заболяване). Ако има инфекция на пикочните пътища, трябва да започне подходящо антибактериално лечение.</w:t>
      </w:r>
    </w:p>
    <w:p w14:paraId="615D8502" w14:textId="77777777" w:rsidR="00C53D00" w:rsidRPr="00C53D00" w:rsidRDefault="00C53D00" w:rsidP="00C53D00">
      <w:pPr>
        <w:spacing w:line="240" w:lineRule="auto"/>
        <w:rPr>
          <w:rFonts w:eastAsia="Times New Roman" w:cs="Arial"/>
          <w:color w:val="000000"/>
          <w:lang w:eastAsia="bg-BG"/>
        </w:rPr>
      </w:pPr>
    </w:p>
    <w:p w14:paraId="18F04955" w14:textId="35D256ED"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Зевесин трябва да се използва с повишено внимание при пациенти с:</w:t>
      </w:r>
    </w:p>
    <w:p w14:paraId="6B20F0BD" w14:textId="77777777" w:rsidR="00C53D00" w:rsidRPr="00C53D00" w:rsidRDefault="00C53D00" w:rsidP="00C53D00">
      <w:pPr>
        <w:pStyle w:val="ListParagraph"/>
        <w:numPr>
          <w:ilvl w:val="0"/>
          <w:numId w:val="40"/>
        </w:numPr>
        <w:spacing w:line="240" w:lineRule="auto"/>
        <w:rPr>
          <w:rFonts w:eastAsia="Times New Roman" w:cs="Arial"/>
          <w:sz w:val="24"/>
          <w:szCs w:val="24"/>
          <w:lang w:eastAsia="bg-BG"/>
        </w:rPr>
      </w:pPr>
      <w:r w:rsidRPr="00C53D00">
        <w:rPr>
          <w:rFonts w:eastAsia="Times New Roman" w:cs="Arial"/>
          <w:color w:val="000000"/>
          <w:lang w:eastAsia="bg-BG"/>
        </w:rPr>
        <w:t>клинически значима обструкция на отока на пикочния мехур с риск за задръжката на урина;</w:t>
      </w:r>
    </w:p>
    <w:p w14:paraId="21105C8C" w14:textId="77777777" w:rsidR="00C53D00" w:rsidRPr="00C53D00" w:rsidRDefault="00C53D00" w:rsidP="00C53D00">
      <w:pPr>
        <w:pStyle w:val="ListParagraph"/>
        <w:numPr>
          <w:ilvl w:val="0"/>
          <w:numId w:val="40"/>
        </w:numPr>
        <w:spacing w:line="240" w:lineRule="auto"/>
        <w:rPr>
          <w:rFonts w:eastAsia="Times New Roman" w:cs="Arial"/>
          <w:sz w:val="24"/>
          <w:szCs w:val="24"/>
          <w:lang w:eastAsia="bg-BG"/>
        </w:rPr>
      </w:pPr>
      <w:r w:rsidRPr="00C53D00">
        <w:rPr>
          <w:rFonts w:eastAsia="Times New Roman" w:cs="Arial"/>
          <w:color w:val="000000"/>
          <w:lang w:eastAsia="bg-BG"/>
        </w:rPr>
        <w:t>стомашно-чревни обструктивни смущения;</w:t>
      </w:r>
    </w:p>
    <w:p w14:paraId="4419051C" w14:textId="77777777" w:rsidR="00C53D00" w:rsidRPr="00C53D00" w:rsidRDefault="00C53D00" w:rsidP="00C53D00">
      <w:pPr>
        <w:pStyle w:val="ListParagraph"/>
        <w:numPr>
          <w:ilvl w:val="0"/>
          <w:numId w:val="40"/>
        </w:numPr>
        <w:spacing w:line="240" w:lineRule="auto"/>
        <w:rPr>
          <w:rFonts w:eastAsia="Times New Roman" w:cs="Arial"/>
          <w:sz w:val="24"/>
          <w:szCs w:val="24"/>
          <w:lang w:eastAsia="bg-BG"/>
        </w:rPr>
      </w:pPr>
      <w:r w:rsidRPr="00C53D00">
        <w:rPr>
          <w:rFonts w:eastAsia="Times New Roman" w:cs="Arial"/>
          <w:color w:val="000000"/>
          <w:lang w:eastAsia="bg-BG"/>
        </w:rPr>
        <w:t>риск от намален стомашно-чревен мотилитет;</w:t>
      </w:r>
    </w:p>
    <w:p w14:paraId="196F4309" w14:textId="77777777" w:rsidR="00C53D00" w:rsidRPr="00C53D00" w:rsidRDefault="00C53D00" w:rsidP="00C53D00">
      <w:pPr>
        <w:pStyle w:val="ListParagraph"/>
        <w:numPr>
          <w:ilvl w:val="0"/>
          <w:numId w:val="40"/>
        </w:numPr>
        <w:spacing w:line="240" w:lineRule="auto"/>
        <w:rPr>
          <w:rFonts w:eastAsia="Times New Roman" w:cs="Arial"/>
          <w:sz w:val="24"/>
          <w:szCs w:val="24"/>
          <w:lang w:eastAsia="bg-BG"/>
        </w:rPr>
      </w:pPr>
      <w:r w:rsidRPr="00C53D00">
        <w:rPr>
          <w:rFonts w:eastAsia="Times New Roman" w:cs="Arial"/>
          <w:color w:val="000000"/>
          <w:lang w:eastAsia="bg-BG"/>
        </w:rPr>
        <w:t xml:space="preserve">тежка бъбречна недостатъчност (креатининов клирънс &lt; 30 </w:t>
      </w:r>
      <w:r w:rsidRPr="00C53D00">
        <w:rPr>
          <w:rFonts w:eastAsia="Times New Roman" w:cs="Arial"/>
          <w:color w:val="000000"/>
          <w:lang w:val="en-US"/>
        </w:rPr>
        <w:t xml:space="preserve">ml/min; </w:t>
      </w:r>
      <w:r w:rsidRPr="00C53D00">
        <w:rPr>
          <w:rFonts w:eastAsia="Times New Roman" w:cs="Arial"/>
          <w:color w:val="000000"/>
          <w:lang w:eastAsia="bg-BG"/>
        </w:rPr>
        <w:t xml:space="preserve">вж. точка 4.2 и 5.2) и дозата за тези пациенти не трябва да надвишава 5 </w:t>
      </w:r>
      <w:r w:rsidRPr="00C53D00">
        <w:rPr>
          <w:rFonts w:eastAsia="Times New Roman" w:cs="Arial"/>
          <w:color w:val="000000"/>
          <w:lang w:val="en-US"/>
        </w:rPr>
        <w:t>mg;</w:t>
      </w:r>
    </w:p>
    <w:p w14:paraId="500CE34F" w14:textId="77777777" w:rsidR="00C53D00" w:rsidRPr="00C53D00" w:rsidRDefault="00C53D00" w:rsidP="00C53D00">
      <w:pPr>
        <w:pStyle w:val="ListParagraph"/>
        <w:numPr>
          <w:ilvl w:val="0"/>
          <w:numId w:val="40"/>
        </w:numPr>
        <w:spacing w:line="240" w:lineRule="auto"/>
        <w:rPr>
          <w:rFonts w:eastAsia="Times New Roman" w:cs="Arial"/>
          <w:sz w:val="24"/>
          <w:szCs w:val="24"/>
          <w:lang w:eastAsia="bg-BG"/>
        </w:rPr>
      </w:pPr>
      <w:r w:rsidRPr="00C53D00">
        <w:rPr>
          <w:rFonts w:eastAsia="Times New Roman" w:cs="Arial"/>
          <w:color w:val="000000"/>
          <w:lang w:eastAsia="bg-BG"/>
        </w:rPr>
        <w:t xml:space="preserve">умерена чернодробна недостатъчност (точки по </w:t>
      </w:r>
      <w:r w:rsidRPr="00C53D00">
        <w:rPr>
          <w:rFonts w:eastAsia="Times New Roman" w:cs="Arial"/>
          <w:color w:val="000000"/>
          <w:lang w:val="en-US"/>
        </w:rPr>
        <w:t xml:space="preserve">Child-Pugh </w:t>
      </w:r>
      <w:r w:rsidRPr="00C53D00">
        <w:rPr>
          <w:rFonts w:eastAsia="Times New Roman" w:cs="Arial"/>
          <w:color w:val="000000"/>
          <w:lang w:eastAsia="bg-BG"/>
        </w:rPr>
        <w:t xml:space="preserve">7 до 9; вж. точка 4.2 и 5.2) и дозата не трябва да надвишава 5 </w:t>
      </w:r>
      <w:r w:rsidRPr="00C53D00">
        <w:rPr>
          <w:rFonts w:eastAsia="Times New Roman" w:cs="Arial"/>
          <w:color w:val="000000"/>
          <w:lang w:val="en-US"/>
        </w:rPr>
        <w:t>mg;</w:t>
      </w:r>
    </w:p>
    <w:p w14:paraId="6517BBBE" w14:textId="77777777" w:rsidR="00C53D00" w:rsidRPr="00C53D00" w:rsidRDefault="00C53D00" w:rsidP="00C53D00">
      <w:pPr>
        <w:pStyle w:val="ListParagraph"/>
        <w:numPr>
          <w:ilvl w:val="0"/>
          <w:numId w:val="40"/>
        </w:numPr>
        <w:spacing w:line="240" w:lineRule="auto"/>
        <w:rPr>
          <w:rFonts w:eastAsia="Times New Roman" w:cs="Arial"/>
          <w:sz w:val="24"/>
          <w:szCs w:val="24"/>
          <w:lang w:eastAsia="bg-BG"/>
        </w:rPr>
      </w:pPr>
      <w:r w:rsidRPr="00C53D00">
        <w:rPr>
          <w:rFonts w:eastAsia="Times New Roman" w:cs="Arial"/>
          <w:color w:val="000000"/>
          <w:lang w:eastAsia="bg-BG"/>
        </w:rPr>
        <w:t xml:space="preserve">едновременната употреба на мощен </w:t>
      </w:r>
      <w:r w:rsidRPr="00C53D00">
        <w:rPr>
          <w:rFonts w:eastAsia="Times New Roman" w:cs="Arial"/>
          <w:color w:val="000000"/>
          <w:lang w:val="en-US"/>
        </w:rPr>
        <w:t xml:space="preserve">CYP </w:t>
      </w:r>
      <w:r w:rsidRPr="00C53D00">
        <w:rPr>
          <w:rFonts w:eastAsia="Times New Roman" w:cs="Arial"/>
          <w:color w:val="000000"/>
          <w:lang w:eastAsia="bg-BG"/>
        </w:rPr>
        <w:t>ЗА4 инхибитор, напр. кетоконазол (вж. точка</w:t>
      </w:r>
      <w:r w:rsidRPr="00C53D00">
        <w:rPr>
          <w:rFonts w:eastAsia="Times New Roman" w:cs="Arial"/>
          <w:color w:val="000000"/>
          <w:lang w:val="en-US" w:eastAsia="bg-BG"/>
        </w:rPr>
        <w:t xml:space="preserve"> </w:t>
      </w:r>
      <w:r w:rsidRPr="00C53D00">
        <w:rPr>
          <w:rFonts w:eastAsia="Times New Roman" w:cs="Arial"/>
          <w:color w:val="000000"/>
          <w:lang w:eastAsia="bg-BG"/>
        </w:rPr>
        <w:t>4.2 и 4.5);</w:t>
      </w:r>
    </w:p>
    <w:p w14:paraId="11C631F3" w14:textId="77777777" w:rsidR="00C53D00" w:rsidRPr="00C53D00" w:rsidRDefault="00C53D00" w:rsidP="00C53D00">
      <w:pPr>
        <w:pStyle w:val="ListParagraph"/>
        <w:numPr>
          <w:ilvl w:val="0"/>
          <w:numId w:val="40"/>
        </w:numPr>
        <w:spacing w:line="240" w:lineRule="auto"/>
        <w:rPr>
          <w:rFonts w:eastAsia="Times New Roman" w:cs="Arial"/>
          <w:sz w:val="24"/>
          <w:szCs w:val="24"/>
          <w:lang w:eastAsia="bg-BG"/>
        </w:rPr>
      </w:pPr>
      <w:r w:rsidRPr="00C53D00">
        <w:rPr>
          <w:rFonts w:eastAsia="Times New Roman" w:cs="Arial"/>
          <w:color w:val="000000"/>
          <w:lang w:eastAsia="bg-BG"/>
        </w:rPr>
        <w:lastRenderedPageBreak/>
        <w:t>хиатусна херния/гастро-езофагеален рефлукс и/или такива, които към момента приемат лекарствени продукти (като бифосфонати), които могат да предизвикат или обострят езофагит;</w:t>
      </w:r>
    </w:p>
    <w:p w14:paraId="17282234" w14:textId="7992DA1B" w:rsidR="00C53D00" w:rsidRPr="00C53D00" w:rsidRDefault="00C53D00" w:rsidP="00C53D00">
      <w:pPr>
        <w:pStyle w:val="ListParagraph"/>
        <w:numPr>
          <w:ilvl w:val="0"/>
          <w:numId w:val="40"/>
        </w:numPr>
        <w:spacing w:line="240" w:lineRule="auto"/>
        <w:rPr>
          <w:rFonts w:eastAsia="Times New Roman" w:cs="Arial"/>
          <w:sz w:val="24"/>
          <w:szCs w:val="24"/>
          <w:lang w:eastAsia="bg-BG"/>
        </w:rPr>
      </w:pPr>
      <w:r w:rsidRPr="00C53D00">
        <w:rPr>
          <w:rFonts w:eastAsia="Times New Roman" w:cs="Arial"/>
          <w:color w:val="000000"/>
          <w:lang w:eastAsia="bg-BG"/>
        </w:rPr>
        <w:t>вегетативна невропатия.</w:t>
      </w:r>
    </w:p>
    <w:p w14:paraId="1F3D9B94" w14:textId="77777777" w:rsidR="00C53D00" w:rsidRPr="00C53D00" w:rsidRDefault="00C53D00" w:rsidP="00C53D00">
      <w:pPr>
        <w:spacing w:line="240" w:lineRule="auto"/>
        <w:rPr>
          <w:rFonts w:eastAsia="Times New Roman" w:cs="Arial"/>
          <w:color w:val="000000"/>
          <w:lang w:eastAsia="bg-BG"/>
        </w:rPr>
      </w:pPr>
    </w:p>
    <w:p w14:paraId="79B4EDF1" w14:textId="7B76FFBB"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 xml:space="preserve">При пациенти с рискови фактори като предшестващ удължен </w:t>
      </w:r>
      <w:r w:rsidRPr="00C53D00">
        <w:rPr>
          <w:rFonts w:eastAsia="Times New Roman" w:cs="Arial"/>
          <w:color w:val="000000"/>
          <w:lang w:val="en-US"/>
        </w:rPr>
        <w:t xml:space="preserve">QT </w:t>
      </w:r>
      <w:r w:rsidRPr="00C53D00">
        <w:rPr>
          <w:rFonts w:eastAsia="Times New Roman" w:cs="Arial"/>
          <w:color w:val="000000"/>
          <w:lang w:eastAsia="bg-BG"/>
        </w:rPr>
        <w:t xml:space="preserve">интервал и хипокалиемия, са наблюдавани удължен </w:t>
      </w:r>
      <w:r w:rsidRPr="00C53D00">
        <w:rPr>
          <w:rFonts w:eastAsia="Times New Roman" w:cs="Arial"/>
          <w:color w:val="000000"/>
          <w:lang w:val="en-US"/>
        </w:rPr>
        <w:t xml:space="preserve">QT </w:t>
      </w:r>
      <w:r w:rsidRPr="00C53D00">
        <w:rPr>
          <w:rFonts w:eastAsia="Times New Roman" w:cs="Arial"/>
          <w:color w:val="000000"/>
          <w:lang w:eastAsia="bg-BG"/>
        </w:rPr>
        <w:t xml:space="preserve">интервал и </w:t>
      </w:r>
      <w:r w:rsidRPr="00C53D00">
        <w:rPr>
          <w:rFonts w:eastAsia="Times New Roman" w:cs="Arial"/>
          <w:color w:val="000000"/>
          <w:lang w:val="en-US"/>
        </w:rPr>
        <w:t>torsade de pointes.</w:t>
      </w:r>
    </w:p>
    <w:p w14:paraId="4B7711E3" w14:textId="77777777" w:rsidR="00C53D00" w:rsidRPr="00C53D00" w:rsidRDefault="00C53D00" w:rsidP="00C53D00">
      <w:pPr>
        <w:spacing w:line="240" w:lineRule="auto"/>
        <w:rPr>
          <w:rFonts w:eastAsia="Times New Roman" w:cs="Arial"/>
          <w:color w:val="000000"/>
          <w:lang w:eastAsia="bg-BG"/>
        </w:rPr>
      </w:pPr>
    </w:p>
    <w:p w14:paraId="2D193A93" w14:textId="19862CF2"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Безопасността и ефективността при пациенти с неврогенна причина за свръхактивността на детрузора все още не е установена.</w:t>
      </w:r>
    </w:p>
    <w:p w14:paraId="4578D3E4" w14:textId="77777777" w:rsidR="00C53D00" w:rsidRPr="00C53D00" w:rsidRDefault="00C53D00" w:rsidP="00C53D00">
      <w:pPr>
        <w:spacing w:line="240" w:lineRule="auto"/>
        <w:rPr>
          <w:rFonts w:eastAsia="Times New Roman" w:cs="Arial"/>
          <w:color w:val="000000"/>
          <w:lang w:eastAsia="bg-BG"/>
        </w:rPr>
      </w:pPr>
    </w:p>
    <w:p w14:paraId="3BE8F557" w14:textId="31F6005E"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Ангиоедем с обструкция на дихателните пътища са били съобщавани при някои пациенти,</w:t>
      </w:r>
    </w:p>
    <w:p w14:paraId="7318DF92"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приемащи солифенацин сукцинат. Ако настъпи ангиоедем, трябва да се прекрати приема на солифенацин сукцинат и да се предприемат подходяща терапия и/или мерки</w:t>
      </w:r>
    </w:p>
    <w:p w14:paraId="4685A9E5" w14:textId="77777777" w:rsidR="00C53D00" w:rsidRPr="00C53D00" w:rsidRDefault="00C53D00" w:rsidP="00C53D00">
      <w:pPr>
        <w:rPr>
          <w:rFonts w:cs="Arial"/>
        </w:rPr>
      </w:pPr>
    </w:p>
    <w:p w14:paraId="4BC6436A"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При някои пациенти, лекувани със солифенацин сукцинат е съобщавана анафилактична реакция. При пациенти, които са развили анафилактични реакции, трябва да се прекрати приема на солифенацин сукцинат и да се предприемат подходяща терапия и/или мерки.</w:t>
      </w:r>
    </w:p>
    <w:p w14:paraId="2592FB71" w14:textId="77777777" w:rsidR="00C53D00" w:rsidRPr="00C53D00" w:rsidRDefault="00C53D00" w:rsidP="00C53D00">
      <w:pPr>
        <w:spacing w:line="240" w:lineRule="auto"/>
        <w:rPr>
          <w:rFonts w:eastAsia="Times New Roman" w:cs="Arial"/>
          <w:color w:val="000000"/>
          <w:lang w:eastAsia="bg-BG"/>
        </w:rPr>
      </w:pPr>
    </w:p>
    <w:p w14:paraId="10151FF0" w14:textId="41A6583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Максималния ефект на Зевесин може да се установи най-рано след 4 седмици.</w:t>
      </w:r>
    </w:p>
    <w:p w14:paraId="25D78080" w14:textId="77777777" w:rsidR="00C53D00" w:rsidRPr="00C53D00" w:rsidRDefault="00C53D00" w:rsidP="00C53D00">
      <w:pPr>
        <w:spacing w:line="240" w:lineRule="auto"/>
        <w:rPr>
          <w:rFonts w:eastAsia="Times New Roman" w:cs="Arial"/>
          <w:color w:val="000000"/>
          <w:lang w:eastAsia="bg-BG"/>
        </w:rPr>
      </w:pPr>
    </w:p>
    <w:p w14:paraId="1576F948" w14:textId="12C4E024"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Лекарственият продукт съдържа лактоза монохидрат. Пациенти с редки вродени проблеми на непоносимост към галактоза, обща лактазна недостатъчност или глюкозо-галактоза малабсорбция не трябва да приемат този продукт.</w:t>
      </w:r>
    </w:p>
    <w:p w14:paraId="2094A686" w14:textId="77777777" w:rsidR="00C53D00" w:rsidRPr="00C53D00" w:rsidRDefault="00C53D00" w:rsidP="00C53D00"/>
    <w:p w14:paraId="1DA47448" w14:textId="381F54E1"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1FE77A79" w14:textId="77777777" w:rsidR="00C53D00" w:rsidRDefault="00C53D00" w:rsidP="00C53D00"/>
    <w:p w14:paraId="52BAE4B4"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u w:val="single"/>
          <w:lang w:eastAsia="bg-BG"/>
        </w:rPr>
        <w:t>Фармакологични взаимодействия</w:t>
      </w:r>
    </w:p>
    <w:p w14:paraId="66E4B829"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Едновременното приложение с други лекарствени продукти с антихолинергични свойства може да засили терапевтичния ефект и нежеланите реакции. Трябва да мине около 1 седмица след спиране на лечението със Зевесин, преди да се започне приема на друго антихолинергично средство. Лечебният ефект на солифенацин може да се понижи при едновременно прилагане на агонисти на холинергичните рецептори.</w:t>
      </w:r>
    </w:p>
    <w:p w14:paraId="6F79F6E0"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Солифенацин може да намали ефекта на лекарствените продукти, които стимулират мотилитета на стомашно-чревния тракт, напр. метоклопрамид и цизаприд.</w:t>
      </w:r>
    </w:p>
    <w:p w14:paraId="20FE09B5" w14:textId="77777777" w:rsidR="00C53D00" w:rsidRPr="00C53D00" w:rsidRDefault="00C53D00" w:rsidP="00C53D00">
      <w:pPr>
        <w:spacing w:line="240" w:lineRule="auto"/>
        <w:rPr>
          <w:rFonts w:eastAsia="Times New Roman" w:cs="Arial"/>
          <w:color w:val="000000"/>
          <w:u w:val="single"/>
          <w:lang w:eastAsia="bg-BG"/>
        </w:rPr>
      </w:pPr>
    </w:p>
    <w:p w14:paraId="3500E47D" w14:textId="68C67832"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u w:val="single"/>
          <w:lang w:eastAsia="bg-BG"/>
        </w:rPr>
        <w:t>Фармакокинетични взаимодействия</w:t>
      </w:r>
    </w:p>
    <w:p w14:paraId="7E4A65A6"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Изследванията ,,</w:t>
      </w:r>
      <w:r w:rsidRPr="00C53D00">
        <w:rPr>
          <w:rFonts w:eastAsia="Times New Roman" w:cs="Arial"/>
          <w:color w:val="000000"/>
          <w:lang w:val="en-US"/>
        </w:rPr>
        <w:t>in vitro''</w:t>
      </w:r>
      <w:r w:rsidRPr="00C53D00">
        <w:rPr>
          <w:rFonts w:eastAsia="Times New Roman" w:cs="Arial"/>
          <w:color w:val="000000"/>
          <w:lang w:eastAsia="bg-BG"/>
        </w:rPr>
        <w:t xml:space="preserve"> показват, че солифенацин в терапевтични концентрации не инхибира </w:t>
      </w:r>
      <w:r w:rsidRPr="00C53D00">
        <w:rPr>
          <w:rFonts w:eastAsia="Times New Roman" w:cs="Arial"/>
          <w:color w:val="000000"/>
          <w:lang w:val="en-US"/>
        </w:rPr>
        <w:t xml:space="preserve">CYP </w:t>
      </w:r>
      <w:r w:rsidRPr="00C53D00">
        <w:rPr>
          <w:rFonts w:eastAsia="Times New Roman" w:cs="Arial"/>
          <w:color w:val="000000"/>
          <w:lang w:eastAsia="bg-BG"/>
        </w:rPr>
        <w:t>1А1/2,2С9,2С19,</w:t>
      </w:r>
      <w:r w:rsidRPr="00C53D00">
        <w:rPr>
          <w:rFonts w:eastAsia="Times New Roman" w:cs="Arial"/>
          <w:color w:val="000000"/>
          <w:lang w:val="en-US"/>
        </w:rPr>
        <w:t xml:space="preserve">2D6 </w:t>
      </w:r>
      <w:r w:rsidRPr="00C53D00">
        <w:rPr>
          <w:rFonts w:eastAsia="Times New Roman" w:cs="Arial"/>
          <w:color w:val="000000"/>
          <w:lang w:eastAsia="bg-BG"/>
        </w:rPr>
        <w:t xml:space="preserve">или ЗА4, получени от човешки чернодробни микрозоми. Затова не се очаква солифенацин да променя клирънса на лекарствените продукти, метаболизирани от тези </w:t>
      </w:r>
      <w:r w:rsidRPr="00C53D00">
        <w:rPr>
          <w:rFonts w:eastAsia="Times New Roman" w:cs="Arial"/>
          <w:color w:val="000000"/>
          <w:lang w:val="en-US"/>
        </w:rPr>
        <w:t xml:space="preserve">CYP </w:t>
      </w:r>
      <w:r w:rsidRPr="00C53D00">
        <w:rPr>
          <w:rFonts w:eastAsia="Times New Roman" w:cs="Arial"/>
          <w:color w:val="000000"/>
          <w:lang w:eastAsia="bg-BG"/>
        </w:rPr>
        <w:t>ензими.</w:t>
      </w:r>
    </w:p>
    <w:p w14:paraId="0D7D9B29" w14:textId="77777777" w:rsidR="00C53D00" w:rsidRPr="00C53D00" w:rsidRDefault="00C53D00" w:rsidP="00C53D00">
      <w:pPr>
        <w:spacing w:line="240" w:lineRule="auto"/>
        <w:rPr>
          <w:rFonts w:eastAsia="Times New Roman" w:cs="Arial"/>
          <w:color w:val="000000"/>
          <w:u w:val="single"/>
          <w:lang w:eastAsia="bg-BG"/>
        </w:rPr>
      </w:pPr>
    </w:p>
    <w:p w14:paraId="072A9422" w14:textId="4CC71BAD"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u w:val="single"/>
          <w:lang w:eastAsia="bg-BG"/>
        </w:rPr>
        <w:t xml:space="preserve">Ефект на други лекарствени продукти върху фармакокинетиката на солифенацин </w:t>
      </w:r>
      <w:r w:rsidRPr="00C53D00">
        <w:rPr>
          <w:rFonts w:eastAsia="Times New Roman" w:cs="Arial"/>
          <w:color w:val="000000"/>
          <w:lang w:eastAsia="bg-BG"/>
        </w:rPr>
        <w:t xml:space="preserve">Солифенацин се метаболизира от </w:t>
      </w:r>
      <w:r w:rsidRPr="00C53D00">
        <w:rPr>
          <w:rFonts w:eastAsia="Times New Roman" w:cs="Arial"/>
          <w:color w:val="000000"/>
          <w:lang w:val="en-US"/>
        </w:rPr>
        <w:t xml:space="preserve">CYP </w:t>
      </w:r>
      <w:r w:rsidRPr="00C53D00">
        <w:rPr>
          <w:rFonts w:eastAsia="Times New Roman" w:cs="Arial"/>
          <w:color w:val="000000"/>
          <w:lang w:eastAsia="bg-BG"/>
        </w:rPr>
        <w:t xml:space="preserve">ЗА4. Едновременният прием на кетоконазол (200 </w:t>
      </w:r>
      <w:r w:rsidRPr="00C53D00">
        <w:rPr>
          <w:rFonts w:eastAsia="Times New Roman" w:cs="Arial"/>
          <w:color w:val="000000"/>
          <w:lang w:val="en-US"/>
        </w:rPr>
        <w:t xml:space="preserve">mg </w:t>
      </w:r>
      <w:r w:rsidRPr="00C53D00">
        <w:rPr>
          <w:rFonts w:eastAsia="Times New Roman" w:cs="Arial"/>
          <w:color w:val="000000"/>
          <w:lang w:eastAsia="bg-BG"/>
        </w:rPr>
        <w:t xml:space="preserve">дневно), мощен инхибитор на </w:t>
      </w:r>
      <w:r w:rsidRPr="00C53D00">
        <w:rPr>
          <w:rFonts w:eastAsia="Times New Roman" w:cs="Arial"/>
          <w:color w:val="000000"/>
          <w:lang w:val="en-US"/>
        </w:rPr>
        <w:t xml:space="preserve">CYP </w:t>
      </w:r>
      <w:r w:rsidRPr="00C53D00">
        <w:rPr>
          <w:rFonts w:eastAsia="Times New Roman" w:cs="Arial"/>
          <w:color w:val="000000"/>
          <w:lang w:eastAsia="bg-BG"/>
        </w:rPr>
        <w:t xml:space="preserve">ЗА4, предизвиква 2-кратно увеличение на </w:t>
      </w:r>
      <w:r w:rsidRPr="00C53D00">
        <w:rPr>
          <w:rFonts w:eastAsia="Times New Roman" w:cs="Arial"/>
          <w:color w:val="000000"/>
          <w:lang w:val="en-US"/>
        </w:rPr>
        <w:t xml:space="preserve">AUC </w:t>
      </w:r>
      <w:r w:rsidRPr="00C53D00">
        <w:rPr>
          <w:rFonts w:eastAsia="Times New Roman" w:cs="Arial"/>
          <w:color w:val="000000"/>
          <w:lang w:eastAsia="bg-BG"/>
        </w:rPr>
        <w:t xml:space="preserve">на солифенацин, а кетоконазол в дневна доза 400 </w:t>
      </w:r>
      <w:r w:rsidRPr="00C53D00">
        <w:rPr>
          <w:rFonts w:eastAsia="Times New Roman" w:cs="Arial"/>
          <w:color w:val="000000"/>
          <w:lang w:val="en-US"/>
        </w:rPr>
        <w:t xml:space="preserve">mg </w:t>
      </w:r>
      <w:r w:rsidRPr="00C53D00">
        <w:rPr>
          <w:rFonts w:eastAsia="Times New Roman" w:cs="Arial"/>
          <w:color w:val="000000"/>
          <w:lang w:eastAsia="bg-BG"/>
        </w:rPr>
        <w:t xml:space="preserve">предизвиква 3-кратно увеличение на </w:t>
      </w:r>
      <w:r w:rsidRPr="00C53D00">
        <w:rPr>
          <w:rFonts w:eastAsia="Times New Roman" w:cs="Arial"/>
          <w:color w:val="000000"/>
          <w:lang w:val="en-US"/>
        </w:rPr>
        <w:t xml:space="preserve">AUC </w:t>
      </w:r>
      <w:r w:rsidRPr="00C53D00">
        <w:rPr>
          <w:rFonts w:eastAsia="Times New Roman" w:cs="Arial"/>
          <w:color w:val="000000"/>
          <w:lang w:eastAsia="bg-BG"/>
        </w:rPr>
        <w:t xml:space="preserve">на солифенацин. Затова максималната доза на Зевесин трябва да се ограничи до 5 </w:t>
      </w:r>
      <w:r w:rsidRPr="00C53D00">
        <w:rPr>
          <w:rFonts w:eastAsia="Times New Roman" w:cs="Arial"/>
          <w:color w:val="000000"/>
          <w:lang w:val="en-US"/>
        </w:rPr>
        <w:lastRenderedPageBreak/>
        <w:t xml:space="preserve">mg, </w:t>
      </w:r>
      <w:r w:rsidRPr="00C53D00">
        <w:rPr>
          <w:rFonts w:eastAsia="Times New Roman" w:cs="Arial"/>
          <w:color w:val="000000"/>
          <w:lang w:eastAsia="bg-BG"/>
        </w:rPr>
        <w:t xml:space="preserve">когато се използва едновременно с кетоконазол или с терапевтични дози от други мощни </w:t>
      </w:r>
      <w:r w:rsidRPr="00C53D00">
        <w:rPr>
          <w:rFonts w:eastAsia="Times New Roman" w:cs="Arial"/>
          <w:color w:val="000000"/>
          <w:lang w:val="en-US"/>
        </w:rPr>
        <w:t xml:space="preserve">CYP </w:t>
      </w:r>
      <w:r w:rsidRPr="00C53D00">
        <w:rPr>
          <w:rFonts w:eastAsia="Times New Roman" w:cs="Arial"/>
          <w:color w:val="000000"/>
          <w:lang w:eastAsia="bg-BG"/>
        </w:rPr>
        <w:t>3 А4 инхибитори (напр. ритонавир, нелфинавир, интраконазол) (вж. т. 4.2)</w:t>
      </w:r>
    </w:p>
    <w:p w14:paraId="07819587"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 xml:space="preserve">Едновременното лечение със солифенацин и мощен инхибитор на </w:t>
      </w:r>
      <w:r w:rsidRPr="00C53D00">
        <w:rPr>
          <w:rFonts w:eastAsia="Times New Roman" w:cs="Arial"/>
          <w:color w:val="000000"/>
          <w:lang w:val="en-US"/>
        </w:rPr>
        <w:t xml:space="preserve">CYP </w:t>
      </w:r>
      <w:r w:rsidRPr="00C53D00">
        <w:rPr>
          <w:rFonts w:eastAsia="Times New Roman" w:cs="Arial"/>
          <w:color w:val="000000"/>
          <w:lang w:eastAsia="bg-BG"/>
        </w:rPr>
        <w:t>ЗА4 е противопоказано при пациенти с тежка бъбречна недостатъчност и умерена и средно тежка чернодробна недостатъчност.</w:t>
      </w:r>
    </w:p>
    <w:p w14:paraId="1151FFDD"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 xml:space="preserve">Ефектите на ензимната индукция върху фармакокинетиката на солифенацин и метаболитите му не са проучени така добре, както ефектът на по-висок афинитет на </w:t>
      </w:r>
      <w:r w:rsidRPr="00C53D00">
        <w:rPr>
          <w:rFonts w:eastAsia="Times New Roman" w:cs="Arial"/>
          <w:color w:val="000000"/>
          <w:lang w:val="en-US"/>
        </w:rPr>
        <w:t xml:space="preserve">CYP </w:t>
      </w:r>
      <w:r w:rsidRPr="00C53D00">
        <w:rPr>
          <w:rFonts w:eastAsia="Times New Roman" w:cs="Arial"/>
          <w:color w:val="000000"/>
          <w:lang w:eastAsia="bg-BG"/>
        </w:rPr>
        <w:t xml:space="preserve">ЗА4 при контакт със солифенацин. Тъй като солифенацин се метаболизира от </w:t>
      </w:r>
      <w:r w:rsidRPr="00C53D00">
        <w:rPr>
          <w:rFonts w:eastAsia="Times New Roman" w:cs="Arial"/>
          <w:color w:val="000000"/>
          <w:lang w:val="en-US"/>
        </w:rPr>
        <w:t xml:space="preserve">CYP </w:t>
      </w:r>
      <w:r w:rsidRPr="00C53D00">
        <w:rPr>
          <w:rFonts w:eastAsia="Times New Roman" w:cs="Arial"/>
          <w:color w:val="000000"/>
          <w:lang w:eastAsia="bg-BG"/>
        </w:rPr>
        <w:t xml:space="preserve">ЗА4, са възможни фармакокинетични взаимодействия с други субстрати на </w:t>
      </w:r>
      <w:r w:rsidRPr="00C53D00">
        <w:rPr>
          <w:rFonts w:eastAsia="Times New Roman" w:cs="Arial"/>
          <w:color w:val="000000"/>
          <w:lang w:val="en-US"/>
        </w:rPr>
        <w:t xml:space="preserve">CYP </w:t>
      </w:r>
      <w:r w:rsidRPr="00C53D00">
        <w:rPr>
          <w:rFonts w:eastAsia="Times New Roman" w:cs="Arial"/>
          <w:color w:val="000000"/>
          <w:lang w:eastAsia="bg-BG"/>
        </w:rPr>
        <w:t xml:space="preserve">ЗА4 с по-висок афинитет (напр. верапамил, дилтиазем) и индуктори на </w:t>
      </w:r>
      <w:r w:rsidRPr="00C53D00">
        <w:rPr>
          <w:rFonts w:eastAsia="Times New Roman" w:cs="Arial"/>
          <w:color w:val="000000"/>
          <w:lang w:val="en-US"/>
        </w:rPr>
        <w:t xml:space="preserve">CYP </w:t>
      </w:r>
      <w:r w:rsidRPr="00C53D00">
        <w:rPr>
          <w:rFonts w:eastAsia="Times New Roman" w:cs="Arial"/>
          <w:color w:val="000000"/>
          <w:lang w:eastAsia="bg-BG"/>
        </w:rPr>
        <w:t>ЗА4 (напр. римфапицин, фенитоин, карбамазепин).</w:t>
      </w:r>
    </w:p>
    <w:p w14:paraId="35563615" w14:textId="77777777" w:rsidR="00C53D00" w:rsidRPr="00C53D00" w:rsidRDefault="00C53D00" w:rsidP="00C53D00">
      <w:pPr>
        <w:spacing w:line="240" w:lineRule="auto"/>
        <w:rPr>
          <w:rFonts w:eastAsia="Times New Roman" w:cs="Arial"/>
          <w:color w:val="000000"/>
          <w:u w:val="single"/>
          <w:lang w:eastAsia="bg-BG"/>
        </w:rPr>
      </w:pPr>
    </w:p>
    <w:p w14:paraId="11D16E05" w14:textId="26B6292C"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u w:val="single"/>
          <w:lang w:eastAsia="bg-BG"/>
        </w:rPr>
        <w:t>Ефект на солифенацин върху фармакокинетиката на други лекарствени продукти</w:t>
      </w:r>
    </w:p>
    <w:p w14:paraId="1CF2BD53" w14:textId="77777777" w:rsidR="00C53D00" w:rsidRPr="00C53D00" w:rsidRDefault="00C53D00" w:rsidP="00C53D00">
      <w:pPr>
        <w:spacing w:line="240" w:lineRule="auto"/>
        <w:rPr>
          <w:rFonts w:eastAsia="Times New Roman" w:cs="Arial"/>
          <w:i/>
          <w:iCs/>
          <w:color w:val="000000"/>
          <w:lang w:eastAsia="bg-BG"/>
        </w:rPr>
      </w:pPr>
    </w:p>
    <w:p w14:paraId="2A767A27" w14:textId="476586D7" w:rsidR="00C53D00" w:rsidRPr="00C53D00" w:rsidRDefault="00C53D00" w:rsidP="00C53D00">
      <w:pPr>
        <w:spacing w:line="240" w:lineRule="auto"/>
        <w:rPr>
          <w:rFonts w:eastAsia="Times New Roman" w:cs="Arial"/>
          <w:sz w:val="24"/>
          <w:szCs w:val="24"/>
          <w:lang w:eastAsia="bg-BG"/>
        </w:rPr>
      </w:pPr>
      <w:r w:rsidRPr="00C53D00">
        <w:rPr>
          <w:rFonts w:eastAsia="Times New Roman" w:cs="Arial"/>
          <w:i/>
          <w:iCs/>
          <w:color w:val="000000"/>
          <w:lang w:eastAsia="bg-BG"/>
        </w:rPr>
        <w:t>Перорални контрацептиви</w:t>
      </w:r>
    </w:p>
    <w:p w14:paraId="1E38F6D2"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Приемът на Зевесин не показва фармакокинетично взаимодействие на солифенацин с комбинираните перорални контрацептиви (етинилестрадиол / левоноргестрел).</w:t>
      </w:r>
    </w:p>
    <w:p w14:paraId="241071B6" w14:textId="77777777" w:rsidR="00C53D00" w:rsidRPr="00C53D00" w:rsidRDefault="00C53D00" w:rsidP="00C53D00">
      <w:pPr>
        <w:spacing w:line="240" w:lineRule="auto"/>
        <w:rPr>
          <w:rFonts w:eastAsia="Times New Roman" w:cs="Arial"/>
          <w:i/>
          <w:iCs/>
          <w:color w:val="000000"/>
          <w:lang w:eastAsia="bg-BG"/>
        </w:rPr>
      </w:pPr>
    </w:p>
    <w:p w14:paraId="0A61A92A" w14:textId="2755DD1D" w:rsidR="00C53D00" w:rsidRPr="00C53D00" w:rsidRDefault="00C53D00" w:rsidP="00C53D00">
      <w:pPr>
        <w:spacing w:line="240" w:lineRule="auto"/>
        <w:rPr>
          <w:rFonts w:eastAsia="Times New Roman" w:cs="Arial"/>
          <w:sz w:val="24"/>
          <w:szCs w:val="24"/>
          <w:lang w:eastAsia="bg-BG"/>
        </w:rPr>
      </w:pPr>
      <w:r w:rsidRPr="00C53D00">
        <w:rPr>
          <w:rFonts w:eastAsia="Times New Roman" w:cs="Arial"/>
          <w:i/>
          <w:iCs/>
          <w:color w:val="000000"/>
          <w:lang w:eastAsia="bg-BG"/>
        </w:rPr>
        <w:t>Варфарин</w:t>
      </w:r>
    </w:p>
    <w:p w14:paraId="5FA35FB0"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 xml:space="preserve">Употребата на Зевесин не променя фармакокинетиката на </w:t>
      </w:r>
      <w:r w:rsidRPr="00C53D00">
        <w:rPr>
          <w:rFonts w:eastAsia="Times New Roman" w:cs="Arial"/>
          <w:color w:val="000000"/>
          <w:lang w:val="en-US"/>
        </w:rPr>
        <w:t>R</w:t>
      </w:r>
      <w:r w:rsidRPr="00C53D00">
        <w:rPr>
          <w:rFonts w:eastAsia="Times New Roman" w:cs="Arial"/>
          <w:color w:val="000000"/>
          <w:lang w:eastAsia="bg-BG"/>
        </w:rPr>
        <w:t xml:space="preserve">-варфарин и </w:t>
      </w:r>
      <w:r w:rsidRPr="00C53D00">
        <w:rPr>
          <w:rFonts w:eastAsia="Times New Roman" w:cs="Arial"/>
          <w:color w:val="000000"/>
          <w:lang w:val="en-US"/>
        </w:rPr>
        <w:t>S-</w:t>
      </w:r>
      <w:r w:rsidRPr="00C53D00">
        <w:rPr>
          <w:rFonts w:eastAsia="Times New Roman" w:cs="Arial"/>
          <w:color w:val="000000"/>
          <w:lang w:eastAsia="bg-BG"/>
        </w:rPr>
        <w:t>варфарин, както и техния ефект върху протромбиновото време.</w:t>
      </w:r>
    </w:p>
    <w:p w14:paraId="2CFFEF5B" w14:textId="77777777" w:rsidR="00C53D00" w:rsidRPr="00C53D00" w:rsidRDefault="00C53D00" w:rsidP="00C53D00">
      <w:pPr>
        <w:spacing w:line="240" w:lineRule="auto"/>
        <w:rPr>
          <w:rFonts w:eastAsia="Times New Roman" w:cs="Arial"/>
          <w:i/>
          <w:iCs/>
          <w:color w:val="000000"/>
          <w:lang w:eastAsia="bg-BG"/>
        </w:rPr>
      </w:pPr>
    </w:p>
    <w:p w14:paraId="199ABBF4" w14:textId="25E7143B" w:rsidR="00C53D00" w:rsidRPr="00C53D00" w:rsidRDefault="00C53D00" w:rsidP="00C53D00">
      <w:pPr>
        <w:spacing w:line="240" w:lineRule="auto"/>
        <w:rPr>
          <w:rFonts w:eastAsia="Times New Roman" w:cs="Arial"/>
          <w:sz w:val="24"/>
          <w:szCs w:val="24"/>
          <w:lang w:eastAsia="bg-BG"/>
        </w:rPr>
      </w:pPr>
      <w:r w:rsidRPr="00C53D00">
        <w:rPr>
          <w:rFonts w:eastAsia="Times New Roman" w:cs="Arial"/>
          <w:i/>
          <w:iCs/>
          <w:color w:val="000000"/>
          <w:lang w:eastAsia="bg-BG"/>
        </w:rPr>
        <w:t>Дигоксин</w:t>
      </w:r>
    </w:p>
    <w:p w14:paraId="03ED1A67" w14:textId="60295163" w:rsidR="00C53D00" w:rsidRPr="00C53D00" w:rsidRDefault="00C53D00" w:rsidP="00C53D00">
      <w:pPr>
        <w:rPr>
          <w:rFonts w:eastAsia="Times New Roman" w:cs="Arial"/>
          <w:color w:val="000000"/>
          <w:lang w:eastAsia="bg-BG"/>
        </w:rPr>
      </w:pPr>
      <w:r w:rsidRPr="00C53D00">
        <w:rPr>
          <w:rFonts w:eastAsia="Times New Roman" w:cs="Arial"/>
          <w:color w:val="000000"/>
          <w:lang w:eastAsia="bg-BG"/>
        </w:rPr>
        <w:t>Приемът на Зевесин не оказва влияние върху фармакокинетиката на дигоксин.</w:t>
      </w:r>
    </w:p>
    <w:p w14:paraId="78602178" w14:textId="77777777" w:rsidR="00C53D00" w:rsidRPr="00C53D00" w:rsidRDefault="00C53D00" w:rsidP="00C53D00"/>
    <w:p w14:paraId="48846BBA" w14:textId="2507FDE7" w:rsidR="009F77A4" w:rsidRDefault="002C50EE" w:rsidP="00387A66">
      <w:pPr>
        <w:pStyle w:val="Heading2"/>
      </w:pPr>
      <w:r>
        <w:t>4.6. Фертилитет, бременност и кърмене</w:t>
      </w:r>
    </w:p>
    <w:p w14:paraId="2A835DEA" w14:textId="77777777" w:rsidR="00C53D00" w:rsidRDefault="00C53D00" w:rsidP="00C53D00"/>
    <w:p w14:paraId="0DEF0ACD" w14:textId="77777777" w:rsidR="00C53D00" w:rsidRPr="00C53D00" w:rsidRDefault="00C53D00" w:rsidP="00C53D00">
      <w:pPr>
        <w:pStyle w:val="Heading3"/>
        <w:rPr>
          <w:rFonts w:eastAsia="Times New Roman"/>
          <w:u w:val="single"/>
          <w:lang w:eastAsia="bg-BG"/>
        </w:rPr>
      </w:pPr>
      <w:r w:rsidRPr="00C53D00">
        <w:rPr>
          <w:rFonts w:eastAsia="Times New Roman"/>
          <w:u w:val="single"/>
          <w:lang w:eastAsia="bg-BG"/>
        </w:rPr>
        <w:t>Бременност</w:t>
      </w:r>
    </w:p>
    <w:p w14:paraId="267E03AF"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За солифенацин няма клинични данни за случаи на експозиция по време на бременност.</w:t>
      </w:r>
    </w:p>
    <w:p w14:paraId="4B6026AB"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Проучванията при животни не показват пряко или непряко вредно въздействие върху бременността, ембрионалното/феталното развитие и върху раждането (вж.5.3). Потенциалният риск при хора не е известен. На бременни жени трябва да се предписва с повишено внимание.</w:t>
      </w:r>
    </w:p>
    <w:p w14:paraId="7EA55AE4" w14:textId="77777777" w:rsidR="00C53D00" w:rsidRPr="00C53D00" w:rsidRDefault="00C53D00" w:rsidP="00C53D00">
      <w:pPr>
        <w:spacing w:line="240" w:lineRule="auto"/>
        <w:rPr>
          <w:rFonts w:eastAsia="Times New Roman" w:cs="Arial"/>
          <w:color w:val="000000"/>
          <w:u w:val="single"/>
          <w:lang w:eastAsia="bg-BG"/>
        </w:rPr>
      </w:pPr>
    </w:p>
    <w:p w14:paraId="42B83CA5" w14:textId="6759E4A4" w:rsidR="00C53D00" w:rsidRPr="00C53D00" w:rsidRDefault="00C53D00" w:rsidP="00C53D00">
      <w:pPr>
        <w:pStyle w:val="Heading3"/>
        <w:rPr>
          <w:rFonts w:eastAsia="Times New Roman"/>
          <w:u w:val="single"/>
          <w:lang w:eastAsia="bg-BG"/>
        </w:rPr>
      </w:pPr>
      <w:r w:rsidRPr="00C53D00">
        <w:rPr>
          <w:rFonts w:eastAsia="Times New Roman"/>
          <w:u w:val="single"/>
          <w:lang w:eastAsia="bg-BG"/>
        </w:rPr>
        <w:t>Кърмене</w:t>
      </w:r>
    </w:p>
    <w:p w14:paraId="30FB6D92"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Няма данни за екскрецията на солифенацин в кърмата при хора. При мишките солифенацин и/или метаболитите му се екскретират в кърмата и предизвикват дозозависимо забавяне на растежа на новородени мишки. (вж. точка 5.3). По тази причина употребата на Зевесин трябва да се избягва в периода на кърмене.</w:t>
      </w:r>
    </w:p>
    <w:p w14:paraId="223A8BDD" w14:textId="77777777" w:rsidR="00C53D00" w:rsidRPr="00C53D00" w:rsidRDefault="00C53D00" w:rsidP="00C53D00">
      <w:pPr>
        <w:spacing w:line="240" w:lineRule="auto"/>
        <w:rPr>
          <w:rFonts w:eastAsia="Times New Roman" w:cs="Arial"/>
          <w:color w:val="000000"/>
          <w:u w:val="single"/>
          <w:lang w:eastAsia="bg-BG"/>
        </w:rPr>
      </w:pPr>
    </w:p>
    <w:p w14:paraId="38A73588" w14:textId="289CCB93" w:rsidR="00C53D00" w:rsidRPr="00C53D00" w:rsidRDefault="00C53D00" w:rsidP="00C53D00">
      <w:pPr>
        <w:pStyle w:val="Heading3"/>
        <w:rPr>
          <w:rFonts w:eastAsia="Times New Roman"/>
          <w:u w:val="single"/>
          <w:lang w:eastAsia="bg-BG"/>
        </w:rPr>
      </w:pPr>
      <w:r w:rsidRPr="00C53D00">
        <w:rPr>
          <w:rFonts w:eastAsia="Times New Roman"/>
          <w:u w:val="single"/>
          <w:lang w:eastAsia="bg-BG"/>
        </w:rPr>
        <w:t>Фертилитет</w:t>
      </w:r>
    </w:p>
    <w:p w14:paraId="01BD84CB"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Няма данни, отнасящи се до фертилитета.</w:t>
      </w:r>
    </w:p>
    <w:p w14:paraId="587D393C" w14:textId="77777777" w:rsidR="00C53D00" w:rsidRPr="00C53D00" w:rsidRDefault="00C53D00" w:rsidP="00C53D00"/>
    <w:p w14:paraId="321AAB00" w14:textId="3EA4494E" w:rsidR="009F77A4" w:rsidRDefault="002C50EE" w:rsidP="00387A66">
      <w:pPr>
        <w:pStyle w:val="Heading2"/>
      </w:pPr>
      <w:r>
        <w:t>4.7. Ефекти върху способността за шофиране и работа с машини</w:t>
      </w:r>
    </w:p>
    <w:p w14:paraId="7A77E33B" w14:textId="77777777" w:rsidR="00C53D00" w:rsidRDefault="00C53D00" w:rsidP="00C53D00"/>
    <w:p w14:paraId="38C4C8CE" w14:textId="4EF46E17" w:rsidR="00C53D00" w:rsidRPr="00C53D00" w:rsidRDefault="00C53D00" w:rsidP="00C53D00">
      <w:r>
        <w:t>Тъй като солифенацин, както и другите антихолинергични средства, може да предизвика замъглено зрение и по-рядко сънливост и умора (вж. 4.8 Нежелани реакции), ефектите върху способността за шофиране и работа с машини могат да бъдат отрицателни.</w:t>
      </w:r>
    </w:p>
    <w:p w14:paraId="136C86B8" w14:textId="3F9D0CA1" w:rsidR="009F77A4" w:rsidRDefault="002C50EE" w:rsidP="00387A66">
      <w:pPr>
        <w:pStyle w:val="Heading2"/>
      </w:pPr>
      <w:r>
        <w:lastRenderedPageBreak/>
        <w:t>4.8. Нежелани лекарствени реакции</w:t>
      </w:r>
    </w:p>
    <w:p w14:paraId="578ECB1E" w14:textId="77777777" w:rsidR="00C53D00" w:rsidRDefault="00C53D00" w:rsidP="00C53D00"/>
    <w:p w14:paraId="51A2411A"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Резюме на профила на безопасност</w:t>
      </w:r>
    </w:p>
    <w:p w14:paraId="58A85072"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Поради фармакологичния си ефект солифенацин, може да предизвика леки или умерени по тежест нежелани лекарствени реакции. Честотата на антихолинергичните нежелани реакции е свързана с дозата.</w:t>
      </w:r>
    </w:p>
    <w:p w14:paraId="4C2302A0"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 xml:space="preserve">Най-често се съобщава за сухота в устата. Тя се появява при 11% от пациентите лекувани с дневна доза 5 </w:t>
      </w:r>
      <w:r w:rsidRPr="00C53D00">
        <w:rPr>
          <w:rFonts w:eastAsia="Times New Roman" w:cs="Arial"/>
          <w:color w:val="000000"/>
          <w:lang w:val="en-US"/>
        </w:rPr>
        <w:t xml:space="preserve">mg, </w:t>
      </w:r>
      <w:r w:rsidRPr="00C53D00">
        <w:rPr>
          <w:rFonts w:eastAsia="Times New Roman" w:cs="Arial"/>
          <w:color w:val="000000"/>
          <w:lang w:eastAsia="bg-BG"/>
        </w:rPr>
        <w:t xml:space="preserve">при 22% от тези, лекувани с доза 10 </w:t>
      </w:r>
      <w:r w:rsidRPr="00C53D00">
        <w:rPr>
          <w:rFonts w:eastAsia="Times New Roman" w:cs="Arial"/>
          <w:color w:val="000000"/>
          <w:lang w:val="en-US"/>
        </w:rPr>
        <w:t xml:space="preserve">mg </w:t>
      </w:r>
      <w:r w:rsidRPr="00C53D00">
        <w:rPr>
          <w:rFonts w:eastAsia="Times New Roman" w:cs="Arial"/>
          <w:color w:val="000000"/>
          <w:lang w:eastAsia="bg-BG"/>
        </w:rPr>
        <w:t>и при 4% от контролите с плацебо.</w:t>
      </w:r>
    </w:p>
    <w:p w14:paraId="76288C76" w14:textId="77777777"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Обичайно сухотата в устата е била лека и само в редки случаи се е наложило прекратяване лечението. Общо взето лекарствения продукт се приема добре (99%) и приблизително 90% от пациентите са провели пълния период от 12-седмично лечение по време на клиничното изпитване.</w:t>
      </w:r>
    </w:p>
    <w:p w14:paraId="7A0305B2" w14:textId="77777777" w:rsidR="00C53D00" w:rsidRPr="00C53D00" w:rsidRDefault="00C53D00" w:rsidP="00C53D00">
      <w:pPr>
        <w:spacing w:line="240" w:lineRule="auto"/>
        <w:rPr>
          <w:rFonts w:eastAsia="Times New Roman" w:cs="Arial"/>
          <w:color w:val="000000"/>
          <w:lang w:eastAsia="bg-BG"/>
        </w:rPr>
      </w:pPr>
    </w:p>
    <w:p w14:paraId="0CA190FE" w14:textId="6092C7AC" w:rsidR="00C53D00" w:rsidRPr="00C53D00" w:rsidRDefault="00C53D00" w:rsidP="00C53D00">
      <w:pPr>
        <w:spacing w:line="240" w:lineRule="auto"/>
        <w:rPr>
          <w:rFonts w:eastAsia="Times New Roman" w:cs="Arial"/>
          <w:sz w:val="24"/>
          <w:szCs w:val="24"/>
          <w:lang w:eastAsia="bg-BG"/>
        </w:rPr>
      </w:pPr>
      <w:r w:rsidRPr="00C53D00">
        <w:rPr>
          <w:rFonts w:eastAsia="Times New Roman" w:cs="Arial"/>
          <w:color w:val="000000"/>
          <w:lang w:eastAsia="bg-BG"/>
        </w:rPr>
        <w:t>Списък на нежеланите реакции в табличен вид</w:t>
      </w:r>
    </w:p>
    <w:p w14:paraId="25EF6366" w14:textId="2D441925" w:rsidR="00C53D00" w:rsidRPr="00C53D00" w:rsidRDefault="00C53D00" w:rsidP="00C53D00">
      <w:pPr>
        <w:rPr>
          <w:rFonts w:eastAsia="Times New Roman" w:cs="Arial"/>
          <w:color w:val="000000"/>
          <w:lang w:eastAsia="bg-BG"/>
        </w:rPr>
      </w:pPr>
      <w:r w:rsidRPr="00C53D00">
        <w:rPr>
          <w:rFonts w:eastAsia="Times New Roman" w:cs="Arial"/>
          <w:color w:val="000000"/>
          <w:lang w:eastAsia="bg-BG"/>
        </w:rPr>
        <w:t xml:space="preserve">Следващата таблица, обобщава нежеланите лекарствени реакции, получавани от солифенацин, разделени по групи спрямо терминологията </w:t>
      </w:r>
      <w:r w:rsidRPr="00C53D00">
        <w:rPr>
          <w:rFonts w:eastAsia="Times New Roman" w:cs="Arial"/>
          <w:color w:val="000000"/>
          <w:lang w:val="en-US"/>
        </w:rPr>
        <w:t xml:space="preserve">MedDRA </w:t>
      </w:r>
      <w:r w:rsidRPr="00C53D00">
        <w:rPr>
          <w:rFonts w:eastAsia="Times New Roman" w:cs="Arial"/>
          <w:color w:val="000000"/>
          <w:lang w:eastAsia="bg-BG"/>
        </w:rPr>
        <w:t>и честотата им: много чести (≥1/10); чести (≥1/100 до &lt;1/10); нечести (≥1/1 000 до &lt;1/100); редки (≥1/10 000 до &lt; 1/1 000); много редки (&lt;1/10 000), с неизвестна честота (от наличните данни не може да бъде направена оценка)</w:t>
      </w:r>
    </w:p>
    <w:p w14:paraId="1C9A31B5" w14:textId="77777777" w:rsidR="00C53D00" w:rsidRDefault="00C53D00" w:rsidP="00C53D00"/>
    <w:tbl>
      <w:tblPr>
        <w:tblStyle w:val="TableGrid"/>
        <w:tblW w:w="0" w:type="auto"/>
        <w:tblLook w:val="04A0" w:firstRow="1" w:lastRow="0" w:firstColumn="1" w:lastColumn="0" w:noHBand="0" w:noVBand="1"/>
      </w:tblPr>
      <w:tblGrid>
        <w:gridCol w:w="3114"/>
        <w:gridCol w:w="3091"/>
        <w:gridCol w:w="3145"/>
      </w:tblGrid>
      <w:tr w:rsidR="000F496C" w14:paraId="2698D7CB" w14:textId="77777777" w:rsidTr="00C53D00">
        <w:tc>
          <w:tcPr>
            <w:tcW w:w="3166" w:type="dxa"/>
          </w:tcPr>
          <w:p w14:paraId="781BF355" w14:textId="1DF75CF7" w:rsidR="000F496C" w:rsidRDefault="000F496C" w:rsidP="000F496C">
            <w:r>
              <w:rPr>
                <w:b/>
                <w:bCs/>
              </w:rPr>
              <w:t xml:space="preserve">Системно-органна класификация по </w:t>
            </w:r>
            <w:r>
              <w:rPr>
                <w:b/>
                <w:bCs/>
                <w:lang w:val="en-US"/>
              </w:rPr>
              <w:t>MedDRA</w:t>
            </w:r>
          </w:p>
        </w:tc>
        <w:tc>
          <w:tcPr>
            <w:tcW w:w="3167" w:type="dxa"/>
          </w:tcPr>
          <w:p w14:paraId="6352FACA" w14:textId="35B634D1" w:rsidR="000F496C" w:rsidRDefault="000F496C" w:rsidP="000F496C">
            <w:r>
              <w:rPr>
                <w:b/>
                <w:bCs/>
              </w:rPr>
              <w:t>Честота</w:t>
            </w:r>
          </w:p>
        </w:tc>
        <w:tc>
          <w:tcPr>
            <w:tcW w:w="3167" w:type="dxa"/>
          </w:tcPr>
          <w:p w14:paraId="016BFB6B" w14:textId="2A14FB89" w:rsidR="000F496C" w:rsidRDefault="000F496C" w:rsidP="000F496C">
            <w:r>
              <w:rPr>
                <w:b/>
                <w:bCs/>
              </w:rPr>
              <w:t>Нежелана реакция</w:t>
            </w:r>
          </w:p>
        </w:tc>
      </w:tr>
      <w:tr w:rsidR="000F496C" w14:paraId="76B8BC7A" w14:textId="77777777" w:rsidTr="00C53D00">
        <w:tc>
          <w:tcPr>
            <w:tcW w:w="3166" w:type="dxa"/>
          </w:tcPr>
          <w:p w14:paraId="509B48C2" w14:textId="020286CC" w:rsidR="000F496C" w:rsidRDefault="000F496C" w:rsidP="000F496C">
            <w:r>
              <w:t>Инфекции и инфестации</w:t>
            </w:r>
          </w:p>
        </w:tc>
        <w:tc>
          <w:tcPr>
            <w:tcW w:w="3167" w:type="dxa"/>
          </w:tcPr>
          <w:p w14:paraId="704320CA" w14:textId="35F9F349" w:rsidR="000F496C" w:rsidRDefault="000F496C" w:rsidP="000F496C">
            <w:r>
              <w:t>Нечести</w:t>
            </w:r>
          </w:p>
        </w:tc>
        <w:tc>
          <w:tcPr>
            <w:tcW w:w="3167" w:type="dxa"/>
          </w:tcPr>
          <w:p w14:paraId="5A4DD387" w14:textId="50F713AF" w:rsidR="000F496C" w:rsidRDefault="000F496C" w:rsidP="000F496C">
            <w:r>
              <w:t>Инфекции на пикочните пътища Цистит</w:t>
            </w:r>
          </w:p>
        </w:tc>
      </w:tr>
      <w:tr w:rsidR="000F496C" w14:paraId="0F912F18" w14:textId="77777777" w:rsidTr="00C53D00">
        <w:tc>
          <w:tcPr>
            <w:tcW w:w="3166" w:type="dxa"/>
          </w:tcPr>
          <w:p w14:paraId="28239DBE" w14:textId="31BAFB17" w:rsidR="000F496C" w:rsidRDefault="000F496C" w:rsidP="000F496C">
            <w:r>
              <w:t>Нарушения на имунната система</w:t>
            </w:r>
          </w:p>
        </w:tc>
        <w:tc>
          <w:tcPr>
            <w:tcW w:w="3167" w:type="dxa"/>
          </w:tcPr>
          <w:p w14:paraId="79673A97" w14:textId="6D3F6503" w:rsidR="000F496C" w:rsidRDefault="000F496C" w:rsidP="000F496C">
            <w:r>
              <w:t>С неизвестна честота</w:t>
            </w:r>
          </w:p>
        </w:tc>
        <w:tc>
          <w:tcPr>
            <w:tcW w:w="3167" w:type="dxa"/>
          </w:tcPr>
          <w:p w14:paraId="083FB862" w14:textId="3413251E" w:rsidR="000F496C" w:rsidRDefault="000F496C" w:rsidP="000F496C">
            <w:r>
              <w:t>Анафилактична реакция*</w:t>
            </w:r>
          </w:p>
        </w:tc>
      </w:tr>
      <w:tr w:rsidR="000F496C" w14:paraId="6CA3FAFC" w14:textId="77777777" w:rsidTr="00C53D00">
        <w:tc>
          <w:tcPr>
            <w:tcW w:w="3166" w:type="dxa"/>
          </w:tcPr>
          <w:p w14:paraId="4FC854A1" w14:textId="5D83C1A5" w:rsidR="000F496C" w:rsidRDefault="000F496C" w:rsidP="000F496C">
            <w:r>
              <w:t>Нарушения на метаболизма и храненето</w:t>
            </w:r>
          </w:p>
        </w:tc>
        <w:tc>
          <w:tcPr>
            <w:tcW w:w="3167" w:type="dxa"/>
          </w:tcPr>
          <w:p w14:paraId="53638512" w14:textId="22A8B74D" w:rsidR="000F496C" w:rsidRDefault="000F496C" w:rsidP="000F496C">
            <w:r>
              <w:t>С неизвестна честота</w:t>
            </w:r>
          </w:p>
        </w:tc>
        <w:tc>
          <w:tcPr>
            <w:tcW w:w="3167" w:type="dxa"/>
          </w:tcPr>
          <w:p w14:paraId="2BF4E28D" w14:textId="3D8CCF14" w:rsidR="000F496C" w:rsidRDefault="000F496C" w:rsidP="000F496C">
            <w:r>
              <w:t>Намален апетит** Хиперкалиемия*</w:t>
            </w:r>
          </w:p>
        </w:tc>
      </w:tr>
      <w:tr w:rsidR="000F496C" w14:paraId="5AAB0021" w14:textId="77777777" w:rsidTr="00C53D00">
        <w:tc>
          <w:tcPr>
            <w:tcW w:w="3166" w:type="dxa"/>
            <w:vMerge w:val="restart"/>
          </w:tcPr>
          <w:p w14:paraId="69E0857D" w14:textId="5DF0FE64" w:rsidR="000F496C" w:rsidRDefault="000F496C" w:rsidP="000F496C">
            <w:r>
              <w:t>Психични нарушения</w:t>
            </w:r>
          </w:p>
        </w:tc>
        <w:tc>
          <w:tcPr>
            <w:tcW w:w="3167" w:type="dxa"/>
          </w:tcPr>
          <w:p w14:paraId="656DF4A2" w14:textId="015C3127" w:rsidR="000F496C" w:rsidRDefault="000F496C" w:rsidP="000F496C">
            <w:r>
              <w:t>Много редки</w:t>
            </w:r>
          </w:p>
        </w:tc>
        <w:tc>
          <w:tcPr>
            <w:tcW w:w="3167" w:type="dxa"/>
          </w:tcPr>
          <w:p w14:paraId="48D64B15" w14:textId="77777777" w:rsidR="000F496C" w:rsidRDefault="000F496C" w:rsidP="000F496C">
            <w:r>
              <w:t>Халюцинации*</w:t>
            </w:r>
          </w:p>
          <w:p w14:paraId="464EDE17" w14:textId="600B3B05" w:rsidR="000F496C" w:rsidRDefault="000F496C" w:rsidP="000F496C">
            <w:r>
              <w:t>Конфузно състояние</w:t>
            </w:r>
          </w:p>
        </w:tc>
      </w:tr>
      <w:tr w:rsidR="000F496C" w14:paraId="4D758206" w14:textId="77777777" w:rsidTr="00C53D00">
        <w:tc>
          <w:tcPr>
            <w:tcW w:w="3166" w:type="dxa"/>
            <w:vMerge/>
          </w:tcPr>
          <w:p w14:paraId="6D30E1C7" w14:textId="77777777" w:rsidR="000F496C" w:rsidRDefault="000F496C" w:rsidP="000F496C"/>
        </w:tc>
        <w:tc>
          <w:tcPr>
            <w:tcW w:w="3167" w:type="dxa"/>
          </w:tcPr>
          <w:p w14:paraId="07528FCC" w14:textId="29E424AE" w:rsidR="000F496C" w:rsidRDefault="000F496C" w:rsidP="000F496C">
            <w:r>
              <w:t>С неизвестна честота</w:t>
            </w:r>
          </w:p>
        </w:tc>
        <w:tc>
          <w:tcPr>
            <w:tcW w:w="3167" w:type="dxa"/>
          </w:tcPr>
          <w:p w14:paraId="05634C5F" w14:textId="305FF656" w:rsidR="000F496C" w:rsidRDefault="000F496C" w:rsidP="000F496C">
            <w:r>
              <w:t>Делириум*</w:t>
            </w:r>
          </w:p>
        </w:tc>
      </w:tr>
      <w:tr w:rsidR="000F496C" w14:paraId="6D2E7F2B" w14:textId="77777777" w:rsidTr="00C53D00">
        <w:tc>
          <w:tcPr>
            <w:tcW w:w="3166" w:type="dxa"/>
            <w:vMerge w:val="restart"/>
          </w:tcPr>
          <w:p w14:paraId="3009EBC9" w14:textId="6C7A13E3" w:rsidR="000F496C" w:rsidRDefault="000F496C" w:rsidP="000F496C">
            <w:r>
              <w:t>Нарушения на нервната система</w:t>
            </w:r>
          </w:p>
        </w:tc>
        <w:tc>
          <w:tcPr>
            <w:tcW w:w="3167" w:type="dxa"/>
          </w:tcPr>
          <w:p w14:paraId="07A73C10" w14:textId="2259D2B8" w:rsidR="000F496C" w:rsidRDefault="000F496C" w:rsidP="000F496C">
            <w:r>
              <w:t>Нечести</w:t>
            </w:r>
          </w:p>
        </w:tc>
        <w:tc>
          <w:tcPr>
            <w:tcW w:w="3167" w:type="dxa"/>
          </w:tcPr>
          <w:p w14:paraId="6AF59C02" w14:textId="77777777" w:rsidR="000F496C" w:rsidRDefault="000F496C" w:rsidP="000F496C">
            <w:r>
              <w:t>Сомнолентност</w:t>
            </w:r>
          </w:p>
          <w:p w14:paraId="35B7F493" w14:textId="6B6ED749" w:rsidR="000F496C" w:rsidRDefault="000F496C" w:rsidP="000F496C">
            <w:r>
              <w:t>Дисгеузия</w:t>
            </w:r>
          </w:p>
        </w:tc>
      </w:tr>
      <w:tr w:rsidR="000F496C" w14:paraId="670D4D51" w14:textId="77777777" w:rsidTr="00C53D00">
        <w:tc>
          <w:tcPr>
            <w:tcW w:w="3166" w:type="dxa"/>
            <w:vMerge/>
          </w:tcPr>
          <w:p w14:paraId="2BD197AC" w14:textId="77777777" w:rsidR="000F496C" w:rsidRDefault="000F496C" w:rsidP="000F496C"/>
        </w:tc>
        <w:tc>
          <w:tcPr>
            <w:tcW w:w="3167" w:type="dxa"/>
          </w:tcPr>
          <w:p w14:paraId="22B46F7D" w14:textId="1645EE5A" w:rsidR="000F496C" w:rsidRDefault="000F496C" w:rsidP="000F496C">
            <w:r>
              <w:t>Редки</w:t>
            </w:r>
          </w:p>
        </w:tc>
        <w:tc>
          <w:tcPr>
            <w:tcW w:w="3167" w:type="dxa"/>
          </w:tcPr>
          <w:p w14:paraId="13D5BCA7" w14:textId="77777777" w:rsidR="000F496C" w:rsidRDefault="000F496C" w:rsidP="000F496C">
            <w:r>
              <w:t>Замаяност*</w:t>
            </w:r>
          </w:p>
          <w:p w14:paraId="7F25C541" w14:textId="09B310DD" w:rsidR="000F496C" w:rsidRDefault="000F496C" w:rsidP="000F496C">
            <w:r>
              <w:t>Главоболие*</w:t>
            </w:r>
          </w:p>
        </w:tc>
      </w:tr>
      <w:tr w:rsidR="000F496C" w14:paraId="76433B26" w14:textId="77777777" w:rsidTr="00C53D00">
        <w:tc>
          <w:tcPr>
            <w:tcW w:w="3166" w:type="dxa"/>
            <w:vMerge w:val="restart"/>
          </w:tcPr>
          <w:p w14:paraId="045BFC43" w14:textId="7D368253" w:rsidR="000F496C" w:rsidRDefault="000F496C" w:rsidP="000F496C">
            <w:r>
              <w:t>Нарушения на очите</w:t>
            </w:r>
          </w:p>
        </w:tc>
        <w:tc>
          <w:tcPr>
            <w:tcW w:w="3167" w:type="dxa"/>
          </w:tcPr>
          <w:p w14:paraId="57E95607" w14:textId="2F32A3EA" w:rsidR="000F496C" w:rsidRDefault="000F496C" w:rsidP="000F496C">
            <w:r>
              <w:t>Чести</w:t>
            </w:r>
          </w:p>
        </w:tc>
        <w:tc>
          <w:tcPr>
            <w:tcW w:w="3167" w:type="dxa"/>
          </w:tcPr>
          <w:p w14:paraId="2D963385" w14:textId="44C701ED" w:rsidR="000F496C" w:rsidRDefault="000F496C" w:rsidP="000F496C">
            <w:r>
              <w:t>Замъглено зрение</w:t>
            </w:r>
          </w:p>
        </w:tc>
      </w:tr>
      <w:tr w:rsidR="000F496C" w14:paraId="7FA6D0B8" w14:textId="77777777" w:rsidTr="00C53D00">
        <w:tc>
          <w:tcPr>
            <w:tcW w:w="3166" w:type="dxa"/>
            <w:vMerge/>
          </w:tcPr>
          <w:p w14:paraId="0C4105BD" w14:textId="77777777" w:rsidR="000F496C" w:rsidRDefault="000F496C" w:rsidP="000F496C"/>
        </w:tc>
        <w:tc>
          <w:tcPr>
            <w:tcW w:w="3167" w:type="dxa"/>
          </w:tcPr>
          <w:p w14:paraId="3585CA8D" w14:textId="21A1CA99" w:rsidR="000F496C" w:rsidRDefault="000F496C" w:rsidP="000F496C">
            <w:r>
              <w:t>Нечести</w:t>
            </w:r>
          </w:p>
        </w:tc>
        <w:tc>
          <w:tcPr>
            <w:tcW w:w="3167" w:type="dxa"/>
          </w:tcPr>
          <w:p w14:paraId="68B8411C" w14:textId="56E61FD4" w:rsidR="000F496C" w:rsidRDefault="000F496C" w:rsidP="000F496C">
            <w:r>
              <w:t>Сухота в очите</w:t>
            </w:r>
          </w:p>
        </w:tc>
      </w:tr>
      <w:tr w:rsidR="000F496C" w14:paraId="084260B8" w14:textId="77777777" w:rsidTr="00C53D00">
        <w:tc>
          <w:tcPr>
            <w:tcW w:w="3166" w:type="dxa"/>
            <w:vMerge/>
          </w:tcPr>
          <w:p w14:paraId="3DA22538" w14:textId="77777777" w:rsidR="000F496C" w:rsidRDefault="000F496C" w:rsidP="000F496C"/>
        </w:tc>
        <w:tc>
          <w:tcPr>
            <w:tcW w:w="3167" w:type="dxa"/>
          </w:tcPr>
          <w:p w14:paraId="107AB149" w14:textId="555FF675" w:rsidR="000F496C" w:rsidRDefault="000F496C" w:rsidP="000F496C">
            <w:r>
              <w:t>С неизвестна честота</w:t>
            </w:r>
          </w:p>
        </w:tc>
        <w:tc>
          <w:tcPr>
            <w:tcW w:w="3167" w:type="dxa"/>
          </w:tcPr>
          <w:p w14:paraId="4DEFEC20" w14:textId="5D7EDCAA" w:rsidR="000F496C" w:rsidRDefault="000F496C" w:rsidP="000F496C">
            <w:r>
              <w:t>Глаукома*</w:t>
            </w:r>
          </w:p>
        </w:tc>
      </w:tr>
      <w:tr w:rsidR="000F496C" w14:paraId="63D73807" w14:textId="77777777" w:rsidTr="00C53D00">
        <w:tc>
          <w:tcPr>
            <w:tcW w:w="3166" w:type="dxa"/>
          </w:tcPr>
          <w:p w14:paraId="75852531" w14:textId="66E450C1" w:rsidR="000F496C" w:rsidRDefault="000F496C" w:rsidP="000F496C">
            <w:r>
              <w:t>Сърдечни нарушения</w:t>
            </w:r>
          </w:p>
        </w:tc>
        <w:tc>
          <w:tcPr>
            <w:tcW w:w="3167" w:type="dxa"/>
          </w:tcPr>
          <w:p w14:paraId="0FF0CB67" w14:textId="5FFAE4A3" w:rsidR="000F496C" w:rsidRDefault="000F496C" w:rsidP="000F496C">
            <w:r>
              <w:t>С неизвестна честота</w:t>
            </w:r>
          </w:p>
        </w:tc>
        <w:tc>
          <w:tcPr>
            <w:tcW w:w="3167" w:type="dxa"/>
          </w:tcPr>
          <w:p w14:paraId="372229F7" w14:textId="77777777" w:rsidR="000F496C" w:rsidRDefault="000F496C" w:rsidP="000F496C">
            <w:r>
              <w:rPr>
                <w:lang w:val="en-US"/>
              </w:rPr>
              <w:t>Torsade de pointes*</w:t>
            </w:r>
          </w:p>
          <w:p w14:paraId="23B7F8F9" w14:textId="34B0C006" w:rsidR="000F496C" w:rsidRDefault="000F496C" w:rsidP="000F496C">
            <w:r>
              <w:t xml:space="preserve">Удължен </w:t>
            </w:r>
            <w:r>
              <w:rPr>
                <w:lang w:val="en-US"/>
              </w:rPr>
              <w:t xml:space="preserve">QT </w:t>
            </w:r>
            <w:r>
              <w:t>интервал в електрокардиограмата* Предсърдно мъждене* Палпитация* Тахикардия*</w:t>
            </w:r>
          </w:p>
        </w:tc>
      </w:tr>
      <w:tr w:rsidR="000F496C" w14:paraId="422AC131" w14:textId="77777777" w:rsidTr="00C53D00">
        <w:tc>
          <w:tcPr>
            <w:tcW w:w="3166" w:type="dxa"/>
            <w:vMerge w:val="restart"/>
          </w:tcPr>
          <w:p w14:paraId="528D6100" w14:textId="7BC3711B" w:rsidR="000F496C" w:rsidRDefault="000F496C" w:rsidP="000F496C">
            <w:r>
              <w:t>Респираторни, гръдни и медиастинални нарушения</w:t>
            </w:r>
          </w:p>
        </w:tc>
        <w:tc>
          <w:tcPr>
            <w:tcW w:w="3167" w:type="dxa"/>
          </w:tcPr>
          <w:p w14:paraId="14CF0B87" w14:textId="13D70B3A" w:rsidR="000F496C" w:rsidRDefault="000F496C" w:rsidP="000F496C">
            <w:r>
              <w:t>Нечести</w:t>
            </w:r>
          </w:p>
        </w:tc>
        <w:tc>
          <w:tcPr>
            <w:tcW w:w="3167" w:type="dxa"/>
          </w:tcPr>
          <w:p w14:paraId="65F9FB4E" w14:textId="3BD671A2" w:rsidR="000F496C" w:rsidRDefault="000F496C" w:rsidP="000F496C">
            <w:r>
              <w:t>Сухота в носа</w:t>
            </w:r>
          </w:p>
        </w:tc>
      </w:tr>
      <w:tr w:rsidR="000F496C" w14:paraId="0F109BFF" w14:textId="77777777" w:rsidTr="00C53D00">
        <w:tc>
          <w:tcPr>
            <w:tcW w:w="3166" w:type="dxa"/>
            <w:vMerge/>
          </w:tcPr>
          <w:p w14:paraId="7D42572E" w14:textId="77777777" w:rsidR="000F496C" w:rsidRDefault="000F496C" w:rsidP="000F496C"/>
        </w:tc>
        <w:tc>
          <w:tcPr>
            <w:tcW w:w="3167" w:type="dxa"/>
          </w:tcPr>
          <w:p w14:paraId="75176C81" w14:textId="2CD22B38" w:rsidR="000F496C" w:rsidRDefault="000F496C" w:rsidP="000F496C">
            <w:r>
              <w:t>С неизвестна честота</w:t>
            </w:r>
          </w:p>
        </w:tc>
        <w:tc>
          <w:tcPr>
            <w:tcW w:w="3167" w:type="dxa"/>
          </w:tcPr>
          <w:p w14:paraId="1EAA872D" w14:textId="15D0D53E" w:rsidR="000F496C" w:rsidRDefault="000F496C" w:rsidP="000F496C">
            <w:r>
              <w:t>Дисфония*</w:t>
            </w:r>
          </w:p>
        </w:tc>
      </w:tr>
      <w:tr w:rsidR="000F496C" w14:paraId="20411577" w14:textId="77777777" w:rsidTr="00C53D00">
        <w:tc>
          <w:tcPr>
            <w:tcW w:w="3166" w:type="dxa"/>
            <w:vMerge w:val="restart"/>
          </w:tcPr>
          <w:p w14:paraId="0B3D4687" w14:textId="07917375" w:rsidR="000F496C" w:rsidRDefault="000F496C" w:rsidP="000F496C">
            <w:r>
              <w:t>Стомашно-чревни нарушения</w:t>
            </w:r>
          </w:p>
        </w:tc>
        <w:tc>
          <w:tcPr>
            <w:tcW w:w="3167" w:type="dxa"/>
          </w:tcPr>
          <w:p w14:paraId="48C7680F" w14:textId="7207115D" w:rsidR="000F496C" w:rsidRDefault="000F496C" w:rsidP="000F496C">
            <w:r>
              <w:t>Много чести</w:t>
            </w:r>
          </w:p>
        </w:tc>
        <w:tc>
          <w:tcPr>
            <w:tcW w:w="3167" w:type="dxa"/>
          </w:tcPr>
          <w:p w14:paraId="24EFD813" w14:textId="14321007" w:rsidR="000F496C" w:rsidRDefault="000F496C" w:rsidP="000F496C">
            <w:r>
              <w:t>Сухота в устата</w:t>
            </w:r>
          </w:p>
        </w:tc>
      </w:tr>
      <w:tr w:rsidR="000F496C" w14:paraId="5A0E98E4" w14:textId="77777777" w:rsidTr="00C53D00">
        <w:tc>
          <w:tcPr>
            <w:tcW w:w="3166" w:type="dxa"/>
            <w:vMerge/>
          </w:tcPr>
          <w:p w14:paraId="7BE1316C" w14:textId="77777777" w:rsidR="000F496C" w:rsidRDefault="000F496C" w:rsidP="000F496C"/>
        </w:tc>
        <w:tc>
          <w:tcPr>
            <w:tcW w:w="3167" w:type="dxa"/>
          </w:tcPr>
          <w:p w14:paraId="0931E91C" w14:textId="5F9D9E1B" w:rsidR="000F496C" w:rsidRDefault="000F496C" w:rsidP="000F496C">
            <w:r>
              <w:t>Чести</w:t>
            </w:r>
          </w:p>
        </w:tc>
        <w:tc>
          <w:tcPr>
            <w:tcW w:w="3167" w:type="dxa"/>
          </w:tcPr>
          <w:p w14:paraId="3CC7492D" w14:textId="77777777" w:rsidR="000F496C" w:rsidRDefault="000F496C" w:rsidP="000F496C">
            <w:r>
              <w:t>Запек</w:t>
            </w:r>
          </w:p>
          <w:p w14:paraId="444F153F" w14:textId="77777777" w:rsidR="000F496C" w:rsidRDefault="000F496C" w:rsidP="000F496C">
            <w:r>
              <w:lastRenderedPageBreak/>
              <w:t>Гадене Диспепсия</w:t>
            </w:r>
          </w:p>
          <w:p w14:paraId="5AC887CD" w14:textId="28EED9D2" w:rsidR="000F496C" w:rsidRDefault="000F496C" w:rsidP="000F496C">
            <w:r>
              <w:t>Болка в корема</w:t>
            </w:r>
          </w:p>
        </w:tc>
      </w:tr>
      <w:tr w:rsidR="000F496C" w14:paraId="528209FB" w14:textId="77777777" w:rsidTr="00C53D00">
        <w:tc>
          <w:tcPr>
            <w:tcW w:w="3166" w:type="dxa"/>
            <w:vMerge/>
          </w:tcPr>
          <w:p w14:paraId="7D0C3F5C" w14:textId="77777777" w:rsidR="000F496C" w:rsidRDefault="000F496C" w:rsidP="000F496C"/>
        </w:tc>
        <w:tc>
          <w:tcPr>
            <w:tcW w:w="3167" w:type="dxa"/>
          </w:tcPr>
          <w:p w14:paraId="59E7B923" w14:textId="6E270F26" w:rsidR="000F496C" w:rsidRDefault="000F496C" w:rsidP="000F496C">
            <w:r>
              <w:t>Нечести</w:t>
            </w:r>
          </w:p>
        </w:tc>
        <w:tc>
          <w:tcPr>
            <w:tcW w:w="3167" w:type="dxa"/>
          </w:tcPr>
          <w:p w14:paraId="29B6525A" w14:textId="6B7D180B" w:rsidR="000F496C" w:rsidRDefault="000F496C" w:rsidP="000F496C">
            <w:r>
              <w:t>Гастро-езофагеален рефлукс Сухота в гърлото</w:t>
            </w:r>
          </w:p>
        </w:tc>
      </w:tr>
      <w:tr w:rsidR="000F496C" w14:paraId="3A2AC38E" w14:textId="77777777" w:rsidTr="00C53D00">
        <w:tc>
          <w:tcPr>
            <w:tcW w:w="3166" w:type="dxa"/>
            <w:vMerge/>
          </w:tcPr>
          <w:p w14:paraId="61C5C05E" w14:textId="77777777" w:rsidR="000F496C" w:rsidRDefault="000F496C" w:rsidP="000F496C"/>
        </w:tc>
        <w:tc>
          <w:tcPr>
            <w:tcW w:w="3167" w:type="dxa"/>
          </w:tcPr>
          <w:p w14:paraId="7A71BC59" w14:textId="391045EC" w:rsidR="000F496C" w:rsidRDefault="000F496C" w:rsidP="000F496C">
            <w:r>
              <w:t>Редки</w:t>
            </w:r>
          </w:p>
        </w:tc>
        <w:tc>
          <w:tcPr>
            <w:tcW w:w="3167" w:type="dxa"/>
          </w:tcPr>
          <w:p w14:paraId="7853993D" w14:textId="4057462D" w:rsidR="000F496C" w:rsidRDefault="000F496C" w:rsidP="000F496C">
            <w:r>
              <w:t>Запушване на дебелото черво Фекално задръстване Повръщане*</w:t>
            </w:r>
          </w:p>
        </w:tc>
      </w:tr>
      <w:tr w:rsidR="000F496C" w14:paraId="68A8C902" w14:textId="77777777" w:rsidTr="00C53D00">
        <w:tc>
          <w:tcPr>
            <w:tcW w:w="3166" w:type="dxa"/>
            <w:vMerge/>
          </w:tcPr>
          <w:p w14:paraId="159CE4F2" w14:textId="77777777" w:rsidR="000F496C" w:rsidRDefault="000F496C" w:rsidP="000F496C"/>
        </w:tc>
        <w:tc>
          <w:tcPr>
            <w:tcW w:w="3167" w:type="dxa"/>
          </w:tcPr>
          <w:p w14:paraId="3F07E0E5" w14:textId="6F2C0536" w:rsidR="000F496C" w:rsidRDefault="000F496C" w:rsidP="000F496C">
            <w:r>
              <w:t>С неизвестна честота</w:t>
            </w:r>
          </w:p>
        </w:tc>
        <w:tc>
          <w:tcPr>
            <w:tcW w:w="3167" w:type="dxa"/>
          </w:tcPr>
          <w:p w14:paraId="06D0D2CB" w14:textId="77777777" w:rsidR="000F496C" w:rsidRDefault="000F496C" w:rsidP="000F496C">
            <w:r>
              <w:rPr>
                <w:i/>
                <w:iCs/>
              </w:rPr>
              <w:t>Илеус*</w:t>
            </w:r>
          </w:p>
          <w:p w14:paraId="2C4B87E3" w14:textId="14337810" w:rsidR="000F496C" w:rsidRDefault="000F496C" w:rsidP="000F496C">
            <w:r>
              <w:t>Абдоминален дискомфорт*</w:t>
            </w:r>
          </w:p>
        </w:tc>
      </w:tr>
      <w:tr w:rsidR="000F496C" w14:paraId="000E9158" w14:textId="77777777" w:rsidTr="00C53D00">
        <w:tc>
          <w:tcPr>
            <w:tcW w:w="3166" w:type="dxa"/>
          </w:tcPr>
          <w:p w14:paraId="2E343EC0" w14:textId="71BE2C4F" w:rsidR="000F496C" w:rsidRDefault="000F496C" w:rsidP="000F496C">
            <w:r>
              <w:t>Хепатобилиарни нарушения</w:t>
            </w:r>
          </w:p>
        </w:tc>
        <w:tc>
          <w:tcPr>
            <w:tcW w:w="3167" w:type="dxa"/>
          </w:tcPr>
          <w:p w14:paraId="25580A3E" w14:textId="27B6C484" w:rsidR="000F496C" w:rsidRDefault="000F496C" w:rsidP="000F496C">
            <w:r>
              <w:t>С неизвестна честота</w:t>
            </w:r>
          </w:p>
        </w:tc>
        <w:tc>
          <w:tcPr>
            <w:tcW w:w="3167" w:type="dxa"/>
          </w:tcPr>
          <w:p w14:paraId="3D8DB2BB" w14:textId="299DD27F" w:rsidR="000F496C" w:rsidRDefault="000F496C" w:rsidP="000F496C">
            <w:r>
              <w:t>Чернодробно нарушения* Промени във функционалните чернодробни тестове*</w:t>
            </w:r>
          </w:p>
        </w:tc>
      </w:tr>
      <w:tr w:rsidR="000F496C" w14:paraId="50E19414" w14:textId="77777777" w:rsidTr="00C53D00">
        <w:tc>
          <w:tcPr>
            <w:tcW w:w="3166" w:type="dxa"/>
            <w:vMerge w:val="restart"/>
          </w:tcPr>
          <w:p w14:paraId="49EA958A" w14:textId="26A1241C" w:rsidR="000F496C" w:rsidRDefault="000F496C" w:rsidP="000F496C">
            <w:r>
              <w:t>Нарушения на кожата и подкожната тъкан</w:t>
            </w:r>
          </w:p>
        </w:tc>
        <w:tc>
          <w:tcPr>
            <w:tcW w:w="3167" w:type="dxa"/>
          </w:tcPr>
          <w:p w14:paraId="4777AE4B" w14:textId="0EF31513" w:rsidR="000F496C" w:rsidRDefault="000F496C" w:rsidP="000F496C">
            <w:r>
              <w:t>Нечести</w:t>
            </w:r>
          </w:p>
        </w:tc>
        <w:tc>
          <w:tcPr>
            <w:tcW w:w="3167" w:type="dxa"/>
          </w:tcPr>
          <w:p w14:paraId="55664E95" w14:textId="1E7C37A5" w:rsidR="000F496C" w:rsidRDefault="000F496C" w:rsidP="000F496C">
            <w:r>
              <w:t>Сухота на кожата</w:t>
            </w:r>
          </w:p>
        </w:tc>
      </w:tr>
      <w:tr w:rsidR="000F496C" w14:paraId="309EB480" w14:textId="77777777" w:rsidTr="00C53D00">
        <w:tc>
          <w:tcPr>
            <w:tcW w:w="3166" w:type="dxa"/>
            <w:vMerge/>
          </w:tcPr>
          <w:p w14:paraId="78FA96F5" w14:textId="77777777" w:rsidR="000F496C" w:rsidRDefault="000F496C" w:rsidP="000F496C"/>
        </w:tc>
        <w:tc>
          <w:tcPr>
            <w:tcW w:w="3167" w:type="dxa"/>
          </w:tcPr>
          <w:p w14:paraId="407E3116" w14:textId="1E6F8232" w:rsidR="000F496C" w:rsidRDefault="000F496C" w:rsidP="000F496C">
            <w:r>
              <w:t>Редки</w:t>
            </w:r>
          </w:p>
        </w:tc>
        <w:tc>
          <w:tcPr>
            <w:tcW w:w="3167" w:type="dxa"/>
          </w:tcPr>
          <w:p w14:paraId="442DEB0A" w14:textId="36E2760E" w:rsidR="000F496C" w:rsidRDefault="000F496C" w:rsidP="000F496C">
            <w:r>
              <w:t>Сърбеж* Обрив*</w:t>
            </w:r>
          </w:p>
        </w:tc>
      </w:tr>
      <w:tr w:rsidR="000F496C" w14:paraId="727501EC" w14:textId="77777777" w:rsidTr="00C53D00">
        <w:tc>
          <w:tcPr>
            <w:tcW w:w="3166" w:type="dxa"/>
            <w:vMerge/>
          </w:tcPr>
          <w:p w14:paraId="537F727B" w14:textId="77777777" w:rsidR="000F496C" w:rsidRDefault="000F496C" w:rsidP="000F496C"/>
        </w:tc>
        <w:tc>
          <w:tcPr>
            <w:tcW w:w="3167" w:type="dxa"/>
          </w:tcPr>
          <w:p w14:paraId="5B57CCAC" w14:textId="28D7D247" w:rsidR="000F496C" w:rsidRDefault="000F496C" w:rsidP="000F496C">
            <w:r>
              <w:t>Много редки</w:t>
            </w:r>
          </w:p>
        </w:tc>
        <w:tc>
          <w:tcPr>
            <w:tcW w:w="3167" w:type="dxa"/>
          </w:tcPr>
          <w:p w14:paraId="5253C337" w14:textId="7AAAA370" w:rsidR="000F496C" w:rsidRDefault="000F496C" w:rsidP="000F496C">
            <w:r>
              <w:t>Еритема мултиформе* Уртикария* Ангиоедем*</w:t>
            </w:r>
          </w:p>
        </w:tc>
      </w:tr>
      <w:tr w:rsidR="000F496C" w14:paraId="199EB721" w14:textId="77777777" w:rsidTr="00C53D00">
        <w:tc>
          <w:tcPr>
            <w:tcW w:w="3166" w:type="dxa"/>
            <w:vMerge/>
          </w:tcPr>
          <w:p w14:paraId="0DD7BEFC" w14:textId="77777777" w:rsidR="000F496C" w:rsidRDefault="000F496C" w:rsidP="000F496C"/>
        </w:tc>
        <w:tc>
          <w:tcPr>
            <w:tcW w:w="3167" w:type="dxa"/>
          </w:tcPr>
          <w:p w14:paraId="28C693F4" w14:textId="7F4D01FC" w:rsidR="000F496C" w:rsidRDefault="000F496C" w:rsidP="000F496C">
            <w:r>
              <w:t>С неизвестна честота</w:t>
            </w:r>
          </w:p>
        </w:tc>
        <w:tc>
          <w:tcPr>
            <w:tcW w:w="3167" w:type="dxa"/>
          </w:tcPr>
          <w:p w14:paraId="6526B947" w14:textId="48521BF4" w:rsidR="000F496C" w:rsidRDefault="000F496C" w:rsidP="000F496C">
            <w:r>
              <w:t>Ексфолиативен дерматит*</w:t>
            </w:r>
          </w:p>
        </w:tc>
      </w:tr>
      <w:tr w:rsidR="000F496C" w14:paraId="47B8ACF7" w14:textId="77777777" w:rsidTr="00C53D00">
        <w:tc>
          <w:tcPr>
            <w:tcW w:w="3166" w:type="dxa"/>
          </w:tcPr>
          <w:p w14:paraId="78E43AC3" w14:textId="11073FC7" w:rsidR="000F496C" w:rsidRDefault="000F496C" w:rsidP="000F496C">
            <w:r>
              <w:t>Нарушения на мускулно-скелетната система и съединителната тъкан</w:t>
            </w:r>
          </w:p>
        </w:tc>
        <w:tc>
          <w:tcPr>
            <w:tcW w:w="3167" w:type="dxa"/>
          </w:tcPr>
          <w:p w14:paraId="66AF3982" w14:textId="5E266A7E" w:rsidR="000F496C" w:rsidRDefault="000F496C" w:rsidP="000F496C">
            <w:r>
              <w:t>С неизвестна честота</w:t>
            </w:r>
          </w:p>
        </w:tc>
        <w:tc>
          <w:tcPr>
            <w:tcW w:w="3167" w:type="dxa"/>
          </w:tcPr>
          <w:p w14:paraId="6B3E1501" w14:textId="02D03C45" w:rsidR="000F496C" w:rsidRDefault="000F496C" w:rsidP="000F496C">
            <w:r>
              <w:t>Мускулна слабост *</w:t>
            </w:r>
          </w:p>
        </w:tc>
      </w:tr>
      <w:tr w:rsidR="000F496C" w14:paraId="280FEB16" w14:textId="77777777" w:rsidTr="00C53D00">
        <w:tc>
          <w:tcPr>
            <w:tcW w:w="3166" w:type="dxa"/>
            <w:vMerge w:val="restart"/>
          </w:tcPr>
          <w:p w14:paraId="12D06543" w14:textId="09A4C40A" w:rsidR="000F496C" w:rsidRDefault="000F496C" w:rsidP="000F496C">
            <w:r>
              <w:t>Нарушения на бъбреците и пикочните пътища</w:t>
            </w:r>
          </w:p>
        </w:tc>
        <w:tc>
          <w:tcPr>
            <w:tcW w:w="3167" w:type="dxa"/>
          </w:tcPr>
          <w:p w14:paraId="5FC97389" w14:textId="1101641E" w:rsidR="000F496C" w:rsidRDefault="000F496C" w:rsidP="000F496C">
            <w:r>
              <w:t>Нечести</w:t>
            </w:r>
          </w:p>
        </w:tc>
        <w:tc>
          <w:tcPr>
            <w:tcW w:w="3167" w:type="dxa"/>
          </w:tcPr>
          <w:p w14:paraId="4E623173" w14:textId="7D6A8B02" w:rsidR="000F496C" w:rsidRDefault="000F496C" w:rsidP="000F496C">
            <w:r>
              <w:t>Затруднено уриниране</w:t>
            </w:r>
          </w:p>
        </w:tc>
      </w:tr>
      <w:tr w:rsidR="000F496C" w14:paraId="1938F464" w14:textId="77777777" w:rsidTr="00C53D00">
        <w:tc>
          <w:tcPr>
            <w:tcW w:w="3166" w:type="dxa"/>
            <w:vMerge/>
          </w:tcPr>
          <w:p w14:paraId="05BA6A76" w14:textId="77777777" w:rsidR="000F496C" w:rsidRDefault="000F496C" w:rsidP="000F496C"/>
        </w:tc>
        <w:tc>
          <w:tcPr>
            <w:tcW w:w="3167" w:type="dxa"/>
          </w:tcPr>
          <w:p w14:paraId="5B92DE92" w14:textId="7B63BE8D" w:rsidR="000F496C" w:rsidRDefault="000F496C" w:rsidP="000F496C">
            <w:r>
              <w:t>Редки</w:t>
            </w:r>
          </w:p>
        </w:tc>
        <w:tc>
          <w:tcPr>
            <w:tcW w:w="3167" w:type="dxa"/>
          </w:tcPr>
          <w:p w14:paraId="2C717F9A" w14:textId="3C922255" w:rsidR="000F496C" w:rsidRDefault="000F496C" w:rsidP="000F496C">
            <w:r>
              <w:t>Ретенция на урина</w:t>
            </w:r>
          </w:p>
        </w:tc>
      </w:tr>
      <w:tr w:rsidR="000F496C" w14:paraId="332D0906" w14:textId="77777777" w:rsidTr="00C53D00">
        <w:tc>
          <w:tcPr>
            <w:tcW w:w="3166" w:type="dxa"/>
            <w:vMerge/>
          </w:tcPr>
          <w:p w14:paraId="390451B5" w14:textId="77777777" w:rsidR="000F496C" w:rsidRDefault="000F496C" w:rsidP="000F496C"/>
        </w:tc>
        <w:tc>
          <w:tcPr>
            <w:tcW w:w="3167" w:type="dxa"/>
          </w:tcPr>
          <w:p w14:paraId="75BF5B20" w14:textId="4D3BDB23" w:rsidR="000F496C" w:rsidRDefault="000F496C" w:rsidP="000F496C">
            <w:r>
              <w:t>С неизвестна честота</w:t>
            </w:r>
          </w:p>
        </w:tc>
        <w:tc>
          <w:tcPr>
            <w:tcW w:w="3167" w:type="dxa"/>
          </w:tcPr>
          <w:p w14:paraId="4917DAAD" w14:textId="0C52B9C4" w:rsidR="000F496C" w:rsidRDefault="000F496C" w:rsidP="000F496C">
            <w:r>
              <w:t>Бъбречно увреждане*</w:t>
            </w:r>
          </w:p>
        </w:tc>
      </w:tr>
      <w:tr w:rsidR="000F496C" w14:paraId="13118CD4" w14:textId="77777777" w:rsidTr="00C53D00">
        <w:tc>
          <w:tcPr>
            <w:tcW w:w="3166" w:type="dxa"/>
          </w:tcPr>
          <w:p w14:paraId="61BFED6A" w14:textId="5CAD44D5" w:rsidR="000F496C" w:rsidRDefault="000F496C" w:rsidP="000F496C">
            <w:r>
              <w:t>Общи нарушения и ефекти на мястото на приложение</w:t>
            </w:r>
          </w:p>
        </w:tc>
        <w:tc>
          <w:tcPr>
            <w:tcW w:w="3167" w:type="dxa"/>
          </w:tcPr>
          <w:p w14:paraId="1B03EB3A" w14:textId="7E3674CB" w:rsidR="000F496C" w:rsidRDefault="000F496C" w:rsidP="000F496C">
            <w:r>
              <w:t>Нечести</w:t>
            </w:r>
          </w:p>
        </w:tc>
        <w:tc>
          <w:tcPr>
            <w:tcW w:w="3167" w:type="dxa"/>
          </w:tcPr>
          <w:p w14:paraId="0063E33F" w14:textId="0A2B92A6" w:rsidR="000F496C" w:rsidRDefault="000F496C" w:rsidP="000F496C">
            <w:r>
              <w:t>Умора, Периферен оток</w:t>
            </w:r>
          </w:p>
        </w:tc>
      </w:tr>
    </w:tbl>
    <w:p w14:paraId="070FC35F" w14:textId="77777777" w:rsidR="000F496C" w:rsidRPr="000F496C" w:rsidRDefault="000F496C" w:rsidP="000F496C">
      <w:pPr>
        <w:spacing w:line="240" w:lineRule="auto"/>
        <w:rPr>
          <w:rFonts w:eastAsia="Times New Roman" w:cs="Arial"/>
          <w:lang w:eastAsia="bg-BG"/>
        </w:rPr>
      </w:pPr>
      <w:r w:rsidRPr="000F496C">
        <w:rPr>
          <w:rFonts w:eastAsia="Times New Roman" w:cs="Arial"/>
          <w:color w:val="000000"/>
          <w:lang w:eastAsia="bg-BG"/>
        </w:rPr>
        <w:t>*наблюдавани след пускането на пазара</w:t>
      </w:r>
    </w:p>
    <w:p w14:paraId="1E876DEB" w14:textId="77777777" w:rsidR="000F496C" w:rsidRPr="000F496C" w:rsidRDefault="000F496C" w:rsidP="000F496C">
      <w:pPr>
        <w:spacing w:line="240" w:lineRule="auto"/>
        <w:rPr>
          <w:rFonts w:eastAsia="Times New Roman" w:cs="Arial"/>
          <w:color w:val="000000"/>
          <w:u w:val="single"/>
          <w:lang w:eastAsia="bg-BG"/>
        </w:rPr>
      </w:pPr>
    </w:p>
    <w:p w14:paraId="02C6BB4D" w14:textId="6C6CA1C8" w:rsidR="000F496C" w:rsidRPr="000F496C" w:rsidRDefault="000F496C" w:rsidP="000F496C">
      <w:pPr>
        <w:spacing w:line="240" w:lineRule="auto"/>
        <w:rPr>
          <w:rFonts w:eastAsia="Times New Roman" w:cs="Arial"/>
          <w:lang w:eastAsia="bg-BG"/>
        </w:rPr>
      </w:pPr>
      <w:r w:rsidRPr="000F496C">
        <w:rPr>
          <w:rFonts w:eastAsia="Times New Roman" w:cs="Arial"/>
          <w:color w:val="000000"/>
          <w:u w:val="single"/>
          <w:lang w:eastAsia="bg-BG"/>
        </w:rPr>
        <w:t>Съобщаване на подозирани нежелани реакции</w:t>
      </w:r>
    </w:p>
    <w:p w14:paraId="63D5FB5F" w14:textId="1D0C3DC2" w:rsidR="00C53D00" w:rsidRPr="000F496C" w:rsidRDefault="000F496C" w:rsidP="000F496C">
      <w:pPr>
        <w:rPr>
          <w:rFonts w:eastAsia="Times New Roman" w:cs="Arial"/>
          <w:color w:val="000000"/>
          <w:lang w:val="en-US"/>
        </w:rPr>
      </w:pPr>
      <w:r w:rsidRPr="000F496C">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 +35 928903417, уебсайт: </w:t>
      </w:r>
      <w:r w:rsidRPr="000F496C">
        <w:rPr>
          <w:rFonts w:eastAsia="Times New Roman" w:cs="Arial"/>
          <w:lang w:eastAsia="bg-BG"/>
        </w:rPr>
        <w:fldChar w:fldCharType="begin"/>
      </w:r>
      <w:r w:rsidRPr="000F496C">
        <w:rPr>
          <w:rFonts w:eastAsia="Times New Roman" w:cs="Arial"/>
          <w:lang w:eastAsia="bg-BG"/>
        </w:rPr>
        <w:instrText xml:space="preserve"> HYPERLINK "http://www.bda.bg" </w:instrText>
      </w:r>
      <w:r w:rsidRPr="000F496C">
        <w:rPr>
          <w:rFonts w:eastAsia="Times New Roman" w:cs="Arial"/>
          <w:lang w:eastAsia="bg-BG"/>
        </w:rPr>
      </w:r>
      <w:r w:rsidRPr="000F496C">
        <w:rPr>
          <w:rFonts w:eastAsia="Times New Roman" w:cs="Arial"/>
          <w:lang w:eastAsia="bg-BG"/>
        </w:rPr>
        <w:fldChar w:fldCharType="separate"/>
      </w:r>
      <w:r w:rsidRPr="000F496C">
        <w:rPr>
          <w:rFonts w:eastAsia="Times New Roman" w:cs="Arial"/>
          <w:color w:val="000000"/>
          <w:lang w:val="en-US"/>
        </w:rPr>
        <w:t>www.bda.bg</w:t>
      </w:r>
      <w:r w:rsidRPr="000F496C">
        <w:rPr>
          <w:rFonts w:eastAsia="Times New Roman" w:cs="Arial"/>
          <w:lang w:eastAsia="bg-BG"/>
        </w:rPr>
        <w:fldChar w:fldCharType="end"/>
      </w:r>
      <w:r w:rsidRPr="000F496C">
        <w:rPr>
          <w:rFonts w:eastAsia="Times New Roman" w:cs="Arial"/>
          <w:color w:val="000000"/>
          <w:lang w:val="en-US"/>
        </w:rPr>
        <w:t>.</w:t>
      </w:r>
    </w:p>
    <w:p w14:paraId="62328A11" w14:textId="77777777" w:rsidR="000F496C" w:rsidRPr="00C53D00" w:rsidRDefault="000F496C" w:rsidP="000F496C"/>
    <w:p w14:paraId="378A0F20" w14:textId="65582394" w:rsidR="001D095A" w:rsidRDefault="002C50EE" w:rsidP="00340E8D">
      <w:pPr>
        <w:pStyle w:val="Heading2"/>
      </w:pPr>
      <w:r>
        <w:t>4.9. Предозиране</w:t>
      </w:r>
    </w:p>
    <w:p w14:paraId="502BE710" w14:textId="77777777" w:rsidR="000F496C" w:rsidRDefault="000F496C" w:rsidP="000F496C"/>
    <w:p w14:paraId="6A23C248" w14:textId="4D4AF1C0" w:rsidR="000F496C" w:rsidRPr="00F96318" w:rsidRDefault="00F96318" w:rsidP="00F96318">
      <w:pPr>
        <w:rPr>
          <w:rFonts w:cs="Arial"/>
          <w:u w:val="single"/>
        </w:rPr>
      </w:pPr>
      <w:r w:rsidRPr="00F96318">
        <w:rPr>
          <w:rFonts w:cs="Arial"/>
          <w:u w:val="single"/>
        </w:rPr>
        <w:t>Симптоми</w:t>
      </w:r>
    </w:p>
    <w:p w14:paraId="65BA9BE8" w14:textId="77777777" w:rsidR="00F96318" w:rsidRPr="00F96318" w:rsidRDefault="00F96318" w:rsidP="00F96318">
      <w:pPr>
        <w:rPr>
          <w:rFonts w:cs="Arial"/>
          <w:u w:val="single"/>
        </w:rPr>
      </w:pPr>
    </w:p>
    <w:p w14:paraId="6B247DC3" w14:textId="77777777" w:rsidR="00F96318" w:rsidRPr="00F96318" w:rsidRDefault="00F96318" w:rsidP="00F96318">
      <w:pPr>
        <w:spacing w:line="240" w:lineRule="auto"/>
        <w:rPr>
          <w:rFonts w:eastAsia="Times New Roman" w:cs="Arial"/>
          <w:sz w:val="24"/>
          <w:szCs w:val="24"/>
          <w:lang w:eastAsia="bg-BG"/>
        </w:rPr>
      </w:pPr>
      <w:r w:rsidRPr="00F96318">
        <w:rPr>
          <w:rFonts w:eastAsia="Times New Roman" w:cs="Arial"/>
          <w:color w:val="000000"/>
          <w:lang w:eastAsia="bg-BG"/>
        </w:rPr>
        <w:t xml:space="preserve">Предозирането на солифенацин сукцинат може да доведе до тежки антихолинергични реакции. Най-високата доза солифенацин сукцинат, приложена случайно на един пациент е била 280 </w:t>
      </w:r>
      <w:r w:rsidRPr="00F96318">
        <w:rPr>
          <w:rFonts w:eastAsia="Times New Roman" w:cs="Arial"/>
          <w:color w:val="000000"/>
          <w:lang w:val="en-US"/>
        </w:rPr>
        <w:t xml:space="preserve">mg </w:t>
      </w:r>
      <w:r w:rsidRPr="00F96318">
        <w:rPr>
          <w:rFonts w:eastAsia="Times New Roman" w:cs="Arial"/>
          <w:color w:val="000000"/>
          <w:lang w:eastAsia="bg-BG"/>
        </w:rPr>
        <w:t>за период от 5 часа и е довела до промени в менталния статус, неналожили хоспитализация.</w:t>
      </w:r>
    </w:p>
    <w:p w14:paraId="2996B480" w14:textId="77777777" w:rsidR="00F96318" w:rsidRPr="00F96318" w:rsidRDefault="00F96318" w:rsidP="00F96318">
      <w:pPr>
        <w:spacing w:line="240" w:lineRule="auto"/>
        <w:rPr>
          <w:rFonts w:eastAsia="Times New Roman" w:cs="Arial"/>
          <w:color w:val="000000"/>
          <w:u w:val="single"/>
          <w:lang w:eastAsia="bg-BG"/>
        </w:rPr>
      </w:pPr>
    </w:p>
    <w:p w14:paraId="71F99AD9" w14:textId="675B0333" w:rsidR="00F96318" w:rsidRPr="00F96318" w:rsidRDefault="00F96318" w:rsidP="00F96318">
      <w:pPr>
        <w:pStyle w:val="Heading3"/>
        <w:rPr>
          <w:rFonts w:eastAsia="Times New Roman"/>
          <w:u w:val="single"/>
          <w:lang w:eastAsia="bg-BG"/>
        </w:rPr>
      </w:pPr>
      <w:r w:rsidRPr="00F96318">
        <w:rPr>
          <w:rFonts w:eastAsia="Times New Roman"/>
          <w:u w:val="single"/>
          <w:lang w:eastAsia="bg-BG"/>
        </w:rPr>
        <w:lastRenderedPageBreak/>
        <w:t>Лечение</w:t>
      </w:r>
    </w:p>
    <w:p w14:paraId="0FB65E29" w14:textId="77777777" w:rsidR="00F96318" w:rsidRPr="00F96318" w:rsidRDefault="00F96318" w:rsidP="00F96318">
      <w:pPr>
        <w:spacing w:line="240" w:lineRule="auto"/>
        <w:rPr>
          <w:rFonts w:eastAsia="Times New Roman" w:cs="Arial"/>
          <w:sz w:val="24"/>
          <w:szCs w:val="24"/>
          <w:lang w:eastAsia="bg-BG"/>
        </w:rPr>
      </w:pPr>
      <w:r w:rsidRPr="00F96318">
        <w:rPr>
          <w:rFonts w:eastAsia="Times New Roman" w:cs="Arial"/>
          <w:color w:val="000000"/>
          <w:lang w:eastAsia="bg-BG"/>
        </w:rPr>
        <w:t>В случай на предозиране на солифенацин сукцинат трябва да се даде активен въглен. Стомашна промивка е целесъобразна ако се направи до 1 час, но не трябва да се предизвиква повръщане.</w:t>
      </w:r>
    </w:p>
    <w:p w14:paraId="6BC2872F" w14:textId="77777777" w:rsidR="00F96318" w:rsidRPr="00F96318" w:rsidRDefault="00F96318" w:rsidP="00F96318">
      <w:pPr>
        <w:spacing w:line="240" w:lineRule="auto"/>
        <w:rPr>
          <w:rFonts w:eastAsia="Times New Roman" w:cs="Arial"/>
          <w:color w:val="000000"/>
          <w:lang w:eastAsia="bg-BG"/>
        </w:rPr>
      </w:pPr>
    </w:p>
    <w:p w14:paraId="624710F3" w14:textId="15976320" w:rsidR="00F96318" w:rsidRPr="00F96318" w:rsidRDefault="00F96318" w:rsidP="00F96318">
      <w:pPr>
        <w:spacing w:line="240" w:lineRule="auto"/>
        <w:rPr>
          <w:rFonts w:eastAsia="Times New Roman" w:cs="Arial"/>
          <w:sz w:val="24"/>
          <w:szCs w:val="24"/>
          <w:lang w:eastAsia="bg-BG"/>
        </w:rPr>
      </w:pPr>
      <w:r w:rsidRPr="00F96318">
        <w:rPr>
          <w:rFonts w:eastAsia="Times New Roman" w:cs="Arial"/>
          <w:color w:val="000000"/>
          <w:lang w:eastAsia="bg-BG"/>
        </w:rPr>
        <w:t>Както и при другите антихолинергични средства, симптомите могат да се лекуват по следния начин:</w:t>
      </w:r>
    </w:p>
    <w:p w14:paraId="2213E287" w14:textId="77777777" w:rsidR="00F96318" w:rsidRPr="00F96318" w:rsidRDefault="00F96318" w:rsidP="00F96318">
      <w:pPr>
        <w:pStyle w:val="ListParagraph"/>
        <w:numPr>
          <w:ilvl w:val="0"/>
          <w:numId w:val="40"/>
        </w:numPr>
        <w:spacing w:line="240" w:lineRule="auto"/>
        <w:rPr>
          <w:rFonts w:eastAsia="Times New Roman" w:cs="Arial"/>
          <w:sz w:val="24"/>
          <w:szCs w:val="24"/>
          <w:lang w:eastAsia="bg-BG"/>
        </w:rPr>
      </w:pPr>
      <w:r w:rsidRPr="00F96318">
        <w:rPr>
          <w:rFonts w:eastAsia="Times New Roman" w:cs="Arial"/>
          <w:color w:val="000000"/>
          <w:lang w:eastAsia="bg-BG"/>
        </w:rPr>
        <w:t>При тежките централни антихолинергични ефекти, като халюцинации или силно изразено възбуждане, се прилага физостигмин или карбахол.</w:t>
      </w:r>
    </w:p>
    <w:p w14:paraId="2826840D" w14:textId="0E9F7DFC" w:rsidR="00F96318" w:rsidRPr="00F96318" w:rsidRDefault="00F96318" w:rsidP="00F96318">
      <w:pPr>
        <w:pStyle w:val="ListParagraph"/>
        <w:numPr>
          <w:ilvl w:val="0"/>
          <w:numId w:val="40"/>
        </w:numPr>
        <w:spacing w:line="240" w:lineRule="auto"/>
        <w:rPr>
          <w:rFonts w:eastAsia="Times New Roman" w:cs="Arial"/>
          <w:sz w:val="24"/>
          <w:szCs w:val="24"/>
          <w:lang w:eastAsia="bg-BG"/>
        </w:rPr>
      </w:pPr>
      <w:r w:rsidRPr="00F96318">
        <w:rPr>
          <w:rFonts w:eastAsia="Times New Roman" w:cs="Arial"/>
          <w:color w:val="000000"/>
          <w:lang w:eastAsia="bg-BG"/>
        </w:rPr>
        <w:t xml:space="preserve">При конвулсии или силно изразено възбуждане </w:t>
      </w:r>
      <w:r w:rsidRPr="00F96318">
        <w:rPr>
          <w:rFonts w:eastAsia="Times New Roman" w:cs="Arial"/>
          <w:color w:val="000000"/>
          <w:lang w:eastAsia="bg-BG"/>
        </w:rPr>
        <w:t>–</w:t>
      </w:r>
      <w:r w:rsidRPr="00F96318">
        <w:rPr>
          <w:rFonts w:eastAsia="Times New Roman" w:cs="Arial"/>
          <w:color w:val="000000"/>
          <w:lang w:eastAsia="bg-BG"/>
        </w:rPr>
        <w:t xml:space="preserve"> бензодиазепин</w:t>
      </w:r>
    </w:p>
    <w:p w14:paraId="322553E1" w14:textId="77777777" w:rsidR="00F96318" w:rsidRPr="00F96318" w:rsidRDefault="00F96318" w:rsidP="00F96318">
      <w:pPr>
        <w:pStyle w:val="ListParagraph"/>
        <w:numPr>
          <w:ilvl w:val="0"/>
          <w:numId w:val="40"/>
        </w:numPr>
        <w:spacing w:line="240" w:lineRule="auto"/>
        <w:rPr>
          <w:rFonts w:eastAsia="Times New Roman" w:cs="Arial"/>
          <w:sz w:val="24"/>
          <w:szCs w:val="24"/>
          <w:lang w:eastAsia="bg-BG"/>
        </w:rPr>
      </w:pPr>
      <w:r w:rsidRPr="00F96318">
        <w:rPr>
          <w:rFonts w:eastAsia="Times New Roman" w:cs="Arial"/>
          <w:color w:val="000000"/>
          <w:lang w:eastAsia="bg-BG"/>
        </w:rPr>
        <w:t>Дихателна недостатъчност - изкуствена вентилация</w:t>
      </w:r>
    </w:p>
    <w:p w14:paraId="72A70FD4" w14:textId="77777777" w:rsidR="00F96318" w:rsidRPr="00F96318" w:rsidRDefault="00F96318" w:rsidP="00F96318">
      <w:pPr>
        <w:pStyle w:val="ListParagraph"/>
        <w:numPr>
          <w:ilvl w:val="0"/>
          <w:numId w:val="40"/>
        </w:numPr>
        <w:spacing w:line="240" w:lineRule="auto"/>
        <w:rPr>
          <w:rFonts w:eastAsia="Times New Roman" w:cs="Arial"/>
          <w:sz w:val="24"/>
          <w:szCs w:val="24"/>
          <w:lang w:eastAsia="bg-BG"/>
        </w:rPr>
      </w:pPr>
      <w:r w:rsidRPr="00F96318">
        <w:rPr>
          <w:rFonts w:eastAsia="Times New Roman" w:cs="Arial"/>
          <w:color w:val="000000"/>
          <w:lang w:eastAsia="bg-BG"/>
        </w:rPr>
        <w:t>Тахикардия - бета-блокери</w:t>
      </w:r>
    </w:p>
    <w:p w14:paraId="6CECA561" w14:textId="60D0F5B2" w:rsidR="00F96318" w:rsidRPr="00F96318" w:rsidRDefault="00F96318" w:rsidP="00F96318">
      <w:pPr>
        <w:pStyle w:val="ListParagraph"/>
        <w:numPr>
          <w:ilvl w:val="0"/>
          <w:numId w:val="40"/>
        </w:numPr>
        <w:spacing w:line="240" w:lineRule="auto"/>
        <w:rPr>
          <w:rFonts w:eastAsia="Times New Roman" w:cs="Arial"/>
          <w:sz w:val="24"/>
          <w:szCs w:val="24"/>
          <w:lang w:eastAsia="bg-BG"/>
        </w:rPr>
      </w:pPr>
      <w:r w:rsidRPr="00F96318">
        <w:rPr>
          <w:rFonts w:eastAsia="Times New Roman" w:cs="Arial"/>
          <w:color w:val="000000"/>
          <w:lang w:eastAsia="bg-BG"/>
        </w:rPr>
        <w:t xml:space="preserve">При ретенция на урината </w:t>
      </w:r>
      <w:r w:rsidRPr="00F96318">
        <w:rPr>
          <w:rFonts w:eastAsia="Times New Roman" w:cs="Arial"/>
          <w:color w:val="000000"/>
          <w:lang w:eastAsia="bg-BG"/>
        </w:rPr>
        <w:t>–</w:t>
      </w:r>
      <w:r w:rsidRPr="00F96318">
        <w:rPr>
          <w:rFonts w:eastAsia="Times New Roman" w:cs="Arial"/>
          <w:color w:val="000000"/>
          <w:lang w:eastAsia="bg-BG"/>
        </w:rPr>
        <w:t xml:space="preserve"> катетеризация</w:t>
      </w:r>
    </w:p>
    <w:p w14:paraId="0AE435D5" w14:textId="5426BB4F" w:rsidR="00F96318" w:rsidRPr="00F96318" w:rsidRDefault="00F96318" w:rsidP="00F96318">
      <w:pPr>
        <w:pStyle w:val="ListParagraph"/>
        <w:numPr>
          <w:ilvl w:val="0"/>
          <w:numId w:val="40"/>
        </w:numPr>
        <w:spacing w:line="240" w:lineRule="auto"/>
        <w:rPr>
          <w:rFonts w:eastAsia="Times New Roman" w:cs="Arial"/>
          <w:sz w:val="24"/>
          <w:szCs w:val="24"/>
          <w:lang w:eastAsia="bg-BG"/>
        </w:rPr>
      </w:pPr>
      <w:r w:rsidRPr="00F96318">
        <w:rPr>
          <w:rFonts w:eastAsia="Times New Roman" w:cs="Arial"/>
          <w:color w:val="000000"/>
          <w:lang w:eastAsia="bg-BG"/>
        </w:rPr>
        <w:t>При мидриаза - пилокарпин капки за очи и/или поставяне на пациента в тъмна стая.</w:t>
      </w:r>
    </w:p>
    <w:p w14:paraId="6CF4B324" w14:textId="77777777" w:rsidR="00F96318" w:rsidRPr="00F96318" w:rsidRDefault="00F96318" w:rsidP="00F96318">
      <w:pPr>
        <w:spacing w:line="240" w:lineRule="auto"/>
        <w:rPr>
          <w:rFonts w:eastAsia="Times New Roman" w:cs="Arial"/>
          <w:color w:val="000000"/>
          <w:lang w:eastAsia="bg-BG"/>
        </w:rPr>
      </w:pPr>
    </w:p>
    <w:p w14:paraId="6FF1E120" w14:textId="4B6E991C" w:rsidR="00F96318" w:rsidRPr="00F96318" w:rsidRDefault="00F96318" w:rsidP="00F96318">
      <w:pPr>
        <w:spacing w:line="240" w:lineRule="auto"/>
        <w:rPr>
          <w:rFonts w:eastAsia="Times New Roman" w:cs="Arial"/>
          <w:sz w:val="24"/>
          <w:szCs w:val="24"/>
          <w:lang w:eastAsia="bg-BG"/>
        </w:rPr>
      </w:pPr>
      <w:r w:rsidRPr="00F96318">
        <w:rPr>
          <w:rFonts w:eastAsia="Times New Roman" w:cs="Arial"/>
          <w:color w:val="000000"/>
          <w:lang w:eastAsia="bg-BG"/>
        </w:rPr>
        <w:t xml:space="preserve">Както и другите антимускаринови средства, в случай на предозиране трябва да се обърне специално внимание на пациенти с риск от удължаване на </w:t>
      </w:r>
      <w:r w:rsidRPr="00F96318">
        <w:rPr>
          <w:rFonts w:eastAsia="Times New Roman" w:cs="Arial"/>
          <w:color w:val="000000"/>
          <w:lang w:val="en-US"/>
        </w:rPr>
        <w:t>QT</w:t>
      </w:r>
      <w:r w:rsidRPr="00F96318">
        <w:rPr>
          <w:rFonts w:eastAsia="Times New Roman" w:cs="Arial"/>
          <w:color w:val="000000"/>
          <w:lang w:eastAsia="bg-BG"/>
        </w:rPr>
        <w:t xml:space="preserve">-интервала (напр. хипокалиемия, брадикардия и едновременно прилагане на лекарствени продукти, за които е известно, че удължаване на </w:t>
      </w:r>
      <w:r w:rsidRPr="00F96318">
        <w:rPr>
          <w:rFonts w:eastAsia="Times New Roman" w:cs="Arial"/>
          <w:color w:val="000000"/>
          <w:lang w:val="en-US"/>
        </w:rPr>
        <w:t>QT</w:t>
      </w:r>
      <w:r w:rsidRPr="00F96318">
        <w:rPr>
          <w:rFonts w:eastAsia="Times New Roman" w:cs="Arial"/>
          <w:color w:val="000000"/>
          <w:lang w:eastAsia="bg-BG"/>
        </w:rPr>
        <w:t>-интервала) и при такива със сърдечни заболявания (напр. исхемия на миокарда, аритмия, застойна сърдечна недостатъчност).</w:t>
      </w:r>
    </w:p>
    <w:p w14:paraId="57991ADA" w14:textId="77777777" w:rsidR="00F96318" w:rsidRPr="00F96318" w:rsidRDefault="00F96318" w:rsidP="00F96318">
      <w:pPr>
        <w:rPr>
          <w:u w:val="single"/>
        </w:rPr>
      </w:pPr>
    </w:p>
    <w:p w14:paraId="02081B24" w14:textId="36FE76F4" w:rsidR="00395555" w:rsidRPr="00395555" w:rsidRDefault="002C50EE" w:rsidP="008A6AF2">
      <w:pPr>
        <w:pStyle w:val="Heading1"/>
      </w:pPr>
      <w:r>
        <w:t>5. ФАРМАКОЛОГИЧНИ СВОЙСТВА</w:t>
      </w:r>
    </w:p>
    <w:p w14:paraId="7F6CC5E1" w14:textId="38E92AEC" w:rsidR="00F62E44" w:rsidRDefault="002C50EE" w:rsidP="00387A66">
      <w:pPr>
        <w:pStyle w:val="Heading2"/>
      </w:pPr>
      <w:r>
        <w:t>5.1. Фармакодинамични свойства</w:t>
      </w:r>
    </w:p>
    <w:p w14:paraId="45556086" w14:textId="77777777" w:rsidR="00F96318" w:rsidRDefault="00F96318" w:rsidP="00F96318"/>
    <w:p w14:paraId="1B663020" w14:textId="77777777" w:rsidR="00F96318" w:rsidRPr="00F96318" w:rsidRDefault="00F96318" w:rsidP="00F96318">
      <w:pPr>
        <w:spacing w:line="240" w:lineRule="auto"/>
        <w:rPr>
          <w:rFonts w:eastAsia="Times New Roman" w:cs="Arial"/>
          <w:sz w:val="24"/>
          <w:szCs w:val="24"/>
          <w:lang w:eastAsia="bg-BG"/>
        </w:rPr>
      </w:pPr>
      <w:r w:rsidRPr="00F96318">
        <w:rPr>
          <w:rFonts w:eastAsia="Times New Roman" w:cs="Arial"/>
          <w:color w:val="000000"/>
          <w:lang w:eastAsia="bg-BG"/>
        </w:rPr>
        <w:t>Фармакотерапевтична група:</w:t>
      </w:r>
    </w:p>
    <w:p w14:paraId="3A50F073" w14:textId="77777777" w:rsidR="00F96318" w:rsidRPr="00F96318" w:rsidRDefault="00F96318" w:rsidP="00F96318">
      <w:pPr>
        <w:spacing w:line="240" w:lineRule="auto"/>
        <w:rPr>
          <w:rFonts w:eastAsia="Times New Roman" w:cs="Arial"/>
          <w:sz w:val="24"/>
          <w:szCs w:val="24"/>
          <w:lang w:eastAsia="bg-BG"/>
        </w:rPr>
      </w:pPr>
      <w:r w:rsidRPr="00F96318">
        <w:rPr>
          <w:rFonts w:eastAsia="Times New Roman" w:cs="Arial"/>
          <w:color w:val="000000"/>
          <w:lang w:eastAsia="bg-BG"/>
        </w:rPr>
        <w:t>Урологични лекарства, лекарства против често уриниране и инконтиненция;</w:t>
      </w:r>
    </w:p>
    <w:p w14:paraId="534D4A19" w14:textId="77777777" w:rsidR="00F96318" w:rsidRPr="00F96318" w:rsidRDefault="00F96318" w:rsidP="00F96318">
      <w:pPr>
        <w:spacing w:line="240" w:lineRule="auto"/>
        <w:rPr>
          <w:rFonts w:eastAsia="Times New Roman" w:cs="Arial"/>
          <w:color w:val="000000"/>
          <w:lang w:eastAsia="bg-BG"/>
        </w:rPr>
      </w:pPr>
    </w:p>
    <w:p w14:paraId="4E2547CA" w14:textId="3EA17689" w:rsidR="00F96318" w:rsidRPr="00F96318" w:rsidRDefault="00F96318" w:rsidP="00F96318">
      <w:pPr>
        <w:spacing w:line="240" w:lineRule="auto"/>
        <w:rPr>
          <w:rFonts w:eastAsia="Times New Roman" w:cs="Arial"/>
          <w:sz w:val="24"/>
          <w:szCs w:val="24"/>
          <w:lang w:eastAsia="bg-BG"/>
        </w:rPr>
      </w:pPr>
      <w:r w:rsidRPr="00F96318">
        <w:rPr>
          <w:rFonts w:eastAsia="Times New Roman" w:cs="Arial"/>
          <w:color w:val="000000"/>
          <w:lang w:eastAsia="bg-BG"/>
        </w:rPr>
        <w:t xml:space="preserve">АТС код: </w:t>
      </w:r>
      <w:r w:rsidRPr="00F96318">
        <w:rPr>
          <w:rFonts w:eastAsia="Times New Roman" w:cs="Arial"/>
          <w:color w:val="000000"/>
          <w:lang w:val="en-US"/>
        </w:rPr>
        <w:t>G04B D08</w:t>
      </w:r>
    </w:p>
    <w:p w14:paraId="7ABCF8CB" w14:textId="77777777" w:rsidR="00F96318" w:rsidRPr="00F96318" w:rsidRDefault="00F96318" w:rsidP="00F96318">
      <w:pPr>
        <w:spacing w:line="240" w:lineRule="auto"/>
        <w:rPr>
          <w:rFonts w:eastAsia="Times New Roman" w:cs="Arial"/>
          <w:color w:val="000000"/>
          <w:u w:val="single"/>
          <w:lang w:eastAsia="bg-BG"/>
        </w:rPr>
      </w:pPr>
    </w:p>
    <w:p w14:paraId="073FEC53" w14:textId="25244021" w:rsidR="00F96318" w:rsidRPr="00F96318" w:rsidRDefault="00F96318" w:rsidP="00F96318">
      <w:pPr>
        <w:spacing w:line="240" w:lineRule="auto"/>
        <w:rPr>
          <w:rFonts w:eastAsia="Times New Roman" w:cs="Arial"/>
          <w:sz w:val="24"/>
          <w:szCs w:val="24"/>
          <w:lang w:eastAsia="bg-BG"/>
        </w:rPr>
      </w:pPr>
      <w:r w:rsidRPr="00F96318">
        <w:rPr>
          <w:rFonts w:eastAsia="Times New Roman" w:cs="Arial"/>
          <w:color w:val="000000"/>
          <w:u w:val="single"/>
          <w:lang w:eastAsia="bg-BG"/>
        </w:rPr>
        <w:t>Механизъм на действие</w:t>
      </w:r>
    </w:p>
    <w:p w14:paraId="3A59DAC2" w14:textId="77777777" w:rsidR="00F96318" w:rsidRPr="00F96318" w:rsidRDefault="00F96318" w:rsidP="00F96318">
      <w:pPr>
        <w:spacing w:line="240" w:lineRule="auto"/>
        <w:rPr>
          <w:rFonts w:eastAsia="Times New Roman" w:cs="Arial"/>
          <w:sz w:val="24"/>
          <w:szCs w:val="24"/>
          <w:lang w:eastAsia="bg-BG"/>
        </w:rPr>
      </w:pPr>
      <w:r w:rsidRPr="00F96318">
        <w:rPr>
          <w:rFonts w:eastAsia="Times New Roman" w:cs="Arial"/>
          <w:color w:val="000000"/>
          <w:lang w:eastAsia="bg-BG"/>
        </w:rPr>
        <w:t>Солифенацин е компетитивен специфичен антагонист на холинергичните рецептори.</w:t>
      </w:r>
    </w:p>
    <w:p w14:paraId="1557930E" w14:textId="77777777" w:rsidR="00F96318" w:rsidRPr="00F96318" w:rsidRDefault="00F96318" w:rsidP="00F96318">
      <w:pPr>
        <w:spacing w:line="240" w:lineRule="auto"/>
        <w:rPr>
          <w:rFonts w:eastAsia="Times New Roman" w:cs="Arial"/>
          <w:color w:val="000000"/>
          <w:lang w:eastAsia="bg-BG"/>
        </w:rPr>
      </w:pPr>
      <w:r w:rsidRPr="00F96318">
        <w:rPr>
          <w:rFonts w:eastAsia="Times New Roman" w:cs="Arial"/>
          <w:color w:val="000000"/>
          <w:lang w:eastAsia="bg-BG"/>
        </w:rPr>
        <w:t xml:space="preserve">Пикочния мехур се инервира от парасимпатиковите холинергични нерви. Ацетилхолинът предизвиква свиване на гладкия мускул на детрузора чрез мускариновите рецептори, преимуществено от M3 подтип. Фармакологичните изследвания </w:t>
      </w:r>
      <w:r w:rsidRPr="00F96318">
        <w:rPr>
          <w:rFonts w:eastAsia="Times New Roman" w:cs="Arial"/>
          <w:i/>
          <w:iCs/>
          <w:color w:val="000000"/>
          <w:lang w:val="en-US"/>
        </w:rPr>
        <w:t>„in vivo”</w:t>
      </w:r>
      <w:r w:rsidRPr="00F96318">
        <w:rPr>
          <w:rFonts w:eastAsia="Times New Roman" w:cs="Arial"/>
          <w:color w:val="000000"/>
          <w:lang w:val="en-US"/>
        </w:rPr>
        <w:t xml:space="preserve"> </w:t>
      </w:r>
      <w:r w:rsidRPr="00F96318">
        <w:rPr>
          <w:rFonts w:eastAsia="Times New Roman" w:cs="Arial"/>
          <w:color w:val="000000"/>
          <w:lang w:eastAsia="bg-BG"/>
        </w:rPr>
        <w:t xml:space="preserve">и </w:t>
      </w:r>
      <w:r w:rsidRPr="00F96318">
        <w:rPr>
          <w:rFonts w:eastAsia="Times New Roman" w:cs="Arial"/>
          <w:i/>
          <w:iCs/>
          <w:color w:val="000000"/>
          <w:lang w:val="en-US"/>
        </w:rPr>
        <w:t>„in vitro”</w:t>
      </w:r>
      <w:r w:rsidRPr="00F96318">
        <w:rPr>
          <w:rFonts w:eastAsia="Times New Roman" w:cs="Arial"/>
          <w:color w:val="000000"/>
          <w:lang w:val="en-US"/>
        </w:rPr>
        <w:t xml:space="preserve"> </w:t>
      </w:r>
      <w:r w:rsidRPr="00F96318">
        <w:rPr>
          <w:rFonts w:eastAsia="Times New Roman" w:cs="Arial"/>
          <w:color w:val="000000"/>
          <w:lang w:eastAsia="bg-BG"/>
        </w:rPr>
        <w:t xml:space="preserve">показват, че солифенацин е компетитивен инхибитор на мускариновия M3 рецептор. Освен това той е специфичен антагонист на мускариновите рецептори, като е с малък или без афинитет към други </w:t>
      </w:r>
    </w:p>
    <w:p w14:paraId="242A1D91" w14:textId="5720833D" w:rsidR="00F96318" w:rsidRPr="00F96318" w:rsidRDefault="00F96318" w:rsidP="00F96318">
      <w:pPr>
        <w:spacing w:line="240" w:lineRule="auto"/>
        <w:rPr>
          <w:rFonts w:eastAsia="Times New Roman" w:cs="Arial"/>
          <w:sz w:val="24"/>
          <w:szCs w:val="24"/>
          <w:lang w:eastAsia="bg-BG"/>
        </w:rPr>
      </w:pPr>
      <w:r w:rsidRPr="00F96318">
        <w:rPr>
          <w:rFonts w:eastAsia="Times New Roman" w:cs="Arial"/>
          <w:color w:val="000000"/>
          <w:lang w:eastAsia="bg-BG"/>
        </w:rPr>
        <w:t>рецептори и йонни канали, които са изследвани.</w:t>
      </w:r>
    </w:p>
    <w:p w14:paraId="3872C8B8" w14:textId="77777777" w:rsidR="00F96318" w:rsidRPr="00F96318" w:rsidRDefault="00F96318" w:rsidP="00F96318">
      <w:pPr>
        <w:spacing w:line="240" w:lineRule="auto"/>
        <w:rPr>
          <w:rFonts w:eastAsia="Times New Roman" w:cs="Arial"/>
          <w:color w:val="000000"/>
          <w:u w:val="single"/>
          <w:lang w:eastAsia="bg-BG"/>
        </w:rPr>
      </w:pPr>
    </w:p>
    <w:p w14:paraId="7EBD1C63" w14:textId="5BB13608" w:rsidR="00F96318" w:rsidRPr="00F96318" w:rsidRDefault="00F96318" w:rsidP="00F96318">
      <w:pPr>
        <w:spacing w:line="240" w:lineRule="auto"/>
        <w:rPr>
          <w:rFonts w:eastAsia="Times New Roman" w:cs="Arial"/>
          <w:sz w:val="24"/>
          <w:szCs w:val="24"/>
          <w:lang w:eastAsia="bg-BG"/>
        </w:rPr>
      </w:pPr>
      <w:r w:rsidRPr="00F96318">
        <w:rPr>
          <w:rFonts w:eastAsia="Times New Roman" w:cs="Arial"/>
          <w:color w:val="000000"/>
          <w:u w:val="single"/>
          <w:lang w:eastAsia="bg-BG"/>
        </w:rPr>
        <w:t>Фармакодинамични ефекти</w:t>
      </w:r>
    </w:p>
    <w:p w14:paraId="37F70491" w14:textId="77777777" w:rsidR="00F96318" w:rsidRPr="00F96318" w:rsidRDefault="00F96318" w:rsidP="00F96318">
      <w:pPr>
        <w:spacing w:line="240" w:lineRule="auto"/>
        <w:rPr>
          <w:rFonts w:eastAsia="Times New Roman" w:cs="Arial"/>
          <w:sz w:val="24"/>
          <w:szCs w:val="24"/>
          <w:lang w:eastAsia="bg-BG"/>
        </w:rPr>
      </w:pPr>
      <w:r w:rsidRPr="00F96318">
        <w:rPr>
          <w:rFonts w:eastAsia="Times New Roman" w:cs="Arial"/>
          <w:color w:val="000000"/>
          <w:lang w:eastAsia="bg-BG"/>
        </w:rPr>
        <w:t xml:space="preserve">Лечението със солифенацин в дози 5 </w:t>
      </w:r>
      <w:r w:rsidRPr="00F96318">
        <w:rPr>
          <w:rFonts w:eastAsia="Times New Roman" w:cs="Arial"/>
          <w:color w:val="000000"/>
          <w:lang w:val="en-US"/>
        </w:rPr>
        <w:t xml:space="preserve">mg </w:t>
      </w:r>
      <w:r w:rsidRPr="00F96318">
        <w:rPr>
          <w:rFonts w:eastAsia="Times New Roman" w:cs="Arial"/>
          <w:color w:val="000000"/>
          <w:lang w:eastAsia="bg-BG"/>
        </w:rPr>
        <w:t xml:space="preserve">и 10 </w:t>
      </w:r>
      <w:r w:rsidRPr="00F96318">
        <w:rPr>
          <w:rFonts w:eastAsia="Times New Roman" w:cs="Arial"/>
          <w:color w:val="000000"/>
          <w:lang w:val="en-US"/>
        </w:rPr>
        <w:t xml:space="preserve">mg </w:t>
      </w:r>
      <w:r w:rsidRPr="00F96318">
        <w:rPr>
          <w:rFonts w:eastAsia="Times New Roman" w:cs="Arial"/>
          <w:color w:val="000000"/>
          <w:lang w:eastAsia="bg-BG"/>
        </w:rPr>
        <w:t>дневно е проучено чрез няколко двойно слепи рандомизирани клинични изпитвания при мъже и жени със свръхактивен пикочен мехур.</w:t>
      </w:r>
    </w:p>
    <w:p w14:paraId="3D72141B" w14:textId="77777777" w:rsidR="00F96318" w:rsidRPr="00F96318" w:rsidRDefault="00F96318" w:rsidP="00F96318">
      <w:pPr>
        <w:spacing w:line="240" w:lineRule="auto"/>
        <w:rPr>
          <w:rFonts w:eastAsia="Times New Roman" w:cs="Arial"/>
          <w:color w:val="000000"/>
          <w:lang w:eastAsia="bg-BG"/>
        </w:rPr>
      </w:pPr>
    </w:p>
    <w:p w14:paraId="0A08E1F7" w14:textId="77777777" w:rsidR="00F96318" w:rsidRPr="00F96318" w:rsidRDefault="00F96318" w:rsidP="00F96318">
      <w:pPr>
        <w:rPr>
          <w:rFonts w:eastAsia="Times New Roman" w:cs="Arial"/>
          <w:sz w:val="24"/>
          <w:szCs w:val="24"/>
          <w:lang w:eastAsia="bg-BG"/>
        </w:rPr>
      </w:pPr>
      <w:r w:rsidRPr="00F96318">
        <w:rPr>
          <w:rFonts w:eastAsia="Times New Roman" w:cs="Arial"/>
          <w:color w:val="000000"/>
          <w:lang w:eastAsia="bg-BG"/>
        </w:rPr>
        <w:t xml:space="preserve">Както е показано в таблицата по-долу, и двете дози солифенацин 5 </w:t>
      </w:r>
      <w:r w:rsidRPr="00F96318">
        <w:rPr>
          <w:rFonts w:eastAsia="Times New Roman" w:cs="Arial"/>
          <w:color w:val="000000"/>
          <w:lang w:val="en-US"/>
        </w:rPr>
        <w:t xml:space="preserve">mg </w:t>
      </w:r>
      <w:r w:rsidRPr="00F96318">
        <w:rPr>
          <w:rFonts w:eastAsia="Times New Roman" w:cs="Arial"/>
          <w:color w:val="000000"/>
          <w:lang w:eastAsia="bg-BG"/>
        </w:rPr>
        <w:t xml:space="preserve">и 10 </w:t>
      </w:r>
      <w:r w:rsidRPr="00F96318">
        <w:rPr>
          <w:rFonts w:eastAsia="Times New Roman" w:cs="Arial"/>
          <w:color w:val="000000"/>
          <w:lang w:val="en-US"/>
        </w:rPr>
        <w:t xml:space="preserve">mg </w:t>
      </w:r>
      <w:r w:rsidRPr="00F96318">
        <w:rPr>
          <w:rFonts w:eastAsia="Times New Roman" w:cs="Arial"/>
          <w:color w:val="000000"/>
          <w:lang w:eastAsia="bg-BG"/>
        </w:rPr>
        <w:t xml:space="preserve">предизвикват статистически значими подобрения в първичните и вторичните точки в сравнение с плацебо. Резултатите се получават след една седмица от началото на </w:t>
      </w:r>
      <w:r w:rsidRPr="00F96318">
        <w:rPr>
          <w:rFonts w:eastAsia="Times New Roman" w:cs="Arial"/>
          <w:color w:val="000000"/>
          <w:lang w:eastAsia="bg-BG"/>
        </w:rPr>
        <w:lastRenderedPageBreak/>
        <w:t>лечението и се стабилизират за период от 12 седмици. Продължително отворено изпитване показва, че ефективността се поддържа поне 12 месеца. След 12-седмично лечение приблизително 50% от пациентите страдащи от инконтиненция преди лечението, нямат вече случаи на инконтиненция, а други 35% от пациентите постигат честота на уриниране по-малко от 8 пъти дневно. Лечението на симптомите на свръхактивния пикочен мехур се отразява благоприятно върху качеството на живот с цялостното усещане за добро здраве, като намалява епизодите на инконтиненция,</w:t>
      </w:r>
      <w:r w:rsidRPr="00F96318">
        <w:rPr>
          <w:rFonts w:eastAsia="Times New Roman" w:cs="Arial"/>
          <w:sz w:val="24"/>
          <w:szCs w:val="24"/>
          <w:lang w:val="en-US" w:eastAsia="bg-BG"/>
        </w:rPr>
        <w:t xml:space="preserve"> </w:t>
      </w:r>
      <w:r w:rsidRPr="00F96318">
        <w:rPr>
          <w:rFonts w:eastAsia="Times New Roman" w:cs="Arial"/>
          <w:color w:val="000000"/>
          <w:lang w:eastAsia="bg-BG"/>
        </w:rPr>
        <w:t>физическите и социалните ограничения, неприятните емоции, тежестта на симптомите, стриктните ограничения и нарушението на съня/жизнеността.</w:t>
      </w:r>
    </w:p>
    <w:p w14:paraId="451F6A0E" w14:textId="77777777" w:rsidR="00F96318" w:rsidRPr="00F96318" w:rsidRDefault="00F96318" w:rsidP="00F96318">
      <w:pPr>
        <w:spacing w:line="240" w:lineRule="auto"/>
        <w:rPr>
          <w:rFonts w:eastAsia="Times New Roman" w:cs="Arial"/>
          <w:i/>
          <w:iCs/>
          <w:color w:val="000000"/>
          <w:lang w:eastAsia="bg-BG"/>
        </w:rPr>
      </w:pPr>
    </w:p>
    <w:p w14:paraId="5355113B" w14:textId="0DF9D9A6" w:rsidR="00F96318" w:rsidRPr="00F96318" w:rsidRDefault="00F96318" w:rsidP="00F96318">
      <w:pPr>
        <w:spacing w:line="240" w:lineRule="auto"/>
        <w:rPr>
          <w:rFonts w:eastAsia="Times New Roman" w:cs="Arial"/>
          <w:i/>
          <w:iCs/>
          <w:color w:val="000000"/>
          <w:u w:val="single"/>
          <w:lang w:eastAsia="bg-BG"/>
        </w:rPr>
      </w:pPr>
      <w:r w:rsidRPr="00F96318">
        <w:rPr>
          <w:rFonts w:eastAsia="Times New Roman" w:cs="Arial"/>
          <w:i/>
          <w:iCs/>
          <w:color w:val="000000"/>
          <w:lang w:eastAsia="bg-BG"/>
        </w:rPr>
        <w:t xml:space="preserve">Резултати (обобщени данни) от 4 контролирани (фаза 3) проучвания с продължителност 12 </w:t>
      </w:r>
      <w:r w:rsidRPr="00F96318">
        <w:rPr>
          <w:rFonts w:eastAsia="Times New Roman" w:cs="Arial"/>
          <w:i/>
          <w:iCs/>
          <w:color w:val="000000"/>
          <w:u w:val="single"/>
          <w:lang w:eastAsia="bg-BG"/>
        </w:rPr>
        <w:t>седмици</w:t>
      </w:r>
    </w:p>
    <w:p w14:paraId="389C75CB" w14:textId="77777777" w:rsidR="00F96318" w:rsidRDefault="00F96318" w:rsidP="00F96318">
      <w:pPr>
        <w:spacing w:line="240" w:lineRule="auto"/>
        <w:rPr>
          <w:rFonts w:ascii="Times New Roman" w:eastAsia="Times New Roman" w:hAnsi="Times New Roman" w:cs="Times New Roman"/>
          <w:sz w:val="24"/>
          <w:szCs w:val="24"/>
          <w:lang w:val="en-US" w:eastAsia="bg-BG"/>
        </w:rPr>
      </w:pPr>
    </w:p>
    <w:tbl>
      <w:tblPr>
        <w:tblStyle w:val="TableGrid"/>
        <w:tblW w:w="0" w:type="auto"/>
        <w:tblLook w:val="04A0" w:firstRow="1" w:lastRow="0" w:firstColumn="1" w:lastColumn="0" w:noHBand="0" w:noVBand="1"/>
      </w:tblPr>
      <w:tblGrid>
        <w:gridCol w:w="1875"/>
        <w:gridCol w:w="1865"/>
        <w:gridCol w:w="1872"/>
        <w:gridCol w:w="1872"/>
        <w:gridCol w:w="1866"/>
      </w:tblGrid>
      <w:tr w:rsidR="00F96318" w14:paraId="1A46D377" w14:textId="77777777" w:rsidTr="00F96318">
        <w:tc>
          <w:tcPr>
            <w:tcW w:w="1900" w:type="dxa"/>
          </w:tcPr>
          <w:p w14:paraId="0E62CF02" w14:textId="77777777" w:rsidR="00F96318" w:rsidRPr="00237B7E" w:rsidRDefault="00F96318" w:rsidP="00F96318">
            <w:pPr>
              <w:spacing w:line="240" w:lineRule="auto"/>
              <w:rPr>
                <w:rFonts w:eastAsia="Times New Roman" w:cs="Arial"/>
                <w:lang w:val="en-US" w:eastAsia="bg-BG"/>
              </w:rPr>
            </w:pPr>
          </w:p>
        </w:tc>
        <w:tc>
          <w:tcPr>
            <w:tcW w:w="1900" w:type="dxa"/>
          </w:tcPr>
          <w:p w14:paraId="7FAC2C9B" w14:textId="159CE6C2" w:rsidR="00F96318" w:rsidRPr="00237B7E" w:rsidRDefault="00F96318" w:rsidP="00F96318">
            <w:pPr>
              <w:spacing w:line="240" w:lineRule="auto"/>
              <w:rPr>
                <w:rFonts w:eastAsia="Times New Roman" w:cs="Arial"/>
                <w:lang w:val="en-US" w:eastAsia="bg-BG"/>
              </w:rPr>
            </w:pPr>
            <w:r w:rsidRPr="00237B7E">
              <w:rPr>
                <w:rFonts w:cs="Arial"/>
                <w:lang w:eastAsia="bg-BG"/>
              </w:rPr>
              <w:t>Плацебо</w:t>
            </w:r>
          </w:p>
        </w:tc>
        <w:tc>
          <w:tcPr>
            <w:tcW w:w="1900" w:type="dxa"/>
          </w:tcPr>
          <w:p w14:paraId="0B382EF2" w14:textId="3F4D506E" w:rsidR="00F96318" w:rsidRPr="00237B7E" w:rsidRDefault="00F96318" w:rsidP="00F96318">
            <w:pPr>
              <w:spacing w:line="240" w:lineRule="auto"/>
              <w:rPr>
                <w:rFonts w:eastAsia="Times New Roman" w:cs="Arial"/>
                <w:lang w:val="en-US" w:eastAsia="bg-BG"/>
              </w:rPr>
            </w:pPr>
            <w:r w:rsidRPr="00237B7E">
              <w:rPr>
                <w:rFonts w:cs="Arial"/>
              </w:rPr>
              <w:t xml:space="preserve">Solifenacin </w:t>
            </w:r>
            <w:r w:rsidRPr="00237B7E">
              <w:rPr>
                <w:rFonts w:cs="Arial"/>
                <w:lang w:eastAsia="bg-BG"/>
              </w:rPr>
              <w:t xml:space="preserve">5 </w:t>
            </w:r>
            <w:r w:rsidRPr="00237B7E">
              <w:rPr>
                <w:rFonts w:cs="Arial"/>
              </w:rPr>
              <w:t xml:space="preserve">mg </w:t>
            </w:r>
            <w:r w:rsidRPr="00237B7E">
              <w:rPr>
                <w:rFonts w:cs="Arial"/>
                <w:lang w:eastAsia="bg-BG"/>
              </w:rPr>
              <w:t>дневно</w:t>
            </w:r>
          </w:p>
        </w:tc>
        <w:tc>
          <w:tcPr>
            <w:tcW w:w="1900" w:type="dxa"/>
          </w:tcPr>
          <w:p w14:paraId="056DBE7A" w14:textId="14136F65" w:rsidR="00F96318" w:rsidRPr="00237B7E" w:rsidRDefault="00F96318" w:rsidP="00F96318">
            <w:pPr>
              <w:spacing w:line="240" w:lineRule="auto"/>
              <w:rPr>
                <w:rFonts w:eastAsia="Times New Roman" w:cs="Arial"/>
                <w:lang w:val="en-US" w:eastAsia="bg-BG"/>
              </w:rPr>
            </w:pPr>
            <w:r w:rsidRPr="00237B7E">
              <w:rPr>
                <w:rFonts w:cs="Arial"/>
              </w:rPr>
              <w:t xml:space="preserve">Solifenacin 10 mg </w:t>
            </w:r>
            <w:r w:rsidRPr="00237B7E">
              <w:rPr>
                <w:rFonts w:cs="Arial"/>
                <w:lang w:eastAsia="bg-BG"/>
              </w:rPr>
              <w:t>дневно</w:t>
            </w:r>
          </w:p>
        </w:tc>
        <w:tc>
          <w:tcPr>
            <w:tcW w:w="1900" w:type="dxa"/>
          </w:tcPr>
          <w:p w14:paraId="5E310983" w14:textId="48A52A97" w:rsidR="00F96318" w:rsidRPr="00237B7E" w:rsidRDefault="00F96318" w:rsidP="00F96318">
            <w:pPr>
              <w:spacing w:line="240" w:lineRule="auto"/>
              <w:rPr>
                <w:rFonts w:eastAsia="Times New Roman" w:cs="Arial"/>
                <w:lang w:val="en-US" w:eastAsia="bg-BG"/>
              </w:rPr>
            </w:pPr>
            <w:r w:rsidRPr="00237B7E">
              <w:rPr>
                <w:rFonts w:cs="Arial"/>
                <w:lang w:eastAsia="bg-BG"/>
              </w:rPr>
              <w:t xml:space="preserve">Толтеро-дин </w:t>
            </w:r>
            <w:r w:rsidRPr="00237B7E">
              <w:rPr>
                <w:rFonts w:cs="Arial"/>
              </w:rPr>
              <w:t xml:space="preserve">2 x 2 mg </w:t>
            </w:r>
            <w:r w:rsidRPr="00237B7E">
              <w:rPr>
                <w:rFonts w:cs="Arial"/>
                <w:lang w:eastAsia="bg-BG"/>
              </w:rPr>
              <w:t>дневно</w:t>
            </w:r>
          </w:p>
        </w:tc>
      </w:tr>
      <w:tr w:rsidR="00F96318" w14:paraId="78D1DA37" w14:textId="77777777" w:rsidTr="002518CF">
        <w:tc>
          <w:tcPr>
            <w:tcW w:w="9500" w:type="dxa"/>
            <w:gridSpan w:val="5"/>
          </w:tcPr>
          <w:p w14:paraId="34674514" w14:textId="7DC178D7" w:rsidR="00F96318" w:rsidRPr="00237B7E" w:rsidRDefault="00F96318" w:rsidP="00F96318">
            <w:pPr>
              <w:spacing w:line="240" w:lineRule="auto"/>
              <w:rPr>
                <w:rFonts w:eastAsia="Times New Roman" w:cs="Arial"/>
                <w:lang w:val="en-US" w:eastAsia="bg-BG"/>
              </w:rPr>
            </w:pPr>
            <w:r w:rsidRPr="00F96318">
              <w:rPr>
                <w:rFonts w:eastAsia="Times New Roman" w:cs="Arial"/>
                <w:color w:val="000000"/>
                <w:lang w:eastAsia="bg-BG"/>
              </w:rPr>
              <w:t>Брой на уринирания за 24 часа</w:t>
            </w:r>
          </w:p>
        </w:tc>
      </w:tr>
      <w:tr w:rsidR="00F96318" w14:paraId="4AA262E0" w14:textId="77777777" w:rsidTr="00F96318">
        <w:tc>
          <w:tcPr>
            <w:tcW w:w="1900" w:type="dxa"/>
          </w:tcPr>
          <w:p w14:paraId="3E558B69" w14:textId="77777777" w:rsidR="00F96318" w:rsidRPr="00237B7E" w:rsidRDefault="00F96318" w:rsidP="00F96318">
            <w:pPr>
              <w:rPr>
                <w:rFonts w:cs="Arial"/>
              </w:rPr>
            </w:pPr>
            <w:r w:rsidRPr="00237B7E">
              <w:rPr>
                <w:rFonts w:cs="Arial"/>
              </w:rPr>
              <w:t>Средна базова линия</w:t>
            </w:r>
          </w:p>
          <w:p w14:paraId="72D21668" w14:textId="77777777" w:rsidR="00F96318" w:rsidRPr="00237B7E" w:rsidRDefault="00F96318" w:rsidP="00F96318">
            <w:pPr>
              <w:rPr>
                <w:rFonts w:cs="Arial"/>
              </w:rPr>
            </w:pPr>
            <w:r w:rsidRPr="00237B7E">
              <w:rPr>
                <w:rFonts w:cs="Arial"/>
              </w:rPr>
              <w:t>Средно намаления спрямо базовата линия</w:t>
            </w:r>
          </w:p>
          <w:p w14:paraId="00B28DC5" w14:textId="77777777" w:rsidR="00F96318" w:rsidRPr="00237B7E" w:rsidRDefault="00F96318" w:rsidP="00F96318">
            <w:pPr>
              <w:rPr>
                <w:rFonts w:cs="Arial"/>
              </w:rPr>
            </w:pPr>
            <w:r w:rsidRPr="00237B7E">
              <w:rPr>
                <w:rFonts w:cs="Arial"/>
              </w:rPr>
              <w:t xml:space="preserve">% промяна спрямо базовата линия </w:t>
            </w:r>
            <w:r w:rsidRPr="00237B7E">
              <w:rPr>
                <w:rFonts w:cs="Arial"/>
                <w:lang w:val="en-US"/>
              </w:rPr>
              <w:t>n</w:t>
            </w:r>
          </w:p>
          <w:p w14:paraId="25AD7AE6" w14:textId="5CF566F4" w:rsidR="00F96318" w:rsidRPr="00237B7E" w:rsidRDefault="00F96318" w:rsidP="00F96318">
            <w:pPr>
              <w:spacing w:line="240" w:lineRule="auto"/>
              <w:rPr>
                <w:rFonts w:eastAsia="Times New Roman" w:cs="Arial"/>
                <w:lang w:val="en-US" w:eastAsia="bg-BG"/>
              </w:rPr>
            </w:pPr>
            <w:r w:rsidRPr="00237B7E">
              <w:rPr>
                <w:rFonts w:cs="Arial"/>
              </w:rPr>
              <w:t>р-стойност*</w:t>
            </w:r>
          </w:p>
        </w:tc>
        <w:tc>
          <w:tcPr>
            <w:tcW w:w="1900" w:type="dxa"/>
          </w:tcPr>
          <w:p w14:paraId="4D7B74CF" w14:textId="77777777" w:rsidR="00F96318" w:rsidRPr="00237B7E" w:rsidRDefault="00F96318" w:rsidP="00F96318">
            <w:pPr>
              <w:rPr>
                <w:rFonts w:cs="Arial"/>
              </w:rPr>
            </w:pPr>
            <w:r w:rsidRPr="00237B7E">
              <w:rPr>
                <w:rFonts w:cs="Arial"/>
              </w:rPr>
              <w:t>11,9</w:t>
            </w:r>
          </w:p>
          <w:p w14:paraId="63740222" w14:textId="77777777" w:rsidR="00F96318" w:rsidRPr="00237B7E" w:rsidRDefault="00F96318" w:rsidP="00F96318">
            <w:pPr>
              <w:rPr>
                <w:rFonts w:cs="Arial"/>
              </w:rPr>
            </w:pPr>
          </w:p>
          <w:p w14:paraId="143D0A29" w14:textId="31FA1E95" w:rsidR="00F96318" w:rsidRPr="00237B7E" w:rsidRDefault="00F96318" w:rsidP="00F96318">
            <w:pPr>
              <w:rPr>
                <w:rFonts w:cs="Arial"/>
              </w:rPr>
            </w:pPr>
            <w:r w:rsidRPr="00237B7E">
              <w:rPr>
                <w:rFonts w:cs="Arial"/>
              </w:rPr>
              <w:t>1,4</w:t>
            </w:r>
          </w:p>
          <w:p w14:paraId="5747E09D" w14:textId="77777777" w:rsidR="00F96318" w:rsidRPr="00237B7E" w:rsidRDefault="00F96318" w:rsidP="00F96318">
            <w:pPr>
              <w:spacing w:line="240" w:lineRule="auto"/>
              <w:rPr>
                <w:rFonts w:cs="Arial"/>
              </w:rPr>
            </w:pPr>
            <w:r w:rsidRPr="00237B7E">
              <w:rPr>
                <w:rFonts w:cs="Arial"/>
              </w:rPr>
              <w:t xml:space="preserve">(12%) </w:t>
            </w:r>
          </w:p>
          <w:p w14:paraId="0B509A68" w14:textId="7482C18B" w:rsidR="00F96318" w:rsidRPr="00237B7E" w:rsidRDefault="00F96318" w:rsidP="00F96318">
            <w:pPr>
              <w:spacing w:line="240" w:lineRule="auto"/>
              <w:rPr>
                <w:rFonts w:eastAsia="Times New Roman" w:cs="Arial"/>
                <w:lang w:val="en-US" w:eastAsia="bg-BG"/>
              </w:rPr>
            </w:pPr>
            <w:r w:rsidRPr="00237B7E">
              <w:rPr>
                <w:rFonts w:cs="Arial"/>
              </w:rPr>
              <w:t>1138</w:t>
            </w:r>
          </w:p>
        </w:tc>
        <w:tc>
          <w:tcPr>
            <w:tcW w:w="1900" w:type="dxa"/>
          </w:tcPr>
          <w:p w14:paraId="27919D57" w14:textId="77777777" w:rsidR="00F96318" w:rsidRPr="00237B7E" w:rsidRDefault="00F96318" w:rsidP="00F96318">
            <w:pPr>
              <w:rPr>
                <w:rFonts w:cs="Arial"/>
              </w:rPr>
            </w:pPr>
            <w:r w:rsidRPr="00237B7E">
              <w:rPr>
                <w:rFonts w:cs="Arial"/>
                <w:lang w:val="en-US"/>
              </w:rPr>
              <w:t>12,1</w:t>
            </w:r>
          </w:p>
          <w:p w14:paraId="184DDE10" w14:textId="77777777" w:rsidR="00F96318" w:rsidRPr="00237B7E" w:rsidRDefault="00F96318" w:rsidP="00F96318">
            <w:pPr>
              <w:rPr>
                <w:rFonts w:cs="Arial"/>
              </w:rPr>
            </w:pPr>
            <w:r w:rsidRPr="00237B7E">
              <w:rPr>
                <w:rFonts w:cs="Arial"/>
                <w:lang w:val="en-US"/>
              </w:rPr>
              <w:t>2,3</w:t>
            </w:r>
          </w:p>
          <w:p w14:paraId="179C0A38" w14:textId="77777777" w:rsidR="00F96318" w:rsidRPr="00237B7E" w:rsidRDefault="00F96318" w:rsidP="00F96318">
            <w:pPr>
              <w:rPr>
                <w:rFonts w:cs="Arial"/>
                <w:lang w:val="en-US"/>
              </w:rPr>
            </w:pPr>
            <w:r w:rsidRPr="00237B7E">
              <w:rPr>
                <w:rFonts w:cs="Arial"/>
                <w:lang w:val="en-US"/>
              </w:rPr>
              <w:t xml:space="preserve">(19%) </w:t>
            </w:r>
          </w:p>
          <w:p w14:paraId="7E4CBBEA" w14:textId="7B80CF42" w:rsidR="00F96318" w:rsidRPr="00237B7E" w:rsidRDefault="00F96318" w:rsidP="00F96318">
            <w:pPr>
              <w:rPr>
                <w:rFonts w:cs="Arial"/>
              </w:rPr>
            </w:pPr>
            <w:r w:rsidRPr="00237B7E">
              <w:rPr>
                <w:rFonts w:cs="Arial"/>
                <w:lang w:val="en-US"/>
              </w:rPr>
              <w:t>552</w:t>
            </w:r>
          </w:p>
          <w:p w14:paraId="2E403AE2" w14:textId="60D1F15F" w:rsidR="00F96318" w:rsidRPr="00237B7E" w:rsidRDefault="00F96318" w:rsidP="00F96318">
            <w:pPr>
              <w:spacing w:line="240" w:lineRule="auto"/>
              <w:rPr>
                <w:rFonts w:eastAsia="Times New Roman" w:cs="Arial"/>
                <w:lang w:val="en-US" w:eastAsia="bg-BG"/>
              </w:rPr>
            </w:pPr>
            <w:r w:rsidRPr="00237B7E">
              <w:rPr>
                <w:rFonts w:cs="Arial"/>
                <w:lang w:val="en-US"/>
              </w:rPr>
              <w:t>&lt;0,001</w:t>
            </w:r>
          </w:p>
        </w:tc>
        <w:tc>
          <w:tcPr>
            <w:tcW w:w="1900" w:type="dxa"/>
          </w:tcPr>
          <w:p w14:paraId="7125C2F8" w14:textId="77777777" w:rsidR="00F96318" w:rsidRPr="00237B7E" w:rsidRDefault="00F96318" w:rsidP="00F96318">
            <w:pPr>
              <w:rPr>
                <w:rFonts w:cs="Arial"/>
              </w:rPr>
            </w:pPr>
            <w:r w:rsidRPr="00237B7E">
              <w:rPr>
                <w:rFonts w:cs="Arial"/>
                <w:lang w:val="en-US"/>
              </w:rPr>
              <w:t>11,9</w:t>
            </w:r>
          </w:p>
          <w:p w14:paraId="50B58ECA" w14:textId="77777777" w:rsidR="00F96318" w:rsidRPr="00237B7E" w:rsidRDefault="00F96318" w:rsidP="00F96318">
            <w:pPr>
              <w:rPr>
                <w:rFonts w:cs="Arial"/>
              </w:rPr>
            </w:pPr>
            <w:r w:rsidRPr="00237B7E">
              <w:rPr>
                <w:rFonts w:cs="Arial"/>
                <w:lang w:val="en-US"/>
              </w:rPr>
              <w:t>2,7</w:t>
            </w:r>
          </w:p>
          <w:p w14:paraId="4841E6A6" w14:textId="77777777" w:rsidR="00F96318" w:rsidRPr="00237B7E" w:rsidRDefault="00F96318" w:rsidP="00F96318">
            <w:pPr>
              <w:rPr>
                <w:rFonts w:cs="Arial"/>
                <w:lang w:val="en-US"/>
              </w:rPr>
            </w:pPr>
            <w:r w:rsidRPr="00237B7E">
              <w:rPr>
                <w:rFonts w:cs="Arial"/>
                <w:lang w:val="en-US"/>
              </w:rPr>
              <w:t xml:space="preserve">(23%) </w:t>
            </w:r>
          </w:p>
          <w:p w14:paraId="6033CE65" w14:textId="5840C7E8" w:rsidR="00F96318" w:rsidRPr="00237B7E" w:rsidRDefault="00F96318" w:rsidP="00F96318">
            <w:pPr>
              <w:rPr>
                <w:rFonts w:cs="Arial"/>
              </w:rPr>
            </w:pPr>
            <w:r w:rsidRPr="00237B7E">
              <w:rPr>
                <w:rFonts w:cs="Arial"/>
                <w:lang w:val="en-US"/>
              </w:rPr>
              <w:t>1158</w:t>
            </w:r>
          </w:p>
          <w:p w14:paraId="711FC54B" w14:textId="3E81F1ED" w:rsidR="00F96318" w:rsidRPr="00237B7E" w:rsidRDefault="00F96318" w:rsidP="00F96318">
            <w:pPr>
              <w:spacing w:line="240" w:lineRule="auto"/>
              <w:rPr>
                <w:rFonts w:eastAsia="Times New Roman" w:cs="Arial"/>
                <w:lang w:val="en-US" w:eastAsia="bg-BG"/>
              </w:rPr>
            </w:pPr>
            <w:r w:rsidRPr="00237B7E">
              <w:rPr>
                <w:rFonts w:cs="Arial"/>
                <w:lang w:val="en-US"/>
              </w:rPr>
              <w:t>&lt;0,001</w:t>
            </w:r>
          </w:p>
        </w:tc>
        <w:tc>
          <w:tcPr>
            <w:tcW w:w="1900" w:type="dxa"/>
          </w:tcPr>
          <w:p w14:paraId="1A2AE6E5" w14:textId="77777777" w:rsidR="00F96318" w:rsidRPr="00237B7E" w:rsidRDefault="00F96318" w:rsidP="00F96318">
            <w:pPr>
              <w:rPr>
                <w:rFonts w:cs="Arial"/>
              </w:rPr>
            </w:pPr>
            <w:r w:rsidRPr="00237B7E">
              <w:rPr>
                <w:rFonts w:cs="Arial"/>
                <w:lang w:val="en-US"/>
              </w:rPr>
              <w:t>12,1</w:t>
            </w:r>
          </w:p>
          <w:p w14:paraId="7AE891D7" w14:textId="77777777" w:rsidR="00F96318" w:rsidRPr="00237B7E" w:rsidRDefault="00F96318" w:rsidP="00F96318">
            <w:pPr>
              <w:rPr>
                <w:rFonts w:cs="Arial"/>
              </w:rPr>
            </w:pPr>
            <w:r w:rsidRPr="00237B7E">
              <w:rPr>
                <w:rFonts w:cs="Arial"/>
                <w:lang w:val="en-US"/>
              </w:rPr>
              <w:t>1,9</w:t>
            </w:r>
          </w:p>
          <w:p w14:paraId="0CBDD2D3" w14:textId="77777777" w:rsidR="00F96318" w:rsidRPr="00237B7E" w:rsidRDefault="00F96318" w:rsidP="00F96318">
            <w:pPr>
              <w:rPr>
                <w:rFonts w:cs="Arial"/>
                <w:lang w:val="en-US"/>
              </w:rPr>
            </w:pPr>
            <w:r w:rsidRPr="00237B7E">
              <w:rPr>
                <w:rFonts w:cs="Arial"/>
                <w:lang w:val="en-US"/>
              </w:rPr>
              <w:t xml:space="preserve">(16%) </w:t>
            </w:r>
          </w:p>
          <w:p w14:paraId="472FDD37" w14:textId="233A4034" w:rsidR="00F96318" w:rsidRPr="00237B7E" w:rsidRDefault="00F96318" w:rsidP="00F96318">
            <w:pPr>
              <w:rPr>
                <w:rFonts w:cs="Arial"/>
              </w:rPr>
            </w:pPr>
            <w:r w:rsidRPr="00237B7E">
              <w:rPr>
                <w:rFonts w:cs="Arial"/>
                <w:lang w:val="en-US"/>
              </w:rPr>
              <w:t>250</w:t>
            </w:r>
          </w:p>
          <w:p w14:paraId="6AE0BC3D" w14:textId="1246676B" w:rsidR="00F96318" w:rsidRPr="00237B7E" w:rsidRDefault="00F96318" w:rsidP="00F96318">
            <w:pPr>
              <w:spacing w:line="240" w:lineRule="auto"/>
              <w:rPr>
                <w:rFonts w:eastAsia="Times New Roman" w:cs="Arial"/>
                <w:lang w:val="en-US" w:eastAsia="bg-BG"/>
              </w:rPr>
            </w:pPr>
            <w:r w:rsidRPr="00237B7E">
              <w:rPr>
                <w:rFonts w:cs="Arial"/>
                <w:lang w:val="en-US"/>
              </w:rPr>
              <w:t>0,004</w:t>
            </w:r>
          </w:p>
        </w:tc>
      </w:tr>
      <w:tr w:rsidR="00F96318" w14:paraId="19622253" w14:textId="77777777" w:rsidTr="002C2854">
        <w:tc>
          <w:tcPr>
            <w:tcW w:w="9500" w:type="dxa"/>
            <w:gridSpan w:val="5"/>
          </w:tcPr>
          <w:p w14:paraId="5B34F32E" w14:textId="4952C1E1" w:rsidR="00F96318" w:rsidRPr="00237B7E" w:rsidRDefault="00F96318" w:rsidP="00F96318">
            <w:pPr>
              <w:spacing w:line="240" w:lineRule="auto"/>
              <w:rPr>
                <w:rFonts w:eastAsia="Times New Roman" w:cs="Arial"/>
                <w:lang w:val="en-US" w:eastAsia="bg-BG"/>
              </w:rPr>
            </w:pPr>
            <w:r w:rsidRPr="00F96318">
              <w:rPr>
                <w:rFonts w:eastAsia="Times New Roman" w:cs="Arial"/>
                <w:color w:val="000000"/>
                <w:lang w:eastAsia="bg-BG"/>
              </w:rPr>
              <w:t>Брой на неудържими позиви за 24 часа</w:t>
            </w:r>
          </w:p>
        </w:tc>
      </w:tr>
      <w:tr w:rsidR="00F96318" w14:paraId="28495E7A" w14:textId="77777777" w:rsidTr="00F96318">
        <w:tc>
          <w:tcPr>
            <w:tcW w:w="1900" w:type="dxa"/>
          </w:tcPr>
          <w:p w14:paraId="58B25C76" w14:textId="77777777" w:rsidR="00F96318" w:rsidRPr="00237B7E" w:rsidRDefault="00F96318" w:rsidP="00F96318">
            <w:pPr>
              <w:rPr>
                <w:rFonts w:cs="Arial"/>
              </w:rPr>
            </w:pPr>
            <w:r w:rsidRPr="00237B7E">
              <w:rPr>
                <w:rFonts w:cs="Arial"/>
              </w:rPr>
              <w:t>Средна базова линия</w:t>
            </w:r>
          </w:p>
          <w:p w14:paraId="4D91FBC0" w14:textId="77777777" w:rsidR="00F96318" w:rsidRPr="00237B7E" w:rsidRDefault="00F96318" w:rsidP="00F96318">
            <w:pPr>
              <w:rPr>
                <w:rFonts w:cs="Arial"/>
              </w:rPr>
            </w:pPr>
            <w:r w:rsidRPr="00237B7E">
              <w:rPr>
                <w:rFonts w:cs="Arial"/>
              </w:rPr>
              <w:t>Средно намаления спрямо базовата линия</w:t>
            </w:r>
          </w:p>
          <w:p w14:paraId="7473C944" w14:textId="77777777" w:rsidR="00F96318" w:rsidRPr="00237B7E" w:rsidRDefault="00F96318" w:rsidP="00F96318">
            <w:pPr>
              <w:rPr>
                <w:rFonts w:cs="Arial"/>
              </w:rPr>
            </w:pPr>
            <w:r w:rsidRPr="00237B7E">
              <w:rPr>
                <w:rFonts w:cs="Arial"/>
              </w:rPr>
              <w:t xml:space="preserve">% промяна спрямо базовата линия </w:t>
            </w:r>
            <w:r w:rsidRPr="00237B7E">
              <w:rPr>
                <w:rFonts w:cs="Arial"/>
                <w:lang w:val="en-US"/>
              </w:rPr>
              <w:t>n</w:t>
            </w:r>
          </w:p>
          <w:p w14:paraId="64CB923B" w14:textId="18FD31B6" w:rsidR="00F96318" w:rsidRPr="00237B7E" w:rsidRDefault="00F96318" w:rsidP="00F96318">
            <w:pPr>
              <w:spacing w:line="240" w:lineRule="auto"/>
              <w:rPr>
                <w:rFonts w:eastAsia="Times New Roman" w:cs="Arial"/>
                <w:lang w:val="en-US" w:eastAsia="bg-BG"/>
              </w:rPr>
            </w:pPr>
            <w:r w:rsidRPr="00237B7E">
              <w:rPr>
                <w:rFonts w:cs="Arial"/>
              </w:rPr>
              <w:t>р-стойност*</w:t>
            </w:r>
          </w:p>
        </w:tc>
        <w:tc>
          <w:tcPr>
            <w:tcW w:w="1900" w:type="dxa"/>
          </w:tcPr>
          <w:p w14:paraId="4468DE45" w14:textId="77777777" w:rsidR="00F96318" w:rsidRPr="00237B7E" w:rsidRDefault="00F96318" w:rsidP="00F96318">
            <w:pPr>
              <w:rPr>
                <w:rFonts w:cs="Arial"/>
              </w:rPr>
            </w:pPr>
            <w:r w:rsidRPr="00237B7E">
              <w:rPr>
                <w:rFonts w:cs="Arial"/>
              </w:rPr>
              <w:t>6,3</w:t>
            </w:r>
          </w:p>
          <w:p w14:paraId="0623DE07" w14:textId="77777777" w:rsidR="00F96318" w:rsidRPr="00237B7E" w:rsidRDefault="00F96318" w:rsidP="00F96318">
            <w:pPr>
              <w:rPr>
                <w:rFonts w:cs="Arial"/>
              </w:rPr>
            </w:pPr>
            <w:r w:rsidRPr="00237B7E">
              <w:rPr>
                <w:rFonts w:cs="Arial"/>
              </w:rPr>
              <w:t>2,0</w:t>
            </w:r>
          </w:p>
          <w:p w14:paraId="290967AB" w14:textId="77777777" w:rsidR="00F96318" w:rsidRPr="00237B7E" w:rsidRDefault="00F96318" w:rsidP="00F96318">
            <w:pPr>
              <w:rPr>
                <w:rFonts w:cs="Arial"/>
              </w:rPr>
            </w:pPr>
            <w:r w:rsidRPr="00237B7E">
              <w:rPr>
                <w:rFonts w:cs="Arial"/>
              </w:rPr>
              <w:t>(32%)</w:t>
            </w:r>
          </w:p>
          <w:p w14:paraId="70B5D798" w14:textId="68DADCA4" w:rsidR="00F96318" w:rsidRPr="00237B7E" w:rsidRDefault="00F96318" w:rsidP="00F96318">
            <w:pPr>
              <w:spacing w:line="240" w:lineRule="auto"/>
              <w:rPr>
                <w:rFonts w:eastAsia="Times New Roman" w:cs="Arial"/>
                <w:lang w:val="en-US" w:eastAsia="bg-BG"/>
              </w:rPr>
            </w:pPr>
            <w:r w:rsidRPr="00237B7E">
              <w:rPr>
                <w:rFonts w:cs="Arial"/>
              </w:rPr>
              <w:t>1124</w:t>
            </w:r>
          </w:p>
        </w:tc>
        <w:tc>
          <w:tcPr>
            <w:tcW w:w="1900" w:type="dxa"/>
          </w:tcPr>
          <w:p w14:paraId="2F4F7165" w14:textId="77777777" w:rsidR="00F96318" w:rsidRPr="00237B7E" w:rsidRDefault="00F96318" w:rsidP="00F96318">
            <w:pPr>
              <w:rPr>
                <w:rFonts w:cs="Arial"/>
              </w:rPr>
            </w:pPr>
            <w:r w:rsidRPr="00237B7E">
              <w:rPr>
                <w:rFonts w:cs="Arial"/>
                <w:lang w:val="en-US"/>
              </w:rPr>
              <w:t>5,9</w:t>
            </w:r>
          </w:p>
          <w:p w14:paraId="15BE0629" w14:textId="77777777" w:rsidR="00F96318" w:rsidRPr="00237B7E" w:rsidRDefault="00F96318" w:rsidP="00F96318">
            <w:pPr>
              <w:rPr>
                <w:rFonts w:cs="Arial"/>
              </w:rPr>
            </w:pPr>
            <w:r w:rsidRPr="00237B7E">
              <w:rPr>
                <w:rFonts w:cs="Arial"/>
                <w:lang w:val="en-US"/>
              </w:rPr>
              <w:t>2,9</w:t>
            </w:r>
          </w:p>
          <w:p w14:paraId="71FF3B47" w14:textId="77777777" w:rsidR="00F96318" w:rsidRPr="00237B7E" w:rsidRDefault="00F96318" w:rsidP="00F96318">
            <w:pPr>
              <w:rPr>
                <w:rFonts w:cs="Arial"/>
                <w:lang w:val="en-US"/>
              </w:rPr>
            </w:pPr>
            <w:r w:rsidRPr="00237B7E">
              <w:rPr>
                <w:rFonts w:cs="Arial"/>
                <w:lang w:val="en-US"/>
              </w:rPr>
              <w:t xml:space="preserve">(49%) </w:t>
            </w:r>
          </w:p>
          <w:p w14:paraId="35FF1DE6" w14:textId="68828398" w:rsidR="00F96318" w:rsidRPr="00237B7E" w:rsidRDefault="00F96318" w:rsidP="00F96318">
            <w:pPr>
              <w:rPr>
                <w:rFonts w:cs="Arial"/>
              </w:rPr>
            </w:pPr>
            <w:r w:rsidRPr="00237B7E">
              <w:rPr>
                <w:rFonts w:cs="Arial"/>
                <w:lang w:val="en-US"/>
              </w:rPr>
              <w:t>548</w:t>
            </w:r>
          </w:p>
          <w:p w14:paraId="0B1CCD38" w14:textId="172AD394" w:rsidR="00F96318" w:rsidRPr="00237B7E" w:rsidRDefault="00F96318" w:rsidP="00F96318">
            <w:pPr>
              <w:spacing w:line="240" w:lineRule="auto"/>
              <w:rPr>
                <w:rFonts w:eastAsia="Times New Roman" w:cs="Arial"/>
                <w:lang w:val="en-US" w:eastAsia="bg-BG"/>
              </w:rPr>
            </w:pPr>
            <w:r w:rsidRPr="00237B7E">
              <w:rPr>
                <w:rFonts w:cs="Arial"/>
                <w:lang w:val="en-US"/>
              </w:rPr>
              <w:t>&lt;0,001</w:t>
            </w:r>
          </w:p>
        </w:tc>
        <w:tc>
          <w:tcPr>
            <w:tcW w:w="1900" w:type="dxa"/>
          </w:tcPr>
          <w:p w14:paraId="61039221" w14:textId="77777777" w:rsidR="00F96318" w:rsidRPr="00237B7E" w:rsidRDefault="00F96318" w:rsidP="00F96318">
            <w:pPr>
              <w:rPr>
                <w:rFonts w:cs="Arial"/>
              </w:rPr>
            </w:pPr>
            <w:r w:rsidRPr="00237B7E">
              <w:rPr>
                <w:rFonts w:cs="Arial"/>
                <w:lang w:val="en-US"/>
              </w:rPr>
              <w:t>6,2</w:t>
            </w:r>
          </w:p>
          <w:p w14:paraId="6109F31F" w14:textId="77777777" w:rsidR="00F96318" w:rsidRPr="00237B7E" w:rsidRDefault="00F96318" w:rsidP="00F96318">
            <w:pPr>
              <w:rPr>
                <w:rFonts w:cs="Arial"/>
              </w:rPr>
            </w:pPr>
            <w:r w:rsidRPr="00237B7E">
              <w:rPr>
                <w:rFonts w:cs="Arial"/>
                <w:lang w:val="en-US"/>
              </w:rPr>
              <w:t>3,4</w:t>
            </w:r>
          </w:p>
          <w:p w14:paraId="679F6D06" w14:textId="77777777" w:rsidR="00F96318" w:rsidRPr="00237B7E" w:rsidRDefault="00F96318" w:rsidP="00F96318">
            <w:pPr>
              <w:rPr>
                <w:rFonts w:cs="Arial"/>
                <w:lang w:val="en-US"/>
              </w:rPr>
            </w:pPr>
            <w:r w:rsidRPr="00237B7E">
              <w:rPr>
                <w:rFonts w:cs="Arial"/>
                <w:lang w:val="en-US"/>
              </w:rPr>
              <w:t xml:space="preserve">(55%) </w:t>
            </w:r>
          </w:p>
          <w:p w14:paraId="55C0E51F" w14:textId="6792038F" w:rsidR="00F96318" w:rsidRPr="00237B7E" w:rsidRDefault="00F96318" w:rsidP="00F96318">
            <w:pPr>
              <w:rPr>
                <w:rFonts w:cs="Arial"/>
              </w:rPr>
            </w:pPr>
            <w:r w:rsidRPr="00237B7E">
              <w:rPr>
                <w:rFonts w:cs="Arial"/>
                <w:lang w:val="en-US"/>
              </w:rPr>
              <w:t>1151</w:t>
            </w:r>
          </w:p>
          <w:p w14:paraId="6AF99F81" w14:textId="6422AF93" w:rsidR="00F96318" w:rsidRPr="00237B7E" w:rsidRDefault="00F96318" w:rsidP="00F96318">
            <w:pPr>
              <w:spacing w:line="240" w:lineRule="auto"/>
              <w:rPr>
                <w:rFonts w:eastAsia="Times New Roman" w:cs="Arial"/>
                <w:lang w:val="en-US" w:eastAsia="bg-BG"/>
              </w:rPr>
            </w:pPr>
            <w:r w:rsidRPr="00237B7E">
              <w:rPr>
                <w:rFonts w:cs="Arial"/>
                <w:lang w:val="en-US"/>
              </w:rPr>
              <w:t>&lt;0,001</w:t>
            </w:r>
          </w:p>
        </w:tc>
        <w:tc>
          <w:tcPr>
            <w:tcW w:w="1900" w:type="dxa"/>
          </w:tcPr>
          <w:p w14:paraId="21B68806" w14:textId="77777777" w:rsidR="00F96318" w:rsidRPr="00237B7E" w:rsidRDefault="00F96318" w:rsidP="00F96318">
            <w:pPr>
              <w:rPr>
                <w:rFonts w:cs="Arial"/>
              </w:rPr>
            </w:pPr>
            <w:r w:rsidRPr="00237B7E">
              <w:rPr>
                <w:rFonts w:cs="Arial"/>
                <w:lang w:val="en-US"/>
              </w:rPr>
              <w:t>5,4</w:t>
            </w:r>
          </w:p>
          <w:p w14:paraId="728D1E0D" w14:textId="77777777" w:rsidR="00F96318" w:rsidRPr="00237B7E" w:rsidRDefault="00F96318" w:rsidP="00F96318">
            <w:pPr>
              <w:rPr>
                <w:rFonts w:cs="Arial"/>
              </w:rPr>
            </w:pPr>
            <w:r w:rsidRPr="00237B7E">
              <w:rPr>
                <w:rFonts w:cs="Arial"/>
                <w:lang w:val="en-US"/>
              </w:rPr>
              <w:t>2,1</w:t>
            </w:r>
          </w:p>
          <w:p w14:paraId="2AC6CAB1" w14:textId="77777777" w:rsidR="00F96318" w:rsidRPr="00237B7E" w:rsidRDefault="00F96318" w:rsidP="00F96318">
            <w:pPr>
              <w:rPr>
                <w:rFonts w:cs="Arial"/>
              </w:rPr>
            </w:pPr>
            <w:r w:rsidRPr="00237B7E">
              <w:rPr>
                <w:rFonts w:cs="Arial"/>
                <w:lang w:val="en-US"/>
              </w:rPr>
              <w:t>(39%)</w:t>
            </w:r>
          </w:p>
          <w:p w14:paraId="275AA66B" w14:textId="77777777" w:rsidR="00F96318" w:rsidRPr="00237B7E" w:rsidRDefault="00F96318" w:rsidP="00F96318">
            <w:pPr>
              <w:rPr>
                <w:rFonts w:cs="Arial"/>
              </w:rPr>
            </w:pPr>
            <w:r w:rsidRPr="00237B7E">
              <w:rPr>
                <w:rFonts w:cs="Arial"/>
                <w:lang w:val="en-US"/>
              </w:rPr>
              <w:t>250</w:t>
            </w:r>
          </w:p>
          <w:p w14:paraId="0569009E" w14:textId="5BAF2099" w:rsidR="00F96318" w:rsidRPr="00237B7E" w:rsidRDefault="00F96318" w:rsidP="00F96318">
            <w:pPr>
              <w:spacing w:line="240" w:lineRule="auto"/>
              <w:rPr>
                <w:rFonts w:eastAsia="Times New Roman" w:cs="Arial"/>
                <w:lang w:val="en-US" w:eastAsia="bg-BG"/>
              </w:rPr>
            </w:pPr>
            <w:r w:rsidRPr="00237B7E">
              <w:rPr>
                <w:rFonts w:cs="Arial"/>
                <w:lang w:val="en-US"/>
              </w:rPr>
              <w:t>0,031</w:t>
            </w:r>
          </w:p>
        </w:tc>
      </w:tr>
      <w:tr w:rsidR="00F96318" w14:paraId="2EEDF17A" w14:textId="77777777" w:rsidTr="00B7751B">
        <w:tc>
          <w:tcPr>
            <w:tcW w:w="9500" w:type="dxa"/>
            <w:gridSpan w:val="5"/>
          </w:tcPr>
          <w:p w14:paraId="37E6DE61" w14:textId="6B4190FA" w:rsidR="00F96318" w:rsidRPr="00237B7E" w:rsidRDefault="00F96318" w:rsidP="00F96318">
            <w:pPr>
              <w:spacing w:line="240" w:lineRule="auto"/>
              <w:rPr>
                <w:rFonts w:eastAsia="Times New Roman" w:cs="Arial"/>
                <w:lang w:val="en-US" w:eastAsia="bg-BG"/>
              </w:rPr>
            </w:pPr>
            <w:r w:rsidRPr="00F96318">
              <w:rPr>
                <w:rFonts w:eastAsia="Times New Roman" w:cs="Arial"/>
                <w:color w:val="000000"/>
                <w:lang w:eastAsia="bg-BG"/>
              </w:rPr>
              <w:t>Брой на случаите на инконтиненция за 24 часа</w:t>
            </w:r>
          </w:p>
        </w:tc>
      </w:tr>
      <w:tr w:rsidR="00F96318" w14:paraId="63E65AF3" w14:textId="77777777" w:rsidTr="00F96318">
        <w:tc>
          <w:tcPr>
            <w:tcW w:w="1900" w:type="dxa"/>
          </w:tcPr>
          <w:p w14:paraId="2C9CB1AD" w14:textId="77777777" w:rsidR="00F96318" w:rsidRPr="00237B7E" w:rsidRDefault="00F96318" w:rsidP="00F96318">
            <w:pPr>
              <w:rPr>
                <w:rFonts w:cs="Arial"/>
              </w:rPr>
            </w:pPr>
            <w:r w:rsidRPr="00237B7E">
              <w:rPr>
                <w:rFonts w:cs="Arial"/>
              </w:rPr>
              <w:t>Средна базова линия</w:t>
            </w:r>
          </w:p>
          <w:p w14:paraId="125903BB" w14:textId="77777777" w:rsidR="00F96318" w:rsidRPr="00237B7E" w:rsidRDefault="00F96318" w:rsidP="00F96318">
            <w:pPr>
              <w:rPr>
                <w:rFonts w:cs="Arial"/>
              </w:rPr>
            </w:pPr>
            <w:r w:rsidRPr="00237B7E">
              <w:rPr>
                <w:rFonts w:cs="Arial"/>
              </w:rPr>
              <w:t>Средно намаления спрямо базовата линия</w:t>
            </w:r>
          </w:p>
          <w:p w14:paraId="7BF0D427" w14:textId="77777777" w:rsidR="00F96318" w:rsidRPr="00237B7E" w:rsidRDefault="00F96318" w:rsidP="00F96318">
            <w:pPr>
              <w:rPr>
                <w:rFonts w:cs="Arial"/>
              </w:rPr>
            </w:pPr>
            <w:r w:rsidRPr="00237B7E">
              <w:rPr>
                <w:rFonts w:cs="Arial"/>
              </w:rPr>
              <w:t xml:space="preserve">% промяна спрямо </w:t>
            </w:r>
            <w:r w:rsidRPr="00237B7E">
              <w:rPr>
                <w:rFonts w:cs="Arial"/>
              </w:rPr>
              <w:lastRenderedPageBreak/>
              <w:t xml:space="preserve">базовата линия </w:t>
            </w:r>
            <w:r w:rsidRPr="00237B7E">
              <w:rPr>
                <w:rFonts w:cs="Arial"/>
                <w:lang w:val="en-US"/>
              </w:rPr>
              <w:t>n</w:t>
            </w:r>
          </w:p>
          <w:p w14:paraId="79559EAC" w14:textId="6107D759" w:rsidR="00F96318" w:rsidRPr="00237B7E" w:rsidRDefault="00F96318" w:rsidP="00F96318">
            <w:pPr>
              <w:spacing w:line="240" w:lineRule="auto"/>
              <w:rPr>
                <w:rFonts w:eastAsia="Times New Roman" w:cs="Arial"/>
                <w:lang w:val="en-US" w:eastAsia="bg-BG"/>
              </w:rPr>
            </w:pPr>
            <w:r w:rsidRPr="00237B7E">
              <w:rPr>
                <w:rFonts w:cs="Arial"/>
              </w:rPr>
              <w:t>р-стойност</w:t>
            </w:r>
          </w:p>
        </w:tc>
        <w:tc>
          <w:tcPr>
            <w:tcW w:w="1900" w:type="dxa"/>
          </w:tcPr>
          <w:p w14:paraId="57C41BDA" w14:textId="77777777" w:rsidR="00F96318" w:rsidRPr="00237B7E" w:rsidRDefault="00F96318" w:rsidP="00F96318">
            <w:pPr>
              <w:rPr>
                <w:rFonts w:cs="Arial"/>
              </w:rPr>
            </w:pPr>
            <w:r w:rsidRPr="00237B7E">
              <w:rPr>
                <w:rFonts w:cs="Arial"/>
              </w:rPr>
              <w:lastRenderedPageBreak/>
              <w:t xml:space="preserve">2,9 </w:t>
            </w:r>
          </w:p>
          <w:p w14:paraId="04DD62DA" w14:textId="50CCB18C" w:rsidR="00F96318" w:rsidRPr="00237B7E" w:rsidRDefault="00F96318" w:rsidP="00F96318">
            <w:pPr>
              <w:rPr>
                <w:rFonts w:cs="Arial"/>
              </w:rPr>
            </w:pPr>
            <w:r w:rsidRPr="00237B7E">
              <w:rPr>
                <w:rFonts w:cs="Arial"/>
              </w:rPr>
              <w:t>1,1</w:t>
            </w:r>
          </w:p>
          <w:p w14:paraId="3C25FFCA" w14:textId="77777777" w:rsidR="00F96318" w:rsidRPr="00237B7E" w:rsidRDefault="00F96318" w:rsidP="00F96318">
            <w:pPr>
              <w:rPr>
                <w:rFonts w:cs="Arial"/>
              </w:rPr>
            </w:pPr>
            <w:r w:rsidRPr="00237B7E">
              <w:rPr>
                <w:rFonts w:cs="Arial"/>
              </w:rPr>
              <w:t>(38%)</w:t>
            </w:r>
          </w:p>
          <w:p w14:paraId="64B52604" w14:textId="18D2C3DF" w:rsidR="00F96318" w:rsidRPr="00237B7E" w:rsidRDefault="00F96318" w:rsidP="00F96318">
            <w:pPr>
              <w:spacing w:line="240" w:lineRule="auto"/>
              <w:rPr>
                <w:rFonts w:eastAsia="Times New Roman" w:cs="Arial"/>
                <w:lang w:val="en-US" w:eastAsia="bg-BG"/>
              </w:rPr>
            </w:pPr>
            <w:r w:rsidRPr="00237B7E">
              <w:rPr>
                <w:rFonts w:cs="Arial"/>
              </w:rPr>
              <w:t>781</w:t>
            </w:r>
          </w:p>
        </w:tc>
        <w:tc>
          <w:tcPr>
            <w:tcW w:w="1900" w:type="dxa"/>
          </w:tcPr>
          <w:p w14:paraId="68B11388" w14:textId="77777777" w:rsidR="00F96318" w:rsidRPr="00237B7E" w:rsidRDefault="00F96318" w:rsidP="00F96318">
            <w:pPr>
              <w:rPr>
                <w:rFonts w:cs="Arial"/>
              </w:rPr>
            </w:pPr>
            <w:r w:rsidRPr="00237B7E">
              <w:rPr>
                <w:rFonts w:cs="Arial"/>
                <w:lang w:val="en-US"/>
              </w:rPr>
              <w:t>2,6</w:t>
            </w:r>
          </w:p>
          <w:p w14:paraId="6C473A38" w14:textId="77777777" w:rsidR="00F96318" w:rsidRPr="00237B7E" w:rsidRDefault="00F96318" w:rsidP="00F96318">
            <w:pPr>
              <w:rPr>
                <w:rFonts w:cs="Arial"/>
              </w:rPr>
            </w:pPr>
            <w:r w:rsidRPr="00237B7E">
              <w:rPr>
                <w:rFonts w:cs="Arial"/>
                <w:lang w:val="en-US"/>
              </w:rPr>
              <w:t>1,5</w:t>
            </w:r>
          </w:p>
          <w:p w14:paraId="0391732E" w14:textId="77777777" w:rsidR="00F96318" w:rsidRPr="00237B7E" w:rsidRDefault="00F96318" w:rsidP="00F96318">
            <w:pPr>
              <w:rPr>
                <w:rFonts w:cs="Arial"/>
              </w:rPr>
            </w:pPr>
            <w:r w:rsidRPr="00237B7E">
              <w:rPr>
                <w:rFonts w:cs="Arial"/>
                <w:lang w:val="en-US"/>
              </w:rPr>
              <w:t>(58%)</w:t>
            </w:r>
          </w:p>
          <w:p w14:paraId="15CCE5F3" w14:textId="77777777" w:rsidR="00F96318" w:rsidRPr="00237B7E" w:rsidRDefault="00F96318" w:rsidP="00F96318">
            <w:pPr>
              <w:spacing w:line="240" w:lineRule="auto"/>
              <w:rPr>
                <w:rFonts w:cs="Arial"/>
                <w:lang w:val="en-US"/>
              </w:rPr>
            </w:pPr>
            <w:r w:rsidRPr="00237B7E">
              <w:rPr>
                <w:rFonts w:cs="Arial"/>
                <w:lang w:val="en-US"/>
              </w:rPr>
              <w:t xml:space="preserve">314 </w:t>
            </w:r>
          </w:p>
          <w:p w14:paraId="14805946" w14:textId="196D6BCA" w:rsidR="00F96318" w:rsidRPr="00237B7E" w:rsidRDefault="00F96318" w:rsidP="00F96318">
            <w:pPr>
              <w:spacing w:line="240" w:lineRule="auto"/>
              <w:rPr>
                <w:rFonts w:eastAsia="Times New Roman" w:cs="Arial"/>
                <w:lang w:val="en-US" w:eastAsia="bg-BG"/>
              </w:rPr>
            </w:pPr>
            <w:r w:rsidRPr="00237B7E">
              <w:rPr>
                <w:rFonts w:cs="Arial"/>
                <w:lang w:val="en-US"/>
              </w:rPr>
              <w:t>&lt;0,001</w:t>
            </w:r>
          </w:p>
        </w:tc>
        <w:tc>
          <w:tcPr>
            <w:tcW w:w="1900" w:type="dxa"/>
          </w:tcPr>
          <w:p w14:paraId="53A91F75" w14:textId="77777777" w:rsidR="00F96318" w:rsidRPr="00237B7E" w:rsidRDefault="00F96318" w:rsidP="00F96318">
            <w:pPr>
              <w:rPr>
                <w:rFonts w:cs="Arial"/>
              </w:rPr>
            </w:pPr>
            <w:r w:rsidRPr="00237B7E">
              <w:rPr>
                <w:rFonts w:cs="Arial"/>
                <w:lang w:val="en-US"/>
              </w:rPr>
              <w:t>2,9</w:t>
            </w:r>
          </w:p>
          <w:p w14:paraId="1A28A725" w14:textId="77777777" w:rsidR="00F96318" w:rsidRPr="00237B7E" w:rsidRDefault="00F96318" w:rsidP="00F96318">
            <w:pPr>
              <w:rPr>
                <w:rFonts w:cs="Arial"/>
              </w:rPr>
            </w:pPr>
            <w:r w:rsidRPr="00237B7E">
              <w:rPr>
                <w:rFonts w:cs="Arial"/>
                <w:lang w:val="en-US"/>
              </w:rPr>
              <w:t>1,8</w:t>
            </w:r>
          </w:p>
          <w:p w14:paraId="03E1380F" w14:textId="77777777" w:rsidR="00F96318" w:rsidRPr="00237B7E" w:rsidRDefault="00F96318" w:rsidP="00F96318">
            <w:pPr>
              <w:rPr>
                <w:rFonts w:cs="Arial"/>
                <w:lang w:val="en-US"/>
              </w:rPr>
            </w:pPr>
            <w:r w:rsidRPr="00237B7E">
              <w:rPr>
                <w:rFonts w:cs="Arial"/>
                <w:lang w:val="en-US"/>
              </w:rPr>
              <w:t xml:space="preserve">(62%) </w:t>
            </w:r>
          </w:p>
          <w:p w14:paraId="24A0EF8A" w14:textId="709E4C47" w:rsidR="00F96318" w:rsidRPr="00237B7E" w:rsidRDefault="00F96318" w:rsidP="00F96318">
            <w:pPr>
              <w:rPr>
                <w:rFonts w:cs="Arial"/>
              </w:rPr>
            </w:pPr>
            <w:r w:rsidRPr="00237B7E">
              <w:rPr>
                <w:rFonts w:cs="Arial"/>
                <w:lang w:val="en-US"/>
              </w:rPr>
              <w:t>778</w:t>
            </w:r>
          </w:p>
          <w:p w14:paraId="1AED8289" w14:textId="4D124458" w:rsidR="00F96318" w:rsidRPr="00237B7E" w:rsidRDefault="00F96318" w:rsidP="00F96318">
            <w:pPr>
              <w:spacing w:line="240" w:lineRule="auto"/>
              <w:rPr>
                <w:rFonts w:eastAsia="Times New Roman" w:cs="Arial"/>
                <w:lang w:val="en-US" w:eastAsia="bg-BG"/>
              </w:rPr>
            </w:pPr>
            <w:r w:rsidRPr="00237B7E">
              <w:rPr>
                <w:rFonts w:cs="Arial"/>
                <w:lang w:val="en-US"/>
              </w:rPr>
              <w:t>&lt;0,001</w:t>
            </w:r>
          </w:p>
        </w:tc>
        <w:tc>
          <w:tcPr>
            <w:tcW w:w="1900" w:type="dxa"/>
          </w:tcPr>
          <w:p w14:paraId="50D4BB2F" w14:textId="77777777" w:rsidR="00F96318" w:rsidRPr="00237B7E" w:rsidRDefault="00F96318" w:rsidP="00F96318">
            <w:pPr>
              <w:rPr>
                <w:rFonts w:cs="Arial"/>
              </w:rPr>
            </w:pPr>
            <w:r w:rsidRPr="00237B7E">
              <w:rPr>
                <w:rFonts w:cs="Arial"/>
                <w:lang w:val="en-US"/>
              </w:rPr>
              <w:t>2,3</w:t>
            </w:r>
          </w:p>
          <w:p w14:paraId="0C1DE467" w14:textId="77777777" w:rsidR="00F96318" w:rsidRPr="00237B7E" w:rsidRDefault="00F96318" w:rsidP="00F96318">
            <w:pPr>
              <w:rPr>
                <w:rFonts w:cs="Arial"/>
              </w:rPr>
            </w:pPr>
            <w:r w:rsidRPr="00237B7E">
              <w:rPr>
                <w:rFonts w:cs="Arial"/>
                <w:lang w:val="en-US"/>
              </w:rPr>
              <w:t>1,1</w:t>
            </w:r>
          </w:p>
          <w:p w14:paraId="3F0B168D" w14:textId="77777777" w:rsidR="00F96318" w:rsidRPr="00237B7E" w:rsidRDefault="00F96318" w:rsidP="00F96318">
            <w:pPr>
              <w:spacing w:line="240" w:lineRule="auto"/>
              <w:rPr>
                <w:rFonts w:cs="Arial"/>
                <w:lang w:val="en-US"/>
              </w:rPr>
            </w:pPr>
            <w:r w:rsidRPr="00237B7E">
              <w:rPr>
                <w:rFonts w:cs="Arial"/>
                <w:lang w:val="en-US"/>
              </w:rPr>
              <w:t xml:space="preserve">(48%) </w:t>
            </w:r>
          </w:p>
          <w:p w14:paraId="180C49F9" w14:textId="77777777" w:rsidR="00F96318" w:rsidRPr="00237B7E" w:rsidRDefault="00F96318" w:rsidP="00F96318">
            <w:pPr>
              <w:spacing w:line="240" w:lineRule="auto"/>
              <w:rPr>
                <w:rFonts w:cs="Arial"/>
                <w:lang w:val="en-US"/>
              </w:rPr>
            </w:pPr>
            <w:r w:rsidRPr="00237B7E">
              <w:rPr>
                <w:rFonts w:cs="Arial"/>
                <w:lang w:val="en-US"/>
              </w:rPr>
              <w:t xml:space="preserve">157 </w:t>
            </w:r>
          </w:p>
          <w:p w14:paraId="24B58CC6" w14:textId="276CE7FB" w:rsidR="00F96318" w:rsidRPr="00237B7E" w:rsidRDefault="00F96318" w:rsidP="00F96318">
            <w:pPr>
              <w:spacing w:line="240" w:lineRule="auto"/>
              <w:rPr>
                <w:rFonts w:eastAsia="Times New Roman" w:cs="Arial"/>
                <w:lang w:val="en-US" w:eastAsia="bg-BG"/>
              </w:rPr>
            </w:pPr>
            <w:r w:rsidRPr="00237B7E">
              <w:rPr>
                <w:rFonts w:cs="Arial"/>
                <w:lang w:val="en-US"/>
              </w:rPr>
              <w:t>0,009</w:t>
            </w:r>
          </w:p>
        </w:tc>
      </w:tr>
      <w:tr w:rsidR="00F96318" w14:paraId="1204A031" w14:textId="77777777" w:rsidTr="00CC2A50">
        <w:tc>
          <w:tcPr>
            <w:tcW w:w="9500" w:type="dxa"/>
            <w:gridSpan w:val="5"/>
          </w:tcPr>
          <w:p w14:paraId="46003BD8" w14:textId="7167A6BF" w:rsidR="00F96318" w:rsidRPr="00237B7E" w:rsidRDefault="00F96318" w:rsidP="00F96318">
            <w:pPr>
              <w:spacing w:line="240" w:lineRule="auto"/>
              <w:rPr>
                <w:rFonts w:eastAsia="Times New Roman" w:cs="Arial"/>
                <w:lang w:val="en-US" w:eastAsia="bg-BG"/>
              </w:rPr>
            </w:pPr>
            <w:r w:rsidRPr="00237B7E">
              <w:rPr>
                <w:rFonts w:cs="Arial"/>
              </w:rPr>
              <w:t>Брой на случаите на ноктурия/ 24 часа</w:t>
            </w:r>
          </w:p>
        </w:tc>
      </w:tr>
      <w:tr w:rsidR="00F96318" w14:paraId="698F4049" w14:textId="77777777" w:rsidTr="00F96318">
        <w:tc>
          <w:tcPr>
            <w:tcW w:w="1900" w:type="dxa"/>
          </w:tcPr>
          <w:p w14:paraId="632E0BAE" w14:textId="77777777" w:rsidR="00F96318" w:rsidRPr="00237B7E" w:rsidRDefault="00F96318" w:rsidP="00F96318">
            <w:pPr>
              <w:rPr>
                <w:rFonts w:cs="Arial"/>
              </w:rPr>
            </w:pPr>
            <w:r w:rsidRPr="00237B7E">
              <w:rPr>
                <w:rFonts w:cs="Arial"/>
              </w:rPr>
              <w:t>Средна базова линия</w:t>
            </w:r>
          </w:p>
          <w:p w14:paraId="7882FEA1" w14:textId="77777777" w:rsidR="00F96318" w:rsidRPr="00237B7E" w:rsidRDefault="00F96318" w:rsidP="00F96318">
            <w:pPr>
              <w:rPr>
                <w:rFonts w:cs="Arial"/>
              </w:rPr>
            </w:pPr>
            <w:r w:rsidRPr="00237B7E">
              <w:rPr>
                <w:rFonts w:cs="Arial"/>
              </w:rPr>
              <w:t>Средно намаления спрямо базовата линия</w:t>
            </w:r>
          </w:p>
          <w:p w14:paraId="546F6052" w14:textId="77777777" w:rsidR="00F96318" w:rsidRPr="00237B7E" w:rsidRDefault="00F96318" w:rsidP="00F96318">
            <w:pPr>
              <w:rPr>
                <w:rFonts w:cs="Arial"/>
              </w:rPr>
            </w:pPr>
            <w:r w:rsidRPr="00237B7E">
              <w:rPr>
                <w:rFonts w:cs="Arial"/>
              </w:rPr>
              <w:t xml:space="preserve">% промяна спрямо базовата линия </w:t>
            </w:r>
            <w:r w:rsidRPr="00237B7E">
              <w:rPr>
                <w:rFonts w:cs="Arial"/>
                <w:lang w:val="en-US"/>
              </w:rPr>
              <w:t>n</w:t>
            </w:r>
          </w:p>
          <w:p w14:paraId="56823FA8" w14:textId="4FCF111D" w:rsidR="00F96318" w:rsidRPr="00237B7E" w:rsidRDefault="00F96318" w:rsidP="00F96318">
            <w:pPr>
              <w:spacing w:line="240" w:lineRule="auto"/>
              <w:rPr>
                <w:rFonts w:eastAsia="Times New Roman" w:cs="Arial"/>
                <w:lang w:val="en-US" w:eastAsia="bg-BG"/>
              </w:rPr>
            </w:pPr>
            <w:r w:rsidRPr="00237B7E">
              <w:rPr>
                <w:rFonts w:cs="Arial"/>
              </w:rPr>
              <w:t>р-стойност</w:t>
            </w:r>
          </w:p>
        </w:tc>
        <w:tc>
          <w:tcPr>
            <w:tcW w:w="1900" w:type="dxa"/>
          </w:tcPr>
          <w:p w14:paraId="35C6F882" w14:textId="77777777" w:rsidR="00F96318" w:rsidRPr="00237B7E" w:rsidRDefault="00F96318" w:rsidP="00F96318">
            <w:pPr>
              <w:rPr>
                <w:rFonts w:cs="Arial"/>
              </w:rPr>
            </w:pPr>
            <w:r w:rsidRPr="00237B7E">
              <w:rPr>
                <w:rFonts w:cs="Arial"/>
              </w:rPr>
              <w:t xml:space="preserve">1,8 </w:t>
            </w:r>
          </w:p>
          <w:p w14:paraId="55D071E1" w14:textId="4D4D9E83" w:rsidR="00F96318" w:rsidRPr="00237B7E" w:rsidRDefault="00F96318" w:rsidP="00F96318">
            <w:pPr>
              <w:rPr>
                <w:rFonts w:cs="Arial"/>
              </w:rPr>
            </w:pPr>
            <w:r w:rsidRPr="00237B7E">
              <w:rPr>
                <w:rFonts w:cs="Arial"/>
              </w:rPr>
              <w:t>0,4</w:t>
            </w:r>
          </w:p>
          <w:p w14:paraId="38ADB79B" w14:textId="77777777" w:rsidR="00F96318" w:rsidRPr="00237B7E" w:rsidRDefault="00F96318" w:rsidP="00F96318">
            <w:pPr>
              <w:rPr>
                <w:rFonts w:cs="Arial"/>
              </w:rPr>
            </w:pPr>
            <w:r w:rsidRPr="00237B7E">
              <w:rPr>
                <w:rFonts w:cs="Arial"/>
              </w:rPr>
              <w:t>(22%)</w:t>
            </w:r>
          </w:p>
          <w:p w14:paraId="5DD0F149" w14:textId="7B697A3D" w:rsidR="00F96318" w:rsidRPr="00237B7E" w:rsidRDefault="00F96318" w:rsidP="00F96318">
            <w:pPr>
              <w:spacing w:line="240" w:lineRule="auto"/>
              <w:rPr>
                <w:rFonts w:eastAsia="Times New Roman" w:cs="Arial"/>
                <w:lang w:val="en-US" w:eastAsia="bg-BG"/>
              </w:rPr>
            </w:pPr>
            <w:r w:rsidRPr="00237B7E">
              <w:rPr>
                <w:rFonts w:cs="Arial"/>
              </w:rPr>
              <w:t>1005</w:t>
            </w:r>
          </w:p>
        </w:tc>
        <w:tc>
          <w:tcPr>
            <w:tcW w:w="1900" w:type="dxa"/>
          </w:tcPr>
          <w:p w14:paraId="18837A90" w14:textId="77777777" w:rsidR="00F96318" w:rsidRPr="00237B7E" w:rsidRDefault="00F96318" w:rsidP="00F96318">
            <w:pPr>
              <w:rPr>
                <w:rFonts w:cs="Arial"/>
              </w:rPr>
            </w:pPr>
            <w:r w:rsidRPr="00237B7E">
              <w:rPr>
                <w:rFonts w:cs="Arial"/>
                <w:lang w:val="en-US"/>
              </w:rPr>
              <w:t>2,0 0,6</w:t>
            </w:r>
          </w:p>
          <w:p w14:paraId="67332890" w14:textId="77777777" w:rsidR="00F96318" w:rsidRPr="00237B7E" w:rsidRDefault="00F96318" w:rsidP="00F96318">
            <w:pPr>
              <w:spacing w:line="240" w:lineRule="auto"/>
              <w:rPr>
                <w:rFonts w:cs="Arial"/>
                <w:lang w:val="en-US"/>
              </w:rPr>
            </w:pPr>
            <w:r w:rsidRPr="00237B7E">
              <w:rPr>
                <w:rFonts w:cs="Arial"/>
                <w:lang w:val="en-US"/>
              </w:rPr>
              <w:t xml:space="preserve">(30%) </w:t>
            </w:r>
          </w:p>
          <w:p w14:paraId="3AA8B927" w14:textId="77777777" w:rsidR="00F96318" w:rsidRPr="00237B7E" w:rsidRDefault="00F96318" w:rsidP="00F96318">
            <w:pPr>
              <w:spacing w:line="240" w:lineRule="auto"/>
              <w:rPr>
                <w:rFonts w:cs="Arial"/>
                <w:lang w:val="en-US"/>
              </w:rPr>
            </w:pPr>
            <w:r w:rsidRPr="00237B7E">
              <w:rPr>
                <w:rFonts w:cs="Arial"/>
                <w:lang w:val="en-US"/>
              </w:rPr>
              <w:t xml:space="preserve">494 </w:t>
            </w:r>
          </w:p>
          <w:p w14:paraId="33C574E2" w14:textId="30A81134" w:rsidR="00F96318" w:rsidRPr="00237B7E" w:rsidRDefault="00F96318" w:rsidP="00F96318">
            <w:pPr>
              <w:spacing w:line="240" w:lineRule="auto"/>
              <w:rPr>
                <w:rFonts w:eastAsia="Times New Roman" w:cs="Arial"/>
                <w:lang w:val="en-US" w:eastAsia="bg-BG"/>
              </w:rPr>
            </w:pPr>
            <w:r w:rsidRPr="00237B7E">
              <w:rPr>
                <w:rFonts w:cs="Arial"/>
                <w:lang w:val="en-US"/>
              </w:rPr>
              <w:t>0,025</w:t>
            </w:r>
          </w:p>
        </w:tc>
        <w:tc>
          <w:tcPr>
            <w:tcW w:w="1900" w:type="dxa"/>
          </w:tcPr>
          <w:p w14:paraId="633C2EA4" w14:textId="77777777" w:rsidR="00F96318" w:rsidRPr="00237B7E" w:rsidRDefault="00F96318" w:rsidP="00F96318">
            <w:pPr>
              <w:rPr>
                <w:rFonts w:cs="Arial"/>
              </w:rPr>
            </w:pPr>
            <w:r w:rsidRPr="00237B7E">
              <w:rPr>
                <w:rFonts w:cs="Arial"/>
                <w:lang w:val="en-US"/>
              </w:rPr>
              <w:t>1,8 0,6</w:t>
            </w:r>
          </w:p>
          <w:p w14:paraId="5E859B8F" w14:textId="77777777" w:rsidR="00F96318" w:rsidRPr="00237B7E" w:rsidRDefault="00F96318" w:rsidP="00F96318">
            <w:pPr>
              <w:rPr>
                <w:rFonts w:cs="Arial"/>
                <w:lang w:val="en-US"/>
              </w:rPr>
            </w:pPr>
            <w:r w:rsidRPr="00237B7E">
              <w:rPr>
                <w:rFonts w:cs="Arial"/>
                <w:lang w:val="en-US"/>
              </w:rPr>
              <w:t xml:space="preserve">(33%) </w:t>
            </w:r>
          </w:p>
          <w:p w14:paraId="16D628AA" w14:textId="75D3EF05" w:rsidR="00F96318" w:rsidRPr="00237B7E" w:rsidRDefault="00F96318" w:rsidP="00F96318">
            <w:pPr>
              <w:rPr>
                <w:rFonts w:cs="Arial"/>
              </w:rPr>
            </w:pPr>
            <w:r w:rsidRPr="00237B7E">
              <w:rPr>
                <w:rFonts w:cs="Arial"/>
                <w:lang w:val="en-US"/>
              </w:rPr>
              <w:t>1035</w:t>
            </w:r>
          </w:p>
          <w:p w14:paraId="3921C324" w14:textId="30E2C87E" w:rsidR="00F96318" w:rsidRPr="00237B7E" w:rsidRDefault="00F96318" w:rsidP="00F96318">
            <w:pPr>
              <w:spacing w:line="240" w:lineRule="auto"/>
              <w:rPr>
                <w:rFonts w:eastAsia="Times New Roman" w:cs="Arial"/>
                <w:lang w:val="en-US" w:eastAsia="bg-BG"/>
              </w:rPr>
            </w:pPr>
            <w:r w:rsidRPr="00237B7E">
              <w:rPr>
                <w:rFonts w:cs="Arial"/>
                <w:lang w:val="en-US"/>
              </w:rPr>
              <w:t>&lt;0,001</w:t>
            </w:r>
          </w:p>
        </w:tc>
        <w:tc>
          <w:tcPr>
            <w:tcW w:w="1900" w:type="dxa"/>
          </w:tcPr>
          <w:p w14:paraId="07324F3C" w14:textId="77777777" w:rsidR="00F96318" w:rsidRPr="00237B7E" w:rsidRDefault="00F96318" w:rsidP="00F96318">
            <w:pPr>
              <w:rPr>
                <w:rFonts w:cs="Arial"/>
              </w:rPr>
            </w:pPr>
            <w:r w:rsidRPr="00237B7E">
              <w:rPr>
                <w:rFonts w:cs="Arial"/>
                <w:lang w:val="en-US"/>
              </w:rPr>
              <w:t>1,9 0,5</w:t>
            </w:r>
          </w:p>
          <w:p w14:paraId="0F58B436" w14:textId="77777777" w:rsidR="00F96318" w:rsidRPr="00237B7E" w:rsidRDefault="00F96318" w:rsidP="00F96318">
            <w:pPr>
              <w:rPr>
                <w:rFonts w:cs="Arial"/>
                <w:lang w:val="en-US"/>
              </w:rPr>
            </w:pPr>
            <w:r w:rsidRPr="00237B7E">
              <w:rPr>
                <w:rFonts w:cs="Arial"/>
                <w:lang w:val="en-US"/>
              </w:rPr>
              <w:t xml:space="preserve">(26%) </w:t>
            </w:r>
          </w:p>
          <w:p w14:paraId="301672E3" w14:textId="46ADA9D2" w:rsidR="00F96318" w:rsidRPr="00237B7E" w:rsidRDefault="00F96318" w:rsidP="00F96318">
            <w:pPr>
              <w:rPr>
                <w:rFonts w:cs="Arial"/>
              </w:rPr>
            </w:pPr>
            <w:r w:rsidRPr="00237B7E">
              <w:rPr>
                <w:rFonts w:cs="Arial"/>
                <w:lang w:val="en-US"/>
              </w:rPr>
              <w:t>232</w:t>
            </w:r>
          </w:p>
          <w:p w14:paraId="5F480907" w14:textId="684229E1" w:rsidR="00F96318" w:rsidRPr="00237B7E" w:rsidRDefault="00F96318" w:rsidP="00F96318">
            <w:pPr>
              <w:spacing w:line="240" w:lineRule="auto"/>
              <w:rPr>
                <w:rFonts w:eastAsia="Times New Roman" w:cs="Arial"/>
                <w:lang w:val="en-US" w:eastAsia="bg-BG"/>
              </w:rPr>
            </w:pPr>
            <w:r w:rsidRPr="00237B7E">
              <w:rPr>
                <w:rFonts w:cs="Arial"/>
                <w:lang w:val="en-US"/>
              </w:rPr>
              <w:t>0,199</w:t>
            </w:r>
          </w:p>
        </w:tc>
      </w:tr>
      <w:tr w:rsidR="00F96318" w14:paraId="13954FFD" w14:textId="77777777" w:rsidTr="00DB09B2">
        <w:tc>
          <w:tcPr>
            <w:tcW w:w="9500" w:type="dxa"/>
            <w:gridSpan w:val="5"/>
          </w:tcPr>
          <w:p w14:paraId="00D201A2" w14:textId="3151EE4F" w:rsidR="00F96318" w:rsidRPr="00237B7E" w:rsidRDefault="00F96318" w:rsidP="00F96318">
            <w:pPr>
              <w:spacing w:line="240" w:lineRule="auto"/>
              <w:rPr>
                <w:rFonts w:eastAsia="Times New Roman" w:cs="Arial"/>
                <w:lang w:val="en-US" w:eastAsia="bg-BG"/>
              </w:rPr>
            </w:pPr>
            <w:r w:rsidRPr="00F96318">
              <w:rPr>
                <w:rFonts w:eastAsia="Times New Roman" w:cs="Arial"/>
                <w:color w:val="000000"/>
                <w:lang w:eastAsia="bg-BG"/>
              </w:rPr>
              <w:t>Обем на отделната урина</w:t>
            </w:r>
          </w:p>
        </w:tc>
      </w:tr>
      <w:tr w:rsidR="00F96318" w14:paraId="58268B8E" w14:textId="77777777" w:rsidTr="00F96318">
        <w:tc>
          <w:tcPr>
            <w:tcW w:w="1900" w:type="dxa"/>
          </w:tcPr>
          <w:p w14:paraId="3595CCF1" w14:textId="77777777" w:rsidR="00F96318" w:rsidRPr="00237B7E" w:rsidRDefault="00F96318" w:rsidP="00F96318">
            <w:pPr>
              <w:rPr>
                <w:rFonts w:cs="Arial"/>
              </w:rPr>
            </w:pPr>
            <w:r w:rsidRPr="00237B7E">
              <w:rPr>
                <w:rFonts w:cs="Arial"/>
              </w:rPr>
              <w:t>Средна базова линия</w:t>
            </w:r>
          </w:p>
          <w:p w14:paraId="4EE415A3" w14:textId="77777777" w:rsidR="00F96318" w:rsidRPr="00237B7E" w:rsidRDefault="00F96318" w:rsidP="00F96318">
            <w:pPr>
              <w:rPr>
                <w:rFonts w:cs="Arial"/>
              </w:rPr>
            </w:pPr>
            <w:r w:rsidRPr="00237B7E">
              <w:rPr>
                <w:rFonts w:cs="Arial"/>
              </w:rPr>
              <w:t>Средно намаления спрямо базовата линия</w:t>
            </w:r>
          </w:p>
          <w:p w14:paraId="1F1EF11F" w14:textId="77777777" w:rsidR="00F96318" w:rsidRPr="00237B7E" w:rsidRDefault="00F96318" w:rsidP="00F96318">
            <w:pPr>
              <w:rPr>
                <w:rFonts w:cs="Arial"/>
              </w:rPr>
            </w:pPr>
            <w:r w:rsidRPr="00237B7E">
              <w:rPr>
                <w:rFonts w:cs="Arial"/>
              </w:rPr>
              <w:t xml:space="preserve">% промяна спрямо базовата линия </w:t>
            </w:r>
            <w:r w:rsidRPr="00237B7E">
              <w:rPr>
                <w:rFonts w:cs="Arial"/>
                <w:lang w:val="en-US"/>
              </w:rPr>
              <w:t>n</w:t>
            </w:r>
          </w:p>
          <w:p w14:paraId="622A4FDC" w14:textId="0115031D" w:rsidR="00F96318" w:rsidRPr="00237B7E" w:rsidRDefault="00F96318" w:rsidP="00F96318">
            <w:pPr>
              <w:spacing w:line="240" w:lineRule="auto"/>
              <w:rPr>
                <w:rFonts w:eastAsia="Times New Roman" w:cs="Arial"/>
                <w:lang w:val="en-US" w:eastAsia="bg-BG"/>
              </w:rPr>
            </w:pPr>
            <w:r w:rsidRPr="00237B7E">
              <w:rPr>
                <w:rFonts w:cs="Arial"/>
              </w:rPr>
              <w:t>р-стойност</w:t>
            </w:r>
          </w:p>
        </w:tc>
        <w:tc>
          <w:tcPr>
            <w:tcW w:w="1900" w:type="dxa"/>
          </w:tcPr>
          <w:p w14:paraId="1E2522A3" w14:textId="77777777" w:rsidR="00F96318" w:rsidRPr="00237B7E" w:rsidRDefault="00F96318" w:rsidP="00F96318">
            <w:pPr>
              <w:rPr>
                <w:rFonts w:cs="Arial"/>
              </w:rPr>
            </w:pPr>
            <w:r w:rsidRPr="00237B7E">
              <w:rPr>
                <w:rFonts w:cs="Arial"/>
              </w:rPr>
              <w:t xml:space="preserve">166 </w:t>
            </w:r>
            <w:r w:rsidRPr="00237B7E">
              <w:rPr>
                <w:rFonts w:cs="Arial"/>
                <w:lang w:val="en-US"/>
              </w:rPr>
              <w:t>ml</w:t>
            </w:r>
          </w:p>
          <w:p w14:paraId="11AE9C6A" w14:textId="77777777" w:rsidR="00F96318" w:rsidRPr="00237B7E" w:rsidRDefault="00F96318" w:rsidP="00F96318">
            <w:pPr>
              <w:rPr>
                <w:rFonts w:cs="Arial"/>
              </w:rPr>
            </w:pPr>
            <w:r w:rsidRPr="00237B7E">
              <w:rPr>
                <w:rFonts w:cs="Arial"/>
              </w:rPr>
              <w:t xml:space="preserve">9 </w:t>
            </w:r>
            <w:r w:rsidRPr="00237B7E">
              <w:rPr>
                <w:rFonts w:cs="Arial"/>
                <w:lang w:val="en-US"/>
              </w:rPr>
              <w:t>ml</w:t>
            </w:r>
          </w:p>
          <w:p w14:paraId="23EF9E79" w14:textId="77777777" w:rsidR="00F96318" w:rsidRPr="00237B7E" w:rsidRDefault="00F96318" w:rsidP="00F96318">
            <w:pPr>
              <w:spacing w:line="240" w:lineRule="auto"/>
              <w:rPr>
                <w:rFonts w:cs="Arial"/>
              </w:rPr>
            </w:pPr>
            <w:r w:rsidRPr="00237B7E">
              <w:rPr>
                <w:rFonts w:cs="Arial"/>
              </w:rPr>
              <w:t xml:space="preserve">(5%) </w:t>
            </w:r>
          </w:p>
          <w:p w14:paraId="0C46A40C" w14:textId="5DC9DB51" w:rsidR="00F96318" w:rsidRPr="00237B7E" w:rsidRDefault="00F96318" w:rsidP="00F96318">
            <w:pPr>
              <w:spacing w:line="240" w:lineRule="auto"/>
              <w:rPr>
                <w:rFonts w:eastAsia="Times New Roman" w:cs="Arial"/>
                <w:lang w:val="en-US" w:eastAsia="bg-BG"/>
              </w:rPr>
            </w:pPr>
            <w:r w:rsidRPr="00237B7E">
              <w:rPr>
                <w:rFonts w:cs="Arial"/>
              </w:rPr>
              <w:t>1135</w:t>
            </w:r>
          </w:p>
        </w:tc>
        <w:tc>
          <w:tcPr>
            <w:tcW w:w="1900" w:type="dxa"/>
          </w:tcPr>
          <w:p w14:paraId="60F5EDCB" w14:textId="77777777" w:rsidR="00F96318" w:rsidRPr="00237B7E" w:rsidRDefault="00F96318" w:rsidP="00F96318">
            <w:pPr>
              <w:rPr>
                <w:rFonts w:cs="Arial"/>
              </w:rPr>
            </w:pPr>
            <w:r w:rsidRPr="00237B7E">
              <w:rPr>
                <w:rFonts w:cs="Arial"/>
                <w:lang w:val="en-US"/>
              </w:rPr>
              <w:t>146 ml</w:t>
            </w:r>
          </w:p>
          <w:p w14:paraId="55B062A1" w14:textId="77777777" w:rsidR="00F96318" w:rsidRPr="00237B7E" w:rsidRDefault="00F96318" w:rsidP="00F96318">
            <w:pPr>
              <w:rPr>
                <w:rFonts w:cs="Arial"/>
              </w:rPr>
            </w:pPr>
            <w:r w:rsidRPr="00237B7E">
              <w:rPr>
                <w:rFonts w:cs="Arial"/>
                <w:lang w:val="en-US"/>
              </w:rPr>
              <w:t>32 ml</w:t>
            </w:r>
          </w:p>
          <w:p w14:paraId="0F0A65B3" w14:textId="77777777" w:rsidR="00F96318" w:rsidRPr="00237B7E" w:rsidRDefault="00F96318" w:rsidP="00F96318">
            <w:pPr>
              <w:rPr>
                <w:rFonts w:cs="Arial"/>
                <w:lang w:val="en-US"/>
              </w:rPr>
            </w:pPr>
            <w:r w:rsidRPr="00237B7E">
              <w:rPr>
                <w:rFonts w:cs="Arial"/>
                <w:lang w:val="en-US"/>
              </w:rPr>
              <w:t xml:space="preserve">(21%) </w:t>
            </w:r>
          </w:p>
          <w:p w14:paraId="6AC4AB2E" w14:textId="3A9F5EF3" w:rsidR="00F96318" w:rsidRPr="00237B7E" w:rsidRDefault="00F96318" w:rsidP="00F96318">
            <w:pPr>
              <w:rPr>
                <w:rFonts w:cs="Arial"/>
              </w:rPr>
            </w:pPr>
            <w:r w:rsidRPr="00237B7E">
              <w:rPr>
                <w:rFonts w:cs="Arial"/>
                <w:lang w:val="en-US"/>
              </w:rPr>
              <w:t>552</w:t>
            </w:r>
          </w:p>
          <w:p w14:paraId="0D10188F" w14:textId="15E7E4BF" w:rsidR="00F96318" w:rsidRPr="00237B7E" w:rsidRDefault="00F96318" w:rsidP="00F96318">
            <w:pPr>
              <w:spacing w:line="240" w:lineRule="auto"/>
              <w:rPr>
                <w:rFonts w:eastAsia="Times New Roman" w:cs="Arial"/>
                <w:lang w:val="en-US" w:eastAsia="bg-BG"/>
              </w:rPr>
            </w:pPr>
            <w:r w:rsidRPr="00237B7E">
              <w:rPr>
                <w:rFonts w:cs="Arial"/>
                <w:lang w:val="en-US"/>
              </w:rPr>
              <w:t>&lt;0,001</w:t>
            </w:r>
          </w:p>
        </w:tc>
        <w:tc>
          <w:tcPr>
            <w:tcW w:w="1900" w:type="dxa"/>
          </w:tcPr>
          <w:p w14:paraId="2D819CE1" w14:textId="77777777" w:rsidR="00F96318" w:rsidRPr="00237B7E" w:rsidRDefault="00F96318" w:rsidP="00F96318">
            <w:pPr>
              <w:rPr>
                <w:rFonts w:cs="Arial"/>
                <w:lang w:val="en-US"/>
              </w:rPr>
            </w:pPr>
            <w:r w:rsidRPr="00237B7E">
              <w:rPr>
                <w:rFonts w:cs="Arial"/>
                <w:lang w:val="en-US"/>
              </w:rPr>
              <w:t xml:space="preserve">163 ml </w:t>
            </w:r>
          </w:p>
          <w:p w14:paraId="7C3F2F8D" w14:textId="1CEC3A34" w:rsidR="00F96318" w:rsidRPr="00237B7E" w:rsidRDefault="00F96318" w:rsidP="00F96318">
            <w:pPr>
              <w:rPr>
                <w:rFonts w:cs="Arial"/>
              </w:rPr>
            </w:pPr>
            <w:r w:rsidRPr="00237B7E">
              <w:rPr>
                <w:rFonts w:cs="Arial"/>
                <w:lang w:val="en-US"/>
              </w:rPr>
              <w:t>43 ml</w:t>
            </w:r>
          </w:p>
          <w:p w14:paraId="3435606C" w14:textId="77777777" w:rsidR="00F96318" w:rsidRPr="00237B7E" w:rsidRDefault="00F96318" w:rsidP="00F96318">
            <w:pPr>
              <w:rPr>
                <w:rFonts w:cs="Arial"/>
                <w:lang w:val="en-US"/>
              </w:rPr>
            </w:pPr>
            <w:r w:rsidRPr="00237B7E">
              <w:rPr>
                <w:rFonts w:cs="Arial"/>
                <w:lang w:val="en-US"/>
              </w:rPr>
              <w:t xml:space="preserve">(26%) </w:t>
            </w:r>
          </w:p>
          <w:p w14:paraId="1F102EF5" w14:textId="606C4239" w:rsidR="00F96318" w:rsidRPr="00237B7E" w:rsidRDefault="00F96318" w:rsidP="00F96318">
            <w:pPr>
              <w:rPr>
                <w:rFonts w:cs="Arial"/>
              </w:rPr>
            </w:pPr>
            <w:r w:rsidRPr="00237B7E">
              <w:rPr>
                <w:rFonts w:cs="Arial"/>
                <w:lang w:val="en-US"/>
              </w:rPr>
              <w:t>1156</w:t>
            </w:r>
          </w:p>
          <w:p w14:paraId="3D8AE244" w14:textId="4AE634DC" w:rsidR="00F96318" w:rsidRPr="00237B7E" w:rsidRDefault="00F96318" w:rsidP="00F96318">
            <w:pPr>
              <w:spacing w:line="240" w:lineRule="auto"/>
              <w:rPr>
                <w:rFonts w:eastAsia="Times New Roman" w:cs="Arial"/>
                <w:lang w:val="en-US" w:eastAsia="bg-BG"/>
              </w:rPr>
            </w:pPr>
            <w:r w:rsidRPr="00237B7E">
              <w:rPr>
                <w:rFonts w:cs="Arial"/>
                <w:lang w:val="en-US"/>
              </w:rPr>
              <w:t>&lt;0,001</w:t>
            </w:r>
          </w:p>
        </w:tc>
        <w:tc>
          <w:tcPr>
            <w:tcW w:w="1900" w:type="dxa"/>
          </w:tcPr>
          <w:p w14:paraId="7C86BD2D" w14:textId="77777777" w:rsidR="00F96318" w:rsidRPr="00237B7E" w:rsidRDefault="00F96318" w:rsidP="00F96318">
            <w:pPr>
              <w:rPr>
                <w:rFonts w:cs="Arial"/>
              </w:rPr>
            </w:pPr>
            <w:r w:rsidRPr="00237B7E">
              <w:rPr>
                <w:rFonts w:cs="Arial"/>
                <w:lang w:val="en-US"/>
              </w:rPr>
              <w:t>147 ml</w:t>
            </w:r>
          </w:p>
          <w:p w14:paraId="58145EB5" w14:textId="77777777" w:rsidR="00F96318" w:rsidRPr="00237B7E" w:rsidRDefault="00F96318" w:rsidP="00F96318">
            <w:pPr>
              <w:rPr>
                <w:rFonts w:cs="Arial"/>
              </w:rPr>
            </w:pPr>
            <w:r w:rsidRPr="00237B7E">
              <w:rPr>
                <w:rFonts w:cs="Arial"/>
                <w:lang w:val="en-US"/>
              </w:rPr>
              <w:t>24 ml</w:t>
            </w:r>
          </w:p>
          <w:p w14:paraId="45DD7C10" w14:textId="77777777" w:rsidR="00F96318" w:rsidRPr="00237B7E" w:rsidRDefault="00F96318" w:rsidP="00F96318">
            <w:pPr>
              <w:rPr>
                <w:rFonts w:cs="Arial"/>
                <w:lang w:val="en-US"/>
              </w:rPr>
            </w:pPr>
            <w:r w:rsidRPr="00237B7E">
              <w:rPr>
                <w:rFonts w:cs="Arial"/>
                <w:lang w:val="en-US"/>
              </w:rPr>
              <w:t xml:space="preserve">(16%) </w:t>
            </w:r>
          </w:p>
          <w:p w14:paraId="20822D3B" w14:textId="7EC0CF4B" w:rsidR="00F96318" w:rsidRPr="00237B7E" w:rsidRDefault="00F96318" w:rsidP="00F96318">
            <w:pPr>
              <w:rPr>
                <w:rFonts w:cs="Arial"/>
              </w:rPr>
            </w:pPr>
            <w:r w:rsidRPr="00237B7E">
              <w:rPr>
                <w:rFonts w:cs="Arial"/>
                <w:lang w:val="en-US"/>
              </w:rPr>
              <w:t>250</w:t>
            </w:r>
          </w:p>
          <w:p w14:paraId="14172D03" w14:textId="3D0E045B" w:rsidR="00F96318" w:rsidRPr="00237B7E" w:rsidRDefault="00F96318" w:rsidP="00F96318">
            <w:pPr>
              <w:spacing w:line="240" w:lineRule="auto"/>
              <w:rPr>
                <w:rFonts w:eastAsia="Times New Roman" w:cs="Arial"/>
                <w:lang w:val="en-US" w:eastAsia="bg-BG"/>
              </w:rPr>
            </w:pPr>
            <w:r w:rsidRPr="00237B7E">
              <w:rPr>
                <w:rFonts w:cs="Arial"/>
                <w:lang w:val="en-US"/>
              </w:rPr>
              <w:t>&lt;0,001</w:t>
            </w:r>
          </w:p>
        </w:tc>
      </w:tr>
      <w:tr w:rsidR="00F96318" w14:paraId="4E88661E" w14:textId="77777777" w:rsidTr="002B00C2">
        <w:tc>
          <w:tcPr>
            <w:tcW w:w="9500" w:type="dxa"/>
            <w:gridSpan w:val="5"/>
          </w:tcPr>
          <w:p w14:paraId="04265B47" w14:textId="3AE09C66" w:rsidR="00F96318" w:rsidRPr="00237B7E" w:rsidRDefault="00F96318" w:rsidP="00F96318">
            <w:pPr>
              <w:spacing w:line="240" w:lineRule="auto"/>
              <w:rPr>
                <w:rFonts w:eastAsia="Times New Roman" w:cs="Arial"/>
                <w:lang w:val="en-US" w:eastAsia="bg-BG"/>
              </w:rPr>
            </w:pPr>
            <w:r w:rsidRPr="00F96318">
              <w:rPr>
                <w:rFonts w:eastAsia="Times New Roman" w:cs="Arial"/>
                <w:color w:val="000000"/>
                <w:lang w:eastAsia="bg-BG"/>
              </w:rPr>
              <w:t>Брой на поставените памперси/ 24 часа</w:t>
            </w:r>
          </w:p>
        </w:tc>
      </w:tr>
      <w:tr w:rsidR="00237B7E" w14:paraId="2E7C4867" w14:textId="77777777" w:rsidTr="00F96318">
        <w:tc>
          <w:tcPr>
            <w:tcW w:w="1900" w:type="dxa"/>
          </w:tcPr>
          <w:p w14:paraId="3E618ED0" w14:textId="77777777" w:rsidR="00237B7E" w:rsidRPr="00237B7E" w:rsidRDefault="00237B7E" w:rsidP="00237B7E">
            <w:pPr>
              <w:rPr>
                <w:rFonts w:cs="Arial"/>
              </w:rPr>
            </w:pPr>
            <w:r w:rsidRPr="00237B7E">
              <w:rPr>
                <w:rFonts w:cs="Arial"/>
              </w:rPr>
              <w:t>Средна базова линия</w:t>
            </w:r>
          </w:p>
          <w:p w14:paraId="3FB0866C" w14:textId="77777777" w:rsidR="00237B7E" w:rsidRPr="00237B7E" w:rsidRDefault="00237B7E" w:rsidP="00237B7E">
            <w:pPr>
              <w:rPr>
                <w:rFonts w:cs="Arial"/>
              </w:rPr>
            </w:pPr>
            <w:r w:rsidRPr="00237B7E">
              <w:rPr>
                <w:rFonts w:cs="Arial"/>
              </w:rPr>
              <w:t>Средно намаления спрямо базовата линия</w:t>
            </w:r>
          </w:p>
          <w:p w14:paraId="7221B44C" w14:textId="77777777" w:rsidR="00237B7E" w:rsidRPr="00237B7E" w:rsidRDefault="00237B7E" w:rsidP="00237B7E">
            <w:pPr>
              <w:rPr>
                <w:rFonts w:cs="Arial"/>
              </w:rPr>
            </w:pPr>
            <w:r w:rsidRPr="00237B7E">
              <w:rPr>
                <w:rFonts w:cs="Arial"/>
              </w:rPr>
              <w:t xml:space="preserve">% промяна спрямо базовата линия </w:t>
            </w:r>
            <w:r w:rsidRPr="00237B7E">
              <w:rPr>
                <w:rFonts w:cs="Arial"/>
                <w:lang w:val="en-US"/>
              </w:rPr>
              <w:t>n</w:t>
            </w:r>
          </w:p>
          <w:p w14:paraId="61C276FF" w14:textId="120ECA5D" w:rsidR="00237B7E" w:rsidRPr="00237B7E" w:rsidRDefault="00237B7E" w:rsidP="00237B7E">
            <w:pPr>
              <w:spacing w:line="240" w:lineRule="auto"/>
              <w:rPr>
                <w:rFonts w:eastAsia="Times New Roman" w:cs="Arial"/>
                <w:lang w:val="en-US" w:eastAsia="bg-BG"/>
              </w:rPr>
            </w:pPr>
            <w:r w:rsidRPr="00237B7E">
              <w:rPr>
                <w:rFonts w:cs="Arial"/>
              </w:rPr>
              <w:t>р-стойност</w:t>
            </w:r>
          </w:p>
        </w:tc>
        <w:tc>
          <w:tcPr>
            <w:tcW w:w="1900" w:type="dxa"/>
          </w:tcPr>
          <w:p w14:paraId="5C7603E9" w14:textId="77777777" w:rsidR="00237B7E" w:rsidRPr="00237B7E" w:rsidRDefault="00237B7E" w:rsidP="00237B7E">
            <w:pPr>
              <w:rPr>
                <w:rFonts w:cs="Arial"/>
              </w:rPr>
            </w:pPr>
            <w:r w:rsidRPr="00237B7E">
              <w:rPr>
                <w:rFonts w:cs="Arial"/>
              </w:rPr>
              <w:t>3,0 0,8</w:t>
            </w:r>
          </w:p>
          <w:p w14:paraId="2679981B" w14:textId="77777777" w:rsidR="00237B7E" w:rsidRPr="00237B7E" w:rsidRDefault="00237B7E" w:rsidP="00237B7E">
            <w:pPr>
              <w:spacing w:line="240" w:lineRule="auto"/>
              <w:rPr>
                <w:rFonts w:cs="Arial"/>
              </w:rPr>
            </w:pPr>
            <w:r w:rsidRPr="00237B7E">
              <w:rPr>
                <w:rFonts w:cs="Arial"/>
              </w:rPr>
              <w:t xml:space="preserve">(27%) </w:t>
            </w:r>
          </w:p>
          <w:p w14:paraId="7C5BF644" w14:textId="685881D4" w:rsidR="00237B7E" w:rsidRPr="00237B7E" w:rsidRDefault="00237B7E" w:rsidP="00237B7E">
            <w:pPr>
              <w:spacing w:line="240" w:lineRule="auto"/>
              <w:rPr>
                <w:rFonts w:eastAsia="Times New Roman" w:cs="Arial"/>
                <w:lang w:val="en-US" w:eastAsia="bg-BG"/>
              </w:rPr>
            </w:pPr>
            <w:r w:rsidRPr="00237B7E">
              <w:rPr>
                <w:rFonts w:cs="Arial"/>
              </w:rPr>
              <w:t>238</w:t>
            </w:r>
          </w:p>
        </w:tc>
        <w:tc>
          <w:tcPr>
            <w:tcW w:w="1900" w:type="dxa"/>
          </w:tcPr>
          <w:p w14:paraId="0B6AB373" w14:textId="77777777" w:rsidR="00237B7E" w:rsidRPr="00237B7E" w:rsidRDefault="00237B7E" w:rsidP="00237B7E">
            <w:pPr>
              <w:rPr>
                <w:rFonts w:cs="Arial"/>
              </w:rPr>
            </w:pPr>
            <w:r w:rsidRPr="00237B7E">
              <w:rPr>
                <w:rFonts w:cs="Arial"/>
                <w:lang w:val="en-US"/>
              </w:rPr>
              <w:t>2,8</w:t>
            </w:r>
          </w:p>
          <w:p w14:paraId="17730A43" w14:textId="77777777" w:rsidR="00237B7E" w:rsidRPr="00237B7E" w:rsidRDefault="00237B7E" w:rsidP="00237B7E">
            <w:pPr>
              <w:rPr>
                <w:rFonts w:cs="Arial"/>
              </w:rPr>
            </w:pPr>
            <w:r w:rsidRPr="00237B7E">
              <w:rPr>
                <w:rFonts w:cs="Arial"/>
                <w:lang w:val="en-US"/>
              </w:rPr>
              <w:t>1,3</w:t>
            </w:r>
          </w:p>
          <w:p w14:paraId="335D6AC2" w14:textId="77777777" w:rsidR="00237B7E" w:rsidRPr="00237B7E" w:rsidRDefault="00237B7E" w:rsidP="00237B7E">
            <w:pPr>
              <w:rPr>
                <w:rFonts w:cs="Arial"/>
              </w:rPr>
            </w:pPr>
            <w:r w:rsidRPr="00237B7E">
              <w:rPr>
                <w:rFonts w:cs="Arial"/>
                <w:lang w:val="en-US"/>
              </w:rPr>
              <w:t>(46%)</w:t>
            </w:r>
          </w:p>
          <w:p w14:paraId="50BE6B9A" w14:textId="77777777" w:rsidR="00237B7E" w:rsidRPr="00237B7E" w:rsidRDefault="00237B7E" w:rsidP="00237B7E">
            <w:pPr>
              <w:spacing w:line="240" w:lineRule="auto"/>
              <w:rPr>
                <w:rFonts w:cs="Arial"/>
                <w:lang w:val="en-US"/>
              </w:rPr>
            </w:pPr>
            <w:r w:rsidRPr="00237B7E">
              <w:rPr>
                <w:rFonts w:cs="Arial"/>
                <w:lang w:val="en-US"/>
              </w:rPr>
              <w:t xml:space="preserve">236 </w:t>
            </w:r>
          </w:p>
          <w:p w14:paraId="6F03828A" w14:textId="21CD017A" w:rsidR="00237B7E" w:rsidRPr="00237B7E" w:rsidRDefault="00237B7E" w:rsidP="00237B7E">
            <w:pPr>
              <w:spacing w:line="240" w:lineRule="auto"/>
              <w:rPr>
                <w:rFonts w:eastAsia="Times New Roman" w:cs="Arial"/>
                <w:lang w:val="en-US" w:eastAsia="bg-BG"/>
              </w:rPr>
            </w:pPr>
            <w:r w:rsidRPr="00237B7E">
              <w:rPr>
                <w:rFonts w:cs="Arial"/>
                <w:lang w:val="en-US"/>
              </w:rPr>
              <w:t>&lt;0,001</w:t>
            </w:r>
          </w:p>
        </w:tc>
        <w:tc>
          <w:tcPr>
            <w:tcW w:w="1900" w:type="dxa"/>
          </w:tcPr>
          <w:p w14:paraId="0FF97903" w14:textId="77777777" w:rsidR="00237B7E" w:rsidRPr="00237B7E" w:rsidRDefault="00237B7E" w:rsidP="00237B7E">
            <w:pPr>
              <w:rPr>
                <w:rFonts w:cs="Arial"/>
              </w:rPr>
            </w:pPr>
            <w:r w:rsidRPr="00237B7E">
              <w:rPr>
                <w:rFonts w:cs="Arial"/>
                <w:lang w:val="en-US"/>
              </w:rPr>
              <w:t>2,7</w:t>
            </w:r>
          </w:p>
          <w:p w14:paraId="70A42049" w14:textId="77777777" w:rsidR="00237B7E" w:rsidRPr="00237B7E" w:rsidRDefault="00237B7E" w:rsidP="00237B7E">
            <w:pPr>
              <w:rPr>
                <w:rFonts w:cs="Arial"/>
              </w:rPr>
            </w:pPr>
            <w:r w:rsidRPr="00237B7E">
              <w:rPr>
                <w:rFonts w:cs="Arial"/>
                <w:lang w:val="en-US"/>
              </w:rPr>
              <w:t>1,3</w:t>
            </w:r>
          </w:p>
          <w:p w14:paraId="63777333" w14:textId="77777777" w:rsidR="00237B7E" w:rsidRPr="00237B7E" w:rsidRDefault="00237B7E" w:rsidP="00237B7E">
            <w:pPr>
              <w:rPr>
                <w:rFonts w:cs="Arial"/>
              </w:rPr>
            </w:pPr>
            <w:r w:rsidRPr="00237B7E">
              <w:rPr>
                <w:rFonts w:cs="Arial"/>
                <w:lang w:val="en-US"/>
              </w:rPr>
              <w:t>(48%)</w:t>
            </w:r>
          </w:p>
          <w:p w14:paraId="788B4DE8" w14:textId="77777777" w:rsidR="00237B7E" w:rsidRPr="00237B7E" w:rsidRDefault="00237B7E" w:rsidP="00237B7E">
            <w:pPr>
              <w:rPr>
                <w:rFonts w:cs="Arial"/>
              </w:rPr>
            </w:pPr>
            <w:r w:rsidRPr="00237B7E">
              <w:rPr>
                <w:rFonts w:cs="Arial"/>
                <w:vertAlign w:val="superscript"/>
                <w:lang w:val="en-US"/>
              </w:rPr>
              <w:t>242</w:t>
            </w:r>
          </w:p>
          <w:p w14:paraId="74B3E170" w14:textId="1338AA15" w:rsidR="00237B7E" w:rsidRPr="00237B7E" w:rsidRDefault="00237B7E" w:rsidP="00237B7E">
            <w:pPr>
              <w:spacing w:line="240" w:lineRule="auto"/>
              <w:rPr>
                <w:rFonts w:eastAsia="Times New Roman" w:cs="Arial"/>
                <w:lang w:val="en-US" w:eastAsia="bg-BG"/>
              </w:rPr>
            </w:pPr>
            <w:r w:rsidRPr="00237B7E">
              <w:rPr>
                <w:rFonts w:cs="Arial"/>
                <w:lang w:val="en-US"/>
              </w:rPr>
              <w:t>&lt;0,001</w:t>
            </w:r>
          </w:p>
        </w:tc>
        <w:tc>
          <w:tcPr>
            <w:tcW w:w="1900" w:type="dxa"/>
          </w:tcPr>
          <w:p w14:paraId="7FE19136" w14:textId="77777777" w:rsidR="00237B7E" w:rsidRPr="00237B7E" w:rsidRDefault="00237B7E" w:rsidP="00237B7E">
            <w:pPr>
              <w:rPr>
                <w:rFonts w:cs="Arial"/>
              </w:rPr>
            </w:pPr>
            <w:r w:rsidRPr="00237B7E">
              <w:rPr>
                <w:rFonts w:cs="Arial"/>
                <w:lang w:val="en-US"/>
              </w:rPr>
              <w:t>2,7</w:t>
            </w:r>
          </w:p>
          <w:p w14:paraId="0B8CBD8E" w14:textId="77777777" w:rsidR="00237B7E" w:rsidRPr="00237B7E" w:rsidRDefault="00237B7E" w:rsidP="00237B7E">
            <w:pPr>
              <w:rPr>
                <w:rFonts w:cs="Arial"/>
              </w:rPr>
            </w:pPr>
            <w:r w:rsidRPr="00237B7E">
              <w:rPr>
                <w:rFonts w:cs="Arial"/>
                <w:lang w:val="en-US"/>
              </w:rPr>
              <w:t>1,0</w:t>
            </w:r>
          </w:p>
          <w:p w14:paraId="3150AAA8" w14:textId="77777777" w:rsidR="00237B7E" w:rsidRPr="00237B7E" w:rsidRDefault="00237B7E" w:rsidP="00237B7E">
            <w:pPr>
              <w:rPr>
                <w:rFonts w:cs="Arial"/>
              </w:rPr>
            </w:pPr>
            <w:r w:rsidRPr="00237B7E">
              <w:rPr>
                <w:rFonts w:cs="Arial"/>
                <w:lang w:val="en-US"/>
              </w:rPr>
              <w:t>(37%)</w:t>
            </w:r>
          </w:p>
          <w:p w14:paraId="7EAFC01A" w14:textId="77777777" w:rsidR="00237B7E" w:rsidRPr="00237B7E" w:rsidRDefault="00237B7E" w:rsidP="00237B7E">
            <w:pPr>
              <w:rPr>
                <w:rFonts w:cs="Arial"/>
              </w:rPr>
            </w:pPr>
            <w:r w:rsidRPr="00237B7E">
              <w:rPr>
                <w:rFonts w:cs="Arial"/>
                <w:lang w:val="en-US"/>
              </w:rPr>
              <w:t>250</w:t>
            </w:r>
          </w:p>
          <w:p w14:paraId="33DC88E3" w14:textId="376993D1" w:rsidR="00237B7E" w:rsidRPr="00237B7E" w:rsidRDefault="00237B7E" w:rsidP="00237B7E">
            <w:pPr>
              <w:spacing w:line="240" w:lineRule="auto"/>
              <w:rPr>
                <w:rFonts w:eastAsia="Times New Roman" w:cs="Arial"/>
                <w:lang w:val="en-US" w:eastAsia="bg-BG"/>
              </w:rPr>
            </w:pPr>
            <w:r w:rsidRPr="00237B7E">
              <w:rPr>
                <w:rFonts w:cs="Arial"/>
                <w:lang w:val="en-US"/>
              </w:rPr>
              <w:t>0,010</w:t>
            </w:r>
          </w:p>
        </w:tc>
      </w:tr>
    </w:tbl>
    <w:p w14:paraId="22DCE200" w14:textId="77777777" w:rsidR="00F96318" w:rsidRDefault="00F96318" w:rsidP="00F96318">
      <w:pPr>
        <w:spacing w:line="240" w:lineRule="auto"/>
        <w:rPr>
          <w:rFonts w:ascii="Times New Roman" w:eastAsia="Times New Roman" w:hAnsi="Times New Roman" w:cs="Times New Roman"/>
          <w:sz w:val="24"/>
          <w:szCs w:val="24"/>
          <w:lang w:val="en-US" w:eastAsia="bg-BG"/>
        </w:rPr>
      </w:pPr>
    </w:p>
    <w:p w14:paraId="55B41EDE" w14:textId="77777777"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lang w:eastAsia="bg-BG"/>
        </w:rPr>
        <w:t xml:space="preserve">Забележка: В 4 от основните проучвания са използвали солифенаци 10 </w:t>
      </w:r>
      <w:r w:rsidRPr="00237B7E">
        <w:rPr>
          <w:rFonts w:eastAsia="Times New Roman" w:cs="Arial"/>
          <w:color w:val="000000"/>
          <w:lang w:val="en-US"/>
        </w:rPr>
        <w:t xml:space="preserve">mg </w:t>
      </w:r>
      <w:r w:rsidRPr="00237B7E">
        <w:rPr>
          <w:rFonts w:eastAsia="Times New Roman" w:cs="Arial"/>
          <w:color w:val="000000"/>
          <w:lang w:eastAsia="bg-BG"/>
        </w:rPr>
        <w:t>и плацебо. В 2</w:t>
      </w:r>
    </w:p>
    <w:p w14:paraId="147474DA" w14:textId="7A110203" w:rsidR="00237B7E" w:rsidRPr="00237B7E" w:rsidRDefault="00237B7E" w:rsidP="00237B7E">
      <w:pPr>
        <w:spacing w:line="240" w:lineRule="auto"/>
        <w:rPr>
          <w:rFonts w:eastAsia="Times New Roman" w:cs="Arial"/>
          <w:color w:val="000000"/>
          <w:lang w:eastAsia="bg-BG"/>
        </w:rPr>
      </w:pPr>
      <w:r w:rsidRPr="00237B7E">
        <w:rPr>
          <w:rFonts w:eastAsia="Times New Roman" w:cs="Arial"/>
          <w:color w:val="000000"/>
          <w:lang w:eastAsia="bg-BG"/>
        </w:rPr>
        <w:t xml:space="preserve">други е използван солифенацин 5 </w:t>
      </w:r>
      <w:r w:rsidRPr="00237B7E">
        <w:rPr>
          <w:rFonts w:eastAsia="Times New Roman" w:cs="Arial"/>
          <w:color w:val="000000"/>
          <w:lang w:val="en-US"/>
        </w:rPr>
        <w:t xml:space="preserve">mg, </w:t>
      </w:r>
      <w:r w:rsidRPr="00237B7E">
        <w:rPr>
          <w:rFonts w:eastAsia="Times New Roman" w:cs="Arial"/>
          <w:color w:val="000000"/>
          <w:lang w:eastAsia="bg-BG"/>
        </w:rPr>
        <w:t>а едно от проучванията включва то</w:t>
      </w:r>
      <w:r w:rsidRPr="00237B7E">
        <w:rPr>
          <w:rFonts w:eastAsia="Times New Roman" w:cs="Arial"/>
          <w:color w:val="000000"/>
          <w:lang w:val="en-US"/>
        </w:rPr>
        <w:t xml:space="preserve"> </w:t>
      </w:r>
      <w:r w:rsidRPr="00237B7E">
        <w:rPr>
          <w:rFonts w:eastAsia="Times New Roman" w:cs="Arial"/>
          <w:color w:val="000000"/>
          <w:lang w:eastAsia="bg-BG"/>
        </w:rPr>
        <w:t xml:space="preserve">толтеродин 2 </w:t>
      </w:r>
      <w:r w:rsidRPr="00237B7E">
        <w:rPr>
          <w:rFonts w:eastAsia="Times New Roman" w:cs="Arial"/>
          <w:color w:val="000000"/>
          <w:lang w:val="en-US"/>
        </w:rPr>
        <w:t>mg 2</w:t>
      </w:r>
      <w:r w:rsidRPr="00237B7E">
        <w:rPr>
          <w:rFonts w:eastAsia="Times New Roman" w:cs="Arial"/>
          <w:color w:val="000000"/>
          <w:lang w:eastAsia="bg-BG"/>
        </w:rPr>
        <w:t xml:space="preserve"> пъти дневно. Не всички показатели и лечебни групи са оценявани във всяко отделно проучване. Затова броят на пациентите може да се различава по отношение на показателите и лечебните групи.</w:t>
      </w:r>
    </w:p>
    <w:p w14:paraId="7447ADC9" w14:textId="77777777" w:rsidR="00237B7E" w:rsidRPr="00237B7E" w:rsidRDefault="00237B7E" w:rsidP="00237B7E">
      <w:pPr>
        <w:spacing w:line="240" w:lineRule="auto"/>
        <w:rPr>
          <w:rFonts w:eastAsia="Times New Roman" w:cs="Arial"/>
          <w:color w:val="000000"/>
          <w:lang w:eastAsia="bg-BG"/>
        </w:rPr>
      </w:pPr>
    </w:p>
    <w:p w14:paraId="26CA3D87" w14:textId="31D44126" w:rsidR="00237B7E" w:rsidRPr="00237B7E" w:rsidRDefault="00237B7E" w:rsidP="00237B7E">
      <w:pPr>
        <w:spacing w:line="240" w:lineRule="auto"/>
        <w:rPr>
          <w:rFonts w:eastAsia="Times New Roman" w:cs="Arial"/>
          <w:sz w:val="24"/>
          <w:szCs w:val="24"/>
          <w:lang w:val="en-US" w:eastAsia="bg-BG"/>
        </w:rPr>
      </w:pPr>
      <w:r w:rsidRPr="00237B7E">
        <w:rPr>
          <w:rFonts w:cs="Arial"/>
        </w:rPr>
        <w:t>* Р-стойностга е в сравнение с плацебо.</w:t>
      </w:r>
    </w:p>
    <w:p w14:paraId="544FFDAF" w14:textId="64206E42" w:rsidR="00F62E44" w:rsidRDefault="002C50EE" w:rsidP="00387A66">
      <w:pPr>
        <w:pStyle w:val="Heading2"/>
      </w:pPr>
      <w:r>
        <w:lastRenderedPageBreak/>
        <w:t>5.2. Фармакокинетични свойства</w:t>
      </w:r>
    </w:p>
    <w:p w14:paraId="46807206" w14:textId="77777777" w:rsidR="00237B7E" w:rsidRDefault="00237B7E" w:rsidP="00237B7E"/>
    <w:p w14:paraId="4EB76F72" w14:textId="77777777"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u w:val="single"/>
          <w:lang w:eastAsia="bg-BG"/>
        </w:rPr>
        <w:t>Абсопбция</w:t>
      </w:r>
    </w:p>
    <w:p w14:paraId="6E3B470C" w14:textId="77777777"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lang w:eastAsia="bg-BG"/>
        </w:rPr>
        <w:t>След прием на солифенацин таблетки максималната плазмена концентрация на солифенацин С</w:t>
      </w:r>
      <w:r w:rsidRPr="00237B7E">
        <w:rPr>
          <w:rFonts w:eastAsia="Times New Roman" w:cs="Arial"/>
          <w:color w:val="000000"/>
          <w:lang w:val="en-US"/>
        </w:rPr>
        <w:t>max</w:t>
      </w:r>
      <w:r w:rsidRPr="00237B7E">
        <w:rPr>
          <w:rFonts w:eastAsia="Times New Roman" w:cs="Arial"/>
          <w:color w:val="000000"/>
          <w:lang w:eastAsia="bg-BG"/>
        </w:rPr>
        <w:t xml:space="preserve"> се достига след 3 до 8 часа. Т</w:t>
      </w:r>
      <w:r w:rsidRPr="00237B7E">
        <w:rPr>
          <w:rFonts w:eastAsia="Times New Roman" w:cs="Arial"/>
          <w:color w:val="000000"/>
          <w:lang w:val="en-US"/>
        </w:rPr>
        <w:t>max</w:t>
      </w:r>
      <w:r w:rsidRPr="00237B7E">
        <w:rPr>
          <w:rFonts w:eastAsia="Times New Roman" w:cs="Arial"/>
          <w:color w:val="000000"/>
          <w:lang w:eastAsia="bg-BG"/>
        </w:rPr>
        <w:t xml:space="preserve"> не зависи от дозата. С</w:t>
      </w:r>
      <w:r w:rsidRPr="00237B7E">
        <w:rPr>
          <w:rFonts w:eastAsia="Times New Roman" w:cs="Arial"/>
          <w:color w:val="000000"/>
          <w:lang w:val="en-US"/>
        </w:rPr>
        <w:t>max</w:t>
      </w:r>
      <w:r w:rsidRPr="00237B7E">
        <w:rPr>
          <w:rFonts w:eastAsia="Times New Roman" w:cs="Arial"/>
          <w:color w:val="000000"/>
          <w:lang w:eastAsia="bg-BG"/>
        </w:rPr>
        <w:t xml:space="preserve"> и площта под кривата </w:t>
      </w:r>
      <w:r w:rsidRPr="00237B7E">
        <w:rPr>
          <w:rFonts w:eastAsia="Times New Roman" w:cs="Arial"/>
          <w:color w:val="000000"/>
          <w:lang w:val="en-US"/>
        </w:rPr>
        <w:t xml:space="preserve">(AUC) </w:t>
      </w:r>
      <w:r w:rsidRPr="00237B7E">
        <w:rPr>
          <w:rFonts w:eastAsia="Times New Roman" w:cs="Arial"/>
          <w:color w:val="000000"/>
          <w:lang w:eastAsia="bg-BG"/>
        </w:rPr>
        <w:t xml:space="preserve">нараства пропорционално при доза между 5 </w:t>
      </w:r>
      <w:r w:rsidRPr="00237B7E">
        <w:rPr>
          <w:rFonts w:eastAsia="Times New Roman" w:cs="Arial"/>
          <w:color w:val="000000"/>
          <w:lang w:val="en-US"/>
        </w:rPr>
        <w:t xml:space="preserve">mg </w:t>
      </w:r>
      <w:r w:rsidRPr="00237B7E">
        <w:rPr>
          <w:rFonts w:eastAsia="Times New Roman" w:cs="Arial"/>
          <w:color w:val="000000"/>
          <w:lang w:eastAsia="bg-BG"/>
        </w:rPr>
        <w:t xml:space="preserve">и 40 </w:t>
      </w:r>
      <w:r w:rsidRPr="00237B7E">
        <w:rPr>
          <w:rFonts w:eastAsia="Times New Roman" w:cs="Arial"/>
          <w:color w:val="000000"/>
          <w:lang w:val="en-US"/>
        </w:rPr>
        <w:t xml:space="preserve">mg. </w:t>
      </w:r>
      <w:r w:rsidRPr="00237B7E">
        <w:rPr>
          <w:rFonts w:eastAsia="Times New Roman" w:cs="Arial"/>
          <w:color w:val="000000"/>
          <w:lang w:eastAsia="bg-BG"/>
        </w:rPr>
        <w:t>Абсолютната бионаличност е около 90%. Приемът на храна не променя С</w:t>
      </w:r>
      <w:r w:rsidRPr="00237B7E">
        <w:rPr>
          <w:rFonts w:eastAsia="Times New Roman" w:cs="Arial"/>
          <w:color w:val="000000"/>
          <w:lang w:val="en-US"/>
        </w:rPr>
        <w:t>max</w:t>
      </w:r>
      <w:r w:rsidRPr="00237B7E">
        <w:rPr>
          <w:rFonts w:eastAsia="Times New Roman" w:cs="Arial"/>
          <w:color w:val="000000"/>
          <w:lang w:eastAsia="bg-BG"/>
        </w:rPr>
        <w:t xml:space="preserve"> и </w:t>
      </w:r>
      <w:r w:rsidRPr="00237B7E">
        <w:rPr>
          <w:rFonts w:eastAsia="Times New Roman" w:cs="Arial"/>
          <w:color w:val="000000"/>
          <w:lang w:val="en-US"/>
        </w:rPr>
        <w:t xml:space="preserve">AUC </w:t>
      </w:r>
      <w:r w:rsidRPr="00237B7E">
        <w:rPr>
          <w:rFonts w:eastAsia="Times New Roman" w:cs="Arial"/>
          <w:color w:val="000000"/>
          <w:lang w:eastAsia="bg-BG"/>
        </w:rPr>
        <w:t>на солифенацин.</w:t>
      </w:r>
    </w:p>
    <w:p w14:paraId="75479381" w14:textId="77777777" w:rsidR="00237B7E" w:rsidRPr="00237B7E" w:rsidRDefault="00237B7E" w:rsidP="00237B7E">
      <w:pPr>
        <w:spacing w:line="240" w:lineRule="auto"/>
        <w:rPr>
          <w:rFonts w:eastAsia="Times New Roman" w:cs="Arial"/>
          <w:color w:val="000000"/>
          <w:u w:val="single"/>
          <w:lang w:eastAsia="bg-BG"/>
        </w:rPr>
      </w:pPr>
    </w:p>
    <w:p w14:paraId="73218101" w14:textId="4BC8E6B5"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u w:val="single"/>
          <w:lang w:eastAsia="bg-BG"/>
        </w:rPr>
        <w:t>Разпределение</w:t>
      </w:r>
    </w:p>
    <w:p w14:paraId="675F080F" w14:textId="77777777"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lang w:eastAsia="bg-BG"/>
        </w:rPr>
        <w:t xml:space="preserve">Привидният обем на разпределение на солифенацин след интравенозно приложение е около 6001. Той до голяма степен (около 98%) е свързан с плазмените протеини (главно </w:t>
      </w:r>
      <w:r w:rsidRPr="00237B7E">
        <w:rPr>
          <w:rFonts w:eastAsia="Times New Roman" w:cs="Arial"/>
          <w:color w:val="000000"/>
          <w:lang w:val="en-US"/>
        </w:rPr>
        <w:t xml:space="preserve">al </w:t>
      </w:r>
      <w:r w:rsidRPr="00237B7E">
        <w:rPr>
          <w:rFonts w:eastAsia="Times New Roman" w:cs="Arial"/>
          <w:color w:val="000000"/>
          <w:lang w:eastAsia="bg-BG"/>
        </w:rPr>
        <w:t>- кисел гликопротеин).</w:t>
      </w:r>
    </w:p>
    <w:p w14:paraId="3274575B" w14:textId="77777777" w:rsidR="00237B7E" w:rsidRPr="00237B7E" w:rsidRDefault="00237B7E" w:rsidP="00237B7E">
      <w:pPr>
        <w:spacing w:line="240" w:lineRule="auto"/>
        <w:rPr>
          <w:rFonts w:eastAsia="Times New Roman" w:cs="Arial"/>
          <w:color w:val="000000"/>
          <w:u w:val="single"/>
          <w:lang w:eastAsia="bg-BG"/>
        </w:rPr>
      </w:pPr>
    </w:p>
    <w:p w14:paraId="43C51BAA" w14:textId="713251AD"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u w:val="single"/>
          <w:lang w:eastAsia="bg-BG"/>
        </w:rPr>
        <w:t>Биотрансформация</w:t>
      </w:r>
    </w:p>
    <w:p w14:paraId="7BC31807" w14:textId="55F2AF54"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lang w:eastAsia="bg-BG"/>
        </w:rPr>
        <w:t xml:space="preserve">Солифенацин се метаболизира основно в черния дроб, главно чрез цитохром Р450 ЗА4 </w:t>
      </w:r>
      <w:r w:rsidRPr="00237B7E">
        <w:rPr>
          <w:rFonts w:eastAsia="Times New Roman" w:cs="Arial"/>
          <w:color w:val="000000"/>
          <w:lang w:val="en-US"/>
        </w:rPr>
        <w:t xml:space="preserve">(CYP </w:t>
      </w:r>
      <w:r w:rsidRPr="00237B7E">
        <w:rPr>
          <w:rFonts w:eastAsia="Times New Roman" w:cs="Arial"/>
          <w:color w:val="000000"/>
          <w:lang w:eastAsia="bg-BG"/>
        </w:rPr>
        <w:t xml:space="preserve">ЗА4), но съществуват и алтернативни пътища на метаболизъм, които допринасят за метаболизирането му. Системният му клирънс е около 9,5 </w:t>
      </w:r>
      <w:r w:rsidRPr="00237B7E">
        <w:rPr>
          <w:rFonts w:eastAsia="Times New Roman" w:cs="Arial"/>
          <w:color w:val="000000"/>
          <w:lang w:val="en-US"/>
        </w:rPr>
        <w:t xml:space="preserve">1/h </w:t>
      </w:r>
      <w:r w:rsidRPr="00237B7E">
        <w:rPr>
          <w:rFonts w:eastAsia="Times New Roman" w:cs="Arial"/>
          <w:color w:val="000000"/>
          <w:lang w:eastAsia="bg-BG"/>
        </w:rPr>
        <w:t xml:space="preserve">и времето на полуживот е 45-68 часа. След перорален прием в плазмата са идентифицирани един фармакологично активен </w:t>
      </w:r>
      <w:r w:rsidRPr="00237B7E">
        <w:rPr>
          <w:rFonts w:eastAsia="Times New Roman" w:cs="Arial"/>
          <w:color w:val="000000"/>
          <w:lang w:val="en-US"/>
        </w:rPr>
        <w:t xml:space="preserve">(4R- </w:t>
      </w:r>
      <w:r w:rsidRPr="00237B7E">
        <w:rPr>
          <w:rFonts w:eastAsia="Times New Roman" w:cs="Arial"/>
          <w:color w:val="000000"/>
          <w:lang w:eastAsia="bg-BG"/>
        </w:rPr>
        <w:t xml:space="preserve">хидрокси солифенацин) и 3 неактивни метаболита </w:t>
      </w:r>
      <w:r w:rsidRPr="00237B7E">
        <w:rPr>
          <w:rFonts w:eastAsia="Times New Roman" w:cs="Arial"/>
          <w:color w:val="000000"/>
          <w:lang w:val="en-US"/>
        </w:rPr>
        <w:t>(N</w:t>
      </w:r>
      <w:r w:rsidRPr="00237B7E">
        <w:rPr>
          <w:rFonts w:eastAsia="Times New Roman" w:cs="Arial"/>
          <w:color w:val="000000"/>
          <w:lang w:eastAsia="bg-BG"/>
        </w:rPr>
        <w:t xml:space="preserve">-глюкоронид, </w:t>
      </w:r>
      <w:r w:rsidRPr="00237B7E">
        <w:rPr>
          <w:rFonts w:eastAsia="Times New Roman" w:cs="Arial"/>
          <w:color w:val="000000"/>
          <w:lang w:val="en-US"/>
        </w:rPr>
        <w:t>N</w:t>
      </w:r>
      <w:r w:rsidRPr="00237B7E">
        <w:rPr>
          <w:rFonts w:eastAsia="Times New Roman" w:cs="Arial"/>
          <w:color w:val="000000"/>
          <w:lang w:eastAsia="bg-BG"/>
        </w:rPr>
        <w:t>-оксид и 4</w:t>
      </w:r>
      <w:r w:rsidRPr="00237B7E">
        <w:rPr>
          <w:rFonts w:eastAsia="Times New Roman" w:cs="Arial"/>
          <w:color w:val="000000"/>
          <w:lang w:val="en-US"/>
        </w:rPr>
        <w:t>R</w:t>
      </w:r>
      <w:r w:rsidRPr="00237B7E">
        <w:rPr>
          <w:rFonts w:eastAsia="Times New Roman" w:cs="Arial"/>
          <w:color w:val="000000"/>
          <w:lang w:eastAsia="bg-BG"/>
        </w:rPr>
        <w:t>-хидрокси-</w:t>
      </w:r>
      <w:r w:rsidRPr="00237B7E">
        <w:rPr>
          <w:rFonts w:eastAsia="Times New Roman" w:cs="Arial"/>
          <w:color w:val="000000"/>
          <w:lang w:val="en-US"/>
        </w:rPr>
        <w:t>N</w:t>
      </w:r>
      <w:r w:rsidRPr="00237B7E">
        <w:rPr>
          <w:rFonts w:eastAsia="Times New Roman" w:cs="Arial"/>
          <w:color w:val="000000"/>
          <w:lang w:eastAsia="bg-BG"/>
        </w:rPr>
        <w:t>- оксид на солифенацин).</w:t>
      </w:r>
    </w:p>
    <w:p w14:paraId="4879D5E3" w14:textId="77777777" w:rsidR="00237B7E" w:rsidRPr="00237B7E" w:rsidRDefault="00237B7E" w:rsidP="00237B7E">
      <w:pPr>
        <w:spacing w:line="240" w:lineRule="auto"/>
        <w:rPr>
          <w:rFonts w:eastAsia="Times New Roman" w:cs="Arial"/>
          <w:color w:val="000000"/>
          <w:u w:val="single"/>
          <w:lang w:eastAsia="bg-BG"/>
        </w:rPr>
      </w:pPr>
    </w:p>
    <w:p w14:paraId="067DCB7E" w14:textId="3447FB20"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u w:val="single"/>
          <w:lang w:eastAsia="bg-BG"/>
        </w:rPr>
        <w:t>Елиминиране</w:t>
      </w:r>
    </w:p>
    <w:p w14:paraId="22F4597F" w14:textId="77777777"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lang w:eastAsia="bg-BG"/>
        </w:rPr>
        <w:t xml:space="preserve">След единично прилагане на 10 </w:t>
      </w:r>
      <w:r w:rsidRPr="00237B7E">
        <w:rPr>
          <w:rFonts w:eastAsia="Times New Roman" w:cs="Arial"/>
          <w:color w:val="000000"/>
          <w:lang w:val="en-US"/>
        </w:rPr>
        <w:t xml:space="preserve">mg </w:t>
      </w:r>
      <w:r w:rsidRPr="00237B7E">
        <w:rPr>
          <w:rFonts w:eastAsia="Times New Roman" w:cs="Arial"/>
          <w:color w:val="000000"/>
          <w:lang w:eastAsia="bg-BG"/>
        </w:rPr>
        <w:t xml:space="preserve">(белязан с 14С) солифенацин около 70% от радиоактивността се наблюдава в урината, а 23% във фекалиите след 26 дни. В урината около 11% от радиоактивността се открива като непроменено активно вещество, около 18% като </w:t>
      </w:r>
      <w:r w:rsidRPr="00237B7E">
        <w:rPr>
          <w:rFonts w:eastAsia="Times New Roman" w:cs="Arial"/>
          <w:color w:val="000000"/>
          <w:lang w:val="en-US"/>
        </w:rPr>
        <w:t xml:space="preserve">N- </w:t>
      </w:r>
      <w:r w:rsidRPr="00237B7E">
        <w:rPr>
          <w:rFonts w:eastAsia="Times New Roman" w:cs="Arial"/>
          <w:color w:val="000000"/>
          <w:lang w:eastAsia="bg-BG"/>
        </w:rPr>
        <w:t>оксид метаболит, 9% като 4</w:t>
      </w:r>
      <w:r w:rsidRPr="00237B7E">
        <w:rPr>
          <w:rFonts w:eastAsia="Times New Roman" w:cs="Arial"/>
          <w:color w:val="000000"/>
          <w:lang w:val="en-US"/>
        </w:rPr>
        <w:t>R</w:t>
      </w:r>
      <w:r w:rsidRPr="00237B7E">
        <w:rPr>
          <w:rFonts w:eastAsia="Times New Roman" w:cs="Arial"/>
          <w:color w:val="000000"/>
          <w:lang w:eastAsia="bg-BG"/>
        </w:rPr>
        <w:t>-хидрокси метаболит (активен метаболит).</w:t>
      </w:r>
    </w:p>
    <w:p w14:paraId="365B153B" w14:textId="77777777" w:rsidR="00237B7E" w:rsidRPr="00237B7E" w:rsidRDefault="00237B7E" w:rsidP="00237B7E">
      <w:pPr>
        <w:spacing w:line="240" w:lineRule="auto"/>
        <w:rPr>
          <w:rFonts w:eastAsia="Times New Roman" w:cs="Arial"/>
          <w:color w:val="000000"/>
          <w:u w:val="single"/>
          <w:lang w:eastAsia="bg-BG"/>
        </w:rPr>
      </w:pPr>
    </w:p>
    <w:p w14:paraId="131A23DF" w14:textId="050F4873"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u w:val="single"/>
          <w:lang w:eastAsia="bg-BG"/>
        </w:rPr>
        <w:t>Линейност/нелинейност</w:t>
      </w:r>
    </w:p>
    <w:p w14:paraId="6CDEE778" w14:textId="77777777"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lang w:eastAsia="bg-BG"/>
        </w:rPr>
        <w:t>Фармакокинетиката е линейна в терапевтичния порядък на дозата.</w:t>
      </w:r>
    </w:p>
    <w:p w14:paraId="3E62CF0B" w14:textId="77777777"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lang w:eastAsia="bg-BG"/>
        </w:rPr>
        <w:t>Специални популации</w:t>
      </w:r>
    </w:p>
    <w:p w14:paraId="4096A0DD" w14:textId="77777777" w:rsidR="00237B7E" w:rsidRPr="00237B7E" w:rsidRDefault="00237B7E" w:rsidP="00237B7E">
      <w:pPr>
        <w:spacing w:line="240" w:lineRule="auto"/>
        <w:rPr>
          <w:rFonts w:eastAsia="Times New Roman" w:cs="Arial"/>
          <w:color w:val="000000"/>
          <w:u w:val="single"/>
          <w:lang w:eastAsia="bg-BG"/>
        </w:rPr>
      </w:pPr>
    </w:p>
    <w:p w14:paraId="6FADBAED" w14:textId="5F4A4DC6"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u w:val="single"/>
          <w:lang w:eastAsia="bg-BG"/>
        </w:rPr>
        <w:t>Възраст</w:t>
      </w:r>
    </w:p>
    <w:p w14:paraId="76E8FF72" w14:textId="77777777"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lang w:eastAsia="bg-BG"/>
        </w:rPr>
        <w:t>Не се налага адаптиране на дозата в зависимост от възрастта.</w:t>
      </w:r>
    </w:p>
    <w:p w14:paraId="639CA13D" w14:textId="77777777"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lang w:eastAsia="bg-BG"/>
        </w:rPr>
        <w:t xml:space="preserve">Изпитванията при пациенти в напреднала възраст показва, че наличието на солифенацин, изразено чрез </w:t>
      </w:r>
      <w:r w:rsidRPr="00237B7E">
        <w:rPr>
          <w:rFonts w:eastAsia="Times New Roman" w:cs="Arial"/>
          <w:color w:val="000000"/>
          <w:lang w:val="en-US"/>
        </w:rPr>
        <w:t xml:space="preserve">AUC </w:t>
      </w:r>
      <w:r w:rsidRPr="00237B7E">
        <w:rPr>
          <w:rFonts w:eastAsia="Times New Roman" w:cs="Arial"/>
          <w:color w:val="000000"/>
          <w:lang w:eastAsia="bg-BG"/>
        </w:rPr>
        <w:t xml:space="preserve">след прилагане на солифенацин сукцинат 5 </w:t>
      </w:r>
      <w:r w:rsidRPr="00237B7E">
        <w:rPr>
          <w:rFonts w:eastAsia="Times New Roman" w:cs="Arial"/>
          <w:color w:val="000000"/>
          <w:lang w:val="en-US"/>
        </w:rPr>
        <w:t xml:space="preserve">mg </w:t>
      </w:r>
      <w:r w:rsidRPr="00237B7E">
        <w:rPr>
          <w:rFonts w:eastAsia="Times New Roman" w:cs="Arial"/>
          <w:color w:val="000000"/>
          <w:lang w:eastAsia="bg-BG"/>
        </w:rPr>
        <w:t xml:space="preserve">и 10 </w:t>
      </w:r>
      <w:r w:rsidRPr="00237B7E">
        <w:rPr>
          <w:rFonts w:eastAsia="Times New Roman" w:cs="Arial"/>
          <w:color w:val="000000"/>
          <w:lang w:val="en-US"/>
        </w:rPr>
        <w:t xml:space="preserve">mg </w:t>
      </w:r>
      <w:r w:rsidRPr="00237B7E">
        <w:rPr>
          <w:rFonts w:eastAsia="Times New Roman" w:cs="Arial"/>
          <w:color w:val="000000"/>
          <w:lang w:eastAsia="bg-BG"/>
        </w:rPr>
        <w:t>веднъж дневно, е подобна при здравите пациенти (на възраст от 65 до 80г.) и при здравите по-млади индивиди (на възраст под 55 години). Средната скорост на абсорбция, изразена в Т</w:t>
      </w:r>
      <w:r w:rsidRPr="00237B7E">
        <w:rPr>
          <w:rFonts w:eastAsia="Times New Roman" w:cs="Arial"/>
          <w:color w:val="000000"/>
          <w:lang w:val="en-US"/>
        </w:rPr>
        <w:t>max</w:t>
      </w:r>
      <w:r w:rsidRPr="00237B7E">
        <w:rPr>
          <w:rFonts w:eastAsia="Times New Roman" w:cs="Arial"/>
          <w:color w:val="000000"/>
          <w:lang w:eastAsia="bg-BG"/>
        </w:rPr>
        <w:t>, е малко по-бавна при тези в напреднала възраст и времето за полуживот е около 20% по-дълго при пациенти в напреднала възраст. Тези леки разлики не се считат клинически значими. Фармакокинетиката на солифенацин при деца и юноши не е установена.</w:t>
      </w:r>
    </w:p>
    <w:p w14:paraId="14B6BACE" w14:textId="77777777" w:rsidR="00237B7E" w:rsidRPr="00237B7E" w:rsidRDefault="00237B7E" w:rsidP="00237B7E">
      <w:pPr>
        <w:spacing w:line="240" w:lineRule="auto"/>
        <w:rPr>
          <w:rFonts w:eastAsia="Times New Roman" w:cs="Arial"/>
          <w:color w:val="000000"/>
          <w:u w:val="single"/>
          <w:lang w:eastAsia="bg-BG"/>
        </w:rPr>
      </w:pPr>
    </w:p>
    <w:p w14:paraId="0AE27F80" w14:textId="6DA60264"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u w:val="single"/>
          <w:lang w:eastAsia="bg-BG"/>
        </w:rPr>
        <w:t>Пол</w:t>
      </w:r>
    </w:p>
    <w:p w14:paraId="2E41F8EA" w14:textId="77777777"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lang w:eastAsia="bg-BG"/>
        </w:rPr>
        <w:t>Фармакокинетиката на солифенацин не се влияе от пола.</w:t>
      </w:r>
    </w:p>
    <w:p w14:paraId="6331D96C" w14:textId="77777777" w:rsidR="00237B7E" w:rsidRPr="00237B7E" w:rsidRDefault="00237B7E" w:rsidP="00237B7E">
      <w:pPr>
        <w:spacing w:line="240" w:lineRule="auto"/>
        <w:rPr>
          <w:rFonts w:eastAsia="Times New Roman" w:cs="Arial"/>
          <w:color w:val="000000"/>
          <w:u w:val="single"/>
          <w:lang w:eastAsia="bg-BG"/>
        </w:rPr>
      </w:pPr>
    </w:p>
    <w:p w14:paraId="33F6F151" w14:textId="412929B5"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u w:val="single"/>
          <w:lang w:eastAsia="bg-BG"/>
        </w:rPr>
        <w:t>Раса</w:t>
      </w:r>
    </w:p>
    <w:p w14:paraId="23946EC5" w14:textId="77777777"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lang w:eastAsia="bg-BG"/>
        </w:rPr>
        <w:t>Фармакокинетиката на солифенацин не се влияе от расата.</w:t>
      </w:r>
    </w:p>
    <w:p w14:paraId="5BBFFFC3" w14:textId="77777777" w:rsidR="00237B7E" w:rsidRPr="00237B7E" w:rsidRDefault="00237B7E" w:rsidP="00237B7E">
      <w:pPr>
        <w:spacing w:line="240" w:lineRule="auto"/>
        <w:rPr>
          <w:rFonts w:eastAsia="Times New Roman" w:cs="Arial"/>
          <w:color w:val="000000"/>
          <w:u w:val="single"/>
          <w:lang w:eastAsia="bg-BG"/>
        </w:rPr>
      </w:pPr>
    </w:p>
    <w:p w14:paraId="106A33D7" w14:textId="0A6EE7D1"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u w:val="single"/>
          <w:lang w:eastAsia="bg-BG"/>
        </w:rPr>
        <w:t>Бъбречна недостатъчност</w:t>
      </w:r>
    </w:p>
    <w:p w14:paraId="55538264" w14:textId="77777777"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lang w:val="en-US"/>
        </w:rPr>
        <w:lastRenderedPageBreak/>
        <w:t xml:space="preserve">AUC </w:t>
      </w:r>
      <w:r w:rsidRPr="00237B7E">
        <w:rPr>
          <w:rFonts w:eastAsia="Times New Roman" w:cs="Arial"/>
          <w:color w:val="000000"/>
          <w:lang w:eastAsia="bg-BG"/>
        </w:rPr>
        <w:t>и С</w:t>
      </w:r>
      <w:r w:rsidRPr="00237B7E">
        <w:rPr>
          <w:rFonts w:eastAsia="Times New Roman" w:cs="Arial"/>
          <w:color w:val="000000"/>
          <w:lang w:val="en-US"/>
        </w:rPr>
        <w:t>max</w:t>
      </w:r>
      <w:r w:rsidRPr="00237B7E">
        <w:rPr>
          <w:rFonts w:eastAsia="Times New Roman" w:cs="Arial"/>
          <w:color w:val="000000"/>
          <w:lang w:eastAsia="bg-BG"/>
        </w:rPr>
        <w:t xml:space="preserve"> на солифенацин при пациенти с лека и умерена бъбречна недостатъчност не се различават значително от тези при здрави доброволци. При пациенти с тежки бъбречна недостатъчност (креатининов клирънс ≤ </w:t>
      </w:r>
      <w:r w:rsidRPr="00237B7E">
        <w:rPr>
          <w:rFonts w:eastAsia="Times New Roman" w:cs="Arial"/>
          <w:color w:val="000000"/>
          <w:lang w:val="en-US"/>
        </w:rPr>
        <w:t xml:space="preserve">30ml/min) </w:t>
      </w:r>
      <w:r w:rsidRPr="00237B7E">
        <w:rPr>
          <w:rFonts w:eastAsia="Times New Roman" w:cs="Arial"/>
          <w:color w:val="000000"/>
          <w:lang w:eastAsia="bg-BG"/>
        </w:rPr>
        <w:t>С</w:t>
      </w:r>
      <w:r w:rsidRPr="00237B7E">
        <w:rPr>
          <w:rFonts w:eastAsia="Times New Roman" w:cs="Arial"/>
          <w:color w:val="000000"/>
          <w:lang w:val="en-US"/>
        </w:rPr>
        <w:t>max</w:t>
      </w:r>
      <w:r w:rsidRPr="00237B7E">
        <w:rPr>
          <w:rFonts w:eastAsia="Times New Roman" w:cs="Arial"/>
          <w:color w:val="000000"/>
          <w:lang w:eastAsia="bg-BG"/>
        </w:rPr>
        <w:t xml:space="preserve"> на солифенацин се увеличва с около 30% спрямо контролите, </w:t>
      </w:r>
      <w:r w:rsidRPr="00237B7E">
        <w:rPr>
          <w:rFonts w:eastAsia="Times New Roman" w:cs="Arial"/>
          <w:color w:val="000000"/>
          <w:lang w:val="en-US"/>
        </w:rPr>
        <w:t xml:space="preserve">AUC </w:t>
      </w:r>
      <w:r w:rsidRPr="00237B7E">
        <w:rPr>
          <w:rFonts w:eastAsia="Times New Roman" w:cs="Arial"/>
          <w:color w:val="000000"/>
          <w:lang w:eastAsia="bg-BG"/>
        </w:rPr>
        <w:t xml:space="preserve">с повече от 100% и </w:t>
      </w:r>
      <w:r w:rsidRPr="00237B7E">
        <w:rPr>
          <w:rFonts w:eastAsia="Times New Roman" w:cs="Arial"/>
          <w:color w:val="000000"/>
          <w:lang w:val="en-US"/>
        </w:rPr>
        <w:t>t1/2</w:t>
      </w:r>
      <w:r w:rsidRPr="00237B7E">
        <w:rPr>
          <w:rFonts w:eastAsia="Times New Roman" w:cs="Arial"/>
          <w:color w:val="000000"/>
          <w:lang w:eastAsia="bg-BG"/>
        </w:rPr>
        <w:t xml:space="preserve"> - с повече от 60%. Наблюдава се статистически значима връзка между креатининов клирънс и клирънса на солифенацин</w:t>
      </w:r>
    </w:p>
    <w:p w14:paraId="7FBE1482" w14:textId="77777777"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lang w:eastAsia="bg-BG"/>
        </w:rPr>
        <w:t>Фармакокинетиката при пациенти, подложени на хемодиализа не е изследвана</w:t>
      </w:r>
    </w:p>
    <w:p w14:paraId="378CC81C" w14:textId="77777777" w:rsidR="00237B7E" w:rsidRPr="00237B7E" w:rsidRDefault="00237B7E" w:rsidP="00237B7E">
      <w:pPr>
        <w:rPr>
          <w:rFonts w:cs="Arial"/>
        </w:rPr>
      </w:pPr>
    </w:p>
    <w:p w14:paraId="2A8932EA" w14:textId="77777777" w:rsidR="00237B7E" w:rsidRPr="00237B7E" w:rsidRDefault="00237B7E" w:rsidP="00237B7E">
      <w:pPr>
        <w:spacing w:line="240" w:lineRule="auto"/>
        <w:rPr>
          <w:rFonts w:eastAsia="Times New Roman" w:cs="Arial"/>
          <w:sz w:val="24"/>
          <w:szCs w:val="24"/>
          <w:lang w:eastAsia="bg-BG"/>
        </w:rPr>
      </w:pPr>
      <w:r w:rsidRPr="00237B7E">
        <w:rPr>
          <w:rFonts w:eastAsia="Times New Roman" w:cs="Arial"/>
          <w:color w:val="000000"/>
          <w:u w:val="single"/>
          <w:lang w:eastAsia="bg-BG"/>
        </w:rPr>
        <w:t>Чернодробна недостатъчност</w:t>
      </w:r>
    </w:p>
    <w:p w14:paraId="42402455" w14:textId="6C72F66C" w:rsidR="00237B7E" w:rsidRPr="00237B7E" w:rsidRDefault="00237B7E" w:rsidP="00237B7E">
      <w:pPr>
        <w:rPr>
          <w:rFonts w:eastAsia="Times New Roman" w:cs="Arial"/>
          <w:color w:val="000000"/>
          <w:lang w:eastAsia="bg-BG"/>
        </w:rPr>
      </w:pPr>
      <w:r w:rsidRPr="00237B7E">
        <w:rPr>
          <w:rFonts w:eastAsia="Times New Roman" w:cs="Arial"/>
          <w:color w:val="000000"/>
          <w:lang w:eastAsia="bg-BG"/>
        </w:rPr>
        <w:t xml:space="preserve">При пациенти с умерена чернодробна недостатъчност (точки по </w:t>
      </w:r>
      <w:r w:rsidRPr="00237B7E">
        <w:rPr>
          <w:rFonts w:eastAsia="Times New Roman" w:cs="Arial"/>
          <w:color w:val="000000"/>
          <w:lang w:val="en-US"/>
        </w:rPr>
        <w:t xml:space="preserve">Child-Pugh </w:t>
      </w:r>
      <w:r w:rsidRPr="00237B7E">
        <w:rPr>
          <w:rFonts w:eastAsia="Times New Roman" w:cs="Arial"/>
          <w:color w:val="000000"/>
          <w:lang w:eastAsia="bg-BG"/>
        </w:rPr>
        <w:t>от 7 до 9) С</w:t>
      </w:r>
      <w:r w:rsidRPr="00237B7E">
        <w:rPr>
          <w:rFonts w:eastAsia="Times New Roman" w:cs="Arial"/>
          <w:color w:val="000000"/>
          <w:lang w:val="en-US"/>
        </w:rPr>
        <w:t>max</w:t>
      </w:r>
      <w:r w:rsidRPr="00237B7E">
        <w:rPr>
          <w:rFonts w:eastAsia="Times New Roman" w:cs="Arial"/>
          <w:color w:val="000000"/>
          <w:lang w:eastAsia="bg-BG"/>
        </w:rPr>
        <w:t xml:space="preserve"> не се променя, </w:t>
      </w:r>
      <w:r w:rsidRPr="00237B7E">
        <w:rPr>
          <w:rFonts w:eastAsia="Times New Roman" w:cs="Arial"/>
          <w:color w:val="000000"/>
          <w:lang w:val="en-US"/>
        </w:rPr>
        <w:t xml:space="preserve">AUC </w:t>
      </w:r>
      <w:r w:rsidRPr="00237B7E">
        <w:rPr>
          <w:rFonts w:eastAsia="Times New Roman" w:cs="Arial"/>
          <w:color w:val="000000"/>
          <w:lang w:eastAsia="bg-BG"/>
        </w:rPr>
        <w:t xml:space="preserve">се увеличава с 60% и </w:t>
      </w:r>
      <w:r w:rsidRPr="00237B7E">
        <w:rPr>
          <w:rFonts w:eastAsia="Times New Roman" w:cs="Arial"/>
          <w:color w:val="000000"/>
          <w:lang w:val="en-US"/>
        </w:rPr>
        <w:t xml:space="preserve">t 1/2 </w:t>
      </w:r>
      <w:r w:rsidRPr="00237B7E">
        <w:rPr>
          <w:rFonts w:eastAsia="Times New Roman" w:cs="Arial"/>
          <w:color w:val="000000"/>
          <w:lang w:eastAsia="bg-BG"/>
        </w:rPr>
        <w:t>се удвоява. Фармакокинетиката на солифенацин при пациенти с тежка чернодробна недостатъчност не е проучена.</w:t>
      </w:r>
    </w:p>
    <w:p w14:paraId="5EF460A9" w14:textId="77777777" w:rsidR="00237B7E" w:rsidRPr="00237B7E" w:rsidRDefault="00237B7E" w:rsidP="00237B7E"/>
    <w:p w14:paraId="6925FEB0" w14:textId="2ED99E32" w:rsidR="00F62E44" w:rsidRDefault="002C50EE" w:rsidP="00387A66">
      <w:pPr>
        <w:pStyle w:val="Heading2"/>
      </w:pPr>
      <w:r>
        <w:t>5.3. Предклинични данни за безопасност</w:t>
      </w:r>
    </w:p>
    <w:p w14:paraId="6873E748" w14:textId="77777777" w:rsidR="00237B7E" w:rsidRDefault="00237B7E" w:rsidP="00237B7E"/>
    <w:p w14:paraId="7EE3F3F5" w14:textId="77777777" w:rsidR="00237B7E" w:rsidRPr="00237B7E" w:rsidRDefault="00237B7E" w:rsidP="00237B7E">
      <w:pPr>
        <w:rPr>
          <w:rFonts w:ascii="Times New Roman" w:eastAsia="Times New Roman" w:hAnsi="Times New Roman" w:cs="Times New Roman"/>
          <w:sz w:val="24"/>
          <w:szCs w:val="24"/>
          <w:lang w:eastAsia="bg-BG"/>
        </w:rPr>
      </w:pPr>
      <w:r w:rsidRPr="00237B7E">
        <w:rPr>
          <w:rFonts w:ascii="Times New Roman" w:eastAsia="Times New Roman" w:hAnsi="Times New Roman" w:cs="Times New Roman"/>
          <w:color w:val="000000"/>
          <w:lang w:eastAsia="bg-BG"/>
        </w:rPr>
        <w:t>Неклиничните данни не показват особен риск за хората на база на конвенционалните фармакологични изпитвания за безопасност, токсичност при многократно прилагане, фертилитет, ембрионалното/феталното развитие, генотоксичност и карциногенен потенциал. В проучването в пре- и постнаталното развитие на мишки прилагането на солифенацин при майките в периода на кърмене предизвиква дозозависима по-малка преживяемост след раждане, намалено тегло на малките и по-бавни клинично значими нива на развитие. Свързано с дозата повишаване на смъртността, без предхождащи клинични признаци, настъпва при млади мишки, лекувани от ден 10-ти или от ден 21-ви след раждането им, при дози, с които е постигнат фармакологичен ефект, като и при двете групи имат по-висока смъртност в сравнение с тази при възрастни мишки. При младите мишки, лекувани от ден 10-ти след раждането, плазмената експозиция е по-висока от тази при възрастни мишки; при лекуваните от ден 21-ви, системната експозиция е сравнима с тази при възрастни мишки. Не са известни клиничните последствия от повишената смъртност при млади мишки.</w:t>
      </w:r>
    </w:p>
    <w:p w14:paraId="675D8691" w14:textId="77777777" w:rsidR="00237B7E" w:rsidRPr="00237B7E" w:rsidRDefault="00237B7E" w:rsidP="00237B7E"/>
    <w:p w14:paraId="357049A8" w14:textId="6CD46E4B" w:rsidR="00BB22B4" w:rsidRDefault="002C50EE" w:rsidP="00471F10">
      <w:pPr>
        <w:pStyle w:val="Heading1"/>
      </w:pPr>
      <w:r>
        <w:t>7. ПРИТЕЖАТЕЛ НА РАЗРЕШЕНИЕТО ЗА УПОТРЕБА</w:t>
      </w:r>
    </w:p>
    <w:p w14:paraId="2CC30068" w14:textId="77777777" w:rsidR="00237B7E" w:rsidRDefault="00237B7E" w:rsidP="00237B7E"/>
    <w:p w14:paraId="3FE8EF97" w14:textId="77777777" w:rsidR="00237B7E" w:rsidRPr="00237B7E" w:rsidRDefault="00237B7E" w:rsidP="00237B7E">
      <w:pPr>
        <w:rPr>
          <w:sz w:val="24"/>
          <w:szCs w:val="24"/>
          <w:lang w:val="en-US" w:eastAsia="bg-BG"/>
        </w:rPr>
      </w:pPr>
      <w:r w:rsidRPr="00237B7E">
        <w:rPr>
          <w:lang w:val="en-US"/>
        </w:rPr>
        <w:t xml:space="preserve">Zentiva </w:t>
      </w:r>
      <w:proofErr w:type="spellStart"/>
      <w:proofErr w:type="gramStart"/>
      <w:r w:rsidRPr="00237B7E">
        <w:rPr>
          <w:lang w:val="en-US"/>
        </w:rPr>
        <w:t>k,s</w:t>
      </w:r>
      <w:proofErr w:type="spellEnd"/>
      <w:r w:rsidRPr="00237B7E">
        <w:rPr>
          <w:lang w:val="en-US"/>
        </w:rPr>
        <w:t>.</w:t>
      </w:r>
      <w:proofErr w:type="gramEnd"/>
    </w:p>
    <w:p w14:paraId="663C3C16" w14:textId="77777777" w:rsidR="00237B7E" w:rsidRPr="00237B7E" w:rsidRDefault="00237B7E" w:rsidP="00237B7E">
      <w:pPr>
        <w:rPr>
          <w:sz w:val="24"/>
          <w:szCs w:val="24"/>
          <w:lang w:val="en-US" w:eastAsia="bg-BG"/>
        </w:rPr>
      </w:pPr>
      <w:r w:rsidRPr="00237B7E">
        <w:rPr>
          <w:lang w:val="en-US"/>
        </w:rPr>
        <w:t xml:space="preserve">U </w:t>
      </w:r>
      <w:proofErr w:type="spellStart"/>
      <w:r w:rsidRPr="00237B7E">
        <w:rPr>
          <w:lang w:val="en-US"/>
        </w:rPr>
        <w:t>kabelovny</w:t>
      </w:r>
      <w:proofErr w:type="spellEnd"/>
      <w:r w:rsidRPr="00237B7E">
        <w:rPr>
          <w:lang w:val="en-US"/>
        </w:rPr>
        <w:t xml:space="preserve"> </w:t>
      </w:r>
      <w:r w:rsidRPr="00237B7E">
        <w:rPr>
          <w:lang w:eastAsia="bg-BG"/>
        </w:rPr>
        <w:t>130,</w:t>
      </w:r>
    </w:p>
    <w:p w14:paraId="2FD9F5BB" w14:textId="77777777" w:rsidR="00237B7E" w:rsidRPr="00237B7E" w:rsidRDefault="00237B7E" w:rsidP="00237B7E">
      <w:pPr>
        <w:rPr>
          <w:sz w:val="24"/>
          <w:szCs w:val="24"/>
          <w:lang w:val="en-US" w:eastAsia="bg-BG"/>
        </w:rPr>
      </w:pPr>
      <w:r w:rsidRPr="00237B7E">
        <w:rPr>
          <w:lang w:eastAsia="bg-BG"/>
        </w:rPr>
        <w:t xml:space="preserve">102 37 </w:t>
      </w:r>
      <w:r w:rsidRPr="00237B7E">
        <w:rPr>
          <w:lang w:val="en-US"/>
        </w:rPr>
        <w:t xml:space="preserve">Prague </w:t>
      </w:r>
      <w:r w:rsidRPr="00237B7E">
        <w:rPr>
          <w:lang w:eastAsia="bg-BG"/>
        </w:rPr>
        <w:t xml:space="preserve">10 </w:t>
      </w:r>
      <w:proofErr w:type="spellStart"/>
      <w:r w:rsidRPr="00237B7E">
        <w:rPr>
          <w:lang w:val="en-US"/>
        </w:rPr>
        <w:t>Dolni</w:t>
      </w:r>
      <w:proofErr w:type="spellEnd"/>
      <w:r w:rsidRPr="00237B7E">
        <w:rPr>
          <w:lang w:val="en-US"/>
        </w:rPr>
        <w:t xml:space="preserve"> </w:t>
      </w:r>
      <w:proofErr w:type="spellStart"/>
      <w:r w:rsidRPr="00237B7E">
        <w:rPr>
          <w:lang w:val="en-US"/>
        </w:rPr>
        <w:t>Mecholupy</w:t>
      </w:r>
      <w:proofErr w:type="spellEnd"/>
    </w:p>
    <w:p w14:paraId="48D19B26" w14:textId="57B4C353" w:rsidR="00237B7E" w:rsidRPr="00237B7E" w:rsidRDefault="00237B7E" w:rsidP="00237B7E">
      <w:r w:rsidRPr="00237B7E">
        <w:rPr>
          <w:lang w:eastAsia="bg-BG"/>
        </w:rPr>
        <w:t>Чешка република</w:t>
      </w:r>
    </w:p>
    <w:p w14:paraId="0A53321D" w14:textId="74FBD4FB" w:rsidR="00EE6C97" w:rsidRDefault="00936AD0" w:rsidP="00A93499">
      <w:pPr>
        <w:pStyle w:val="Heading1"/>
      </w:pPr>
      <w:r>
        <w:t>8.</w:t>
      </w:r>
      <w:r w:rsidR="002C50EE">
        <w:t>НОМЕР НА РАЗРЕШЕНИЕТО ЗА УПОТРЕБА</w:t>
      </w:r>
    </w:p>
    <w:p w14:paraId="561E99DB" w14:textId="77777777" w:rsidR="00237B7E" w:rsidRDefault="00237B7E" w:rsidP="00237B7E"/>
    <w:p w14:paraId="214675BE" w14:textId="6CC54240" w:rsidR="00237B7E" w:rsidRPr="00237B7E" w:rsidRDefault="00237B7E" w:rsidP="00237B7E">
      <w:pPr>
        <w:rPr>
          <w:sz w:val="24"/>
          <w:szCs w:val="24"/>
          <w:lang w:eastAsia="bg-BG"/>
        </w:rPr>
      </w:pPr>
      <w:r w:rsidRPr="00237B7E">
        <w:rPr>
          <w:lang w:eastAsia="bg-BG"/>
        </w:rPr>
        <w:t>20110053</w:t>
      </w:r>
    </w:p>
    <w:p w14:paraId="7C2688F5" w14:textId="6D610EDF" w:rsidR="00F62E44" w:rsidRDefault="00F62E44" w:rsidP="00F62E44"/>
    <w:p w14:paraId="00481C21" w14:textId="753A12CC" w:rsidR="00F62E44" w:rsidRDefault="002C50EE" w:rsidP="00387A66">
      <w:pPr>
        <w:pStyle w:val="Heading1"/>
      </w:pPr>
      <w:r>
        <w:t>9. ДАТА НА ПЪРВО РАЗРЕШАВАНЕ/ПОДНОВЯВАНЕ НА РАЗРЕШЕНИЕТО ЗА УПОТРЕБА</w:t>
      </w:r>
    </w:p>
    <w:p w14:paraId="0AE066C9" w14:textId="77777777" w:rsidR="00237B7E" w:rsidRDefault="00237B7E" w:rsidP="00237B7E"/>
    <w:p w14:paraId="66799B81" w14:textId="77777777" w:rsidR="00237B7E" w:rsidRPr="00237B7E" w:rsidRDefault="00237B7E" w:rsidP="00237B7E">
      <w:pPr>
        <w:rPr>
          <w:sz w:val="24"/>
          <w:szCs w:val="24"/>
          <w:lang w:eastAsia="bg-BG"/>
        </w:rPr>
      </w:pPr>
      <w:r w:rsidRPr="00237B7E">
        <w:rPr>
          <w:lang w:eastAsia="bg-BG"/>
        </w:rPr>
        <w:t>Дата на първо разрешаване: 19.01,2011</w:t>
      </w:r>
    </w:p>
    <w:p w14:paraId="624F815F" w14:textId="77777777" w:rsidR="00237B7E" w:rsidRPr="00237B7E" w:rsidRDefault="00237B7E" w:rsidP="00237B7E">
      <w:pPr>
        <w:rPr>
          <w:sz w:val="24"/>
          <w:szCs w:val="24"/>
          <w:lang w:eastAsia="bg-BG"/>
        </w:rPr>
      </w:pPr>
      <w:r w:rsidRPr="00237B7E">
        <w:rPr>
          <w:lang w:eastAsia="bg-BG"/>
        </w:rPr>
        <w:lastRenderedPageBreak/>
        <w:t>Дата на последно подновяване:24.03.2015</w:t>
      </w:r>
    </w:p>
    <w:p w14:paraId="22E28A9F" w14:textId="77777777" w:rsidR="00237B7E" w:rsidRPr="00237B7E" w:rsidRDefault="00237B7E" w:rsidP="00237B7E"/>
    <w:p w14:paraId="43FB38A2" w14:textId="0C18A683" w:rsidR="007C605B" w:rsidRDefault="002C50EE" w:rsidP="005726E3">
      <w:pPr>
        <w:pStyle w:val="Heading1"/>
      </w:pPr>
      <w:r>
        <w:t>10. ДАТА НА АКТУАЛИЗИРАНЕ НА ТЕКСТА</w:t>
      </w:r>
      <w:bookmarkEnd w:id="0"/>
    </w:p>
    <w:p w14:paraId="472617BD" w14:textId="5DEA2932" w:rsidR="00BB22B4" w:rsidRPr="00BB22B4" w:rsidRDefault="00237B7E" w:rsidP="00237B7E">
      <w:r>
        <w:t>22.01.2020</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010CE"/>
    <w:multiLevelType w:val="hybridMultilevel"/>
    <w:tmpl w:val="8EBEB2A2"/>
    <w:lvl w:ilvl="0" w:tplc="A09889A8">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4"/>
  </w:num>
  <w:num w:numId="12" w16cid:durableId="1434934028">
    <w:abstractNumId w:val="16"/>
  </w:num>
  <w:num w:numId="13" w16cid:durableId="479157895">
    <w:abstractNumId w:val="22"/>
  </w:num>
  <w:num w:numId="14" w16cid:durableId="1670476636">
    <w:abstractNumId w:val="14"/>
  </w:num>
  <w:num w:numId="15" w16cid:durableId="1000155783">
    <w:abstractNumId w:val="33"/>
  </w:num>
  <w:num w:numId="16" w16cid:durableId="2056420707">
    <w:abstractNumId w:val="11"/>
  </w:num>
  <w:num w:numId="17" w16cid:durableId="1787119182">
    <w:abstractNumId w:val="27"/>
  </w:num>
  <w:num w:numId="18" w16cid:durableId="722945139">
    <w:abstractNumId w:val="8"/>
  </w:num>
  <w:num w:numId="19" w16cid:durableId="1678728408">
    <w:abstractNumId w:val="29"/>
  </w:num>
  <w:num w:numId="20" w16cid:durableId="1970816657">
    <w:abstractNumId w:val="26"/>
  </w:num>
  <w:num w:numId="21" w16cid:durableId="1531146514">
    <w:abstractNumId w:val="20"/>
  </w:num>
  <w:num w:numId="22" w16cid:durableId="1276465">
    <w:abstractNumId w:val="28"/>
  </w:num>
  <w:num w:numId="23" w16cid:durableId="1624310558">
    <w:abstractNumId w:val="21"/>
  </w:num>
  <w:num w:numId="24" w16cid:durableId="1692877547">
    <w:abstractNumId w:val="9"/>
  </w:num>
  <w:num w:numId="25" w16cid:durableId="50930855">
    <w:abstractNumId w:val="25"/>
  </w:num>
  <w:num w:numId="26" w16cid:durableId="176701536">
    <w:abstractNumId w:val="24"/>
  </w:num>
  <w:num w:numId="27" w16cid:durableId="2050564750">
    <w:abstractNumId w:val="35"/>
  </w:num>
  <w:num w:numId="28" w16cid:durableId="1820733422">
    <w:abstractNumId w:val="6"/>
  </w:num>
  <w:num w:numId="29" w16cid:durableId="973678124">
    <w:abstractNumId w:val="23"/>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0"/>
  </w:num>
  <w:num w:numId="37" w16cid:durableId="758528303">
    <w:abstractNumId w:val="17"/>
  </w:num>
  <w:num w:numId="38" w16cid:durableId="178396561">
    <w:abstractNumId w:val="38"/>
  </w:num>
  <w:num w:numId="39" w16cid:durableId="934825996">
    <w:abstractNumId w:val="13"/>
  </w:num>
  <w:num w:numId="40" w16cid:durableId="8168734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0F496C"/>
    <w:rsid w:val="00185A46"/>
    <w:rsid w:val="001915B6"/>
    <w:rsid w:val="001A6EBD"/>
    <w:rsid w:val="001D095A"/>
    <w:rsid w:val="001D1B23"/>
    <w:rsid w:val="00237B7E"/>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53D0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9631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3259</Words>
  <Characters>18579</Characters>
  <Application>Microsoft Office Word</Application>
  <DocSecurity>0</DocSecurity>
  <Lines>154</Lines>
  <Paragraphs>43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2023-04-20T15:16:00Z</dcterms:created>
  <dcterms:modified xsi:type="dcterms:W3CDTF">2023-04-20T15:16:00Z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