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3C70A910" w:rsidR="00AA23EC" w:rsidRDefault="00DD466D" w:rsidP="00DD466D">
      <w:pPr>
        <w:pStyle w:val="1"/>
      </w:pPr>
      <w:r>
        <w:t>1.ИМЕ НА ЛЕКАРСТВЕНИЯ ПРОДУКТ</w:t>
      </w:r>
    </w:p>
    <w:p w14:paraId="49129F68" w14:textId="6A7A3564" w:rsidR="00E73741" w:rsidRDefault="00E73741" w:rsidP="00E73741"/>
    <w:p w14:paraId="3F54B244" w14:textId="77777777" w:rsidR="00E73741" w:rsidRDefault="00E73741" w:rsidP="00E73741">
      <w:pPr>
        <w:rPr>
          <w:lang w:eastAsia="bg-BG"/>
        </w:rPr>
      </w:pPr>
      <w:proofErr w:type="spellStart"/>
      <w:r w:rsidRPr="00E73741">
        <w:rPr>
          <w:lang w:eastAsia="bg-BG"/>
        </w:rPr>
        <w:t>Зинерит</w:t>
      </w:r>
      <w:proofErr w:type="spellEnd"/>
      <w:r w:rsidRPr="00E73741">
        <w:rPr>
          <w:lang w:eastAsia="bg-BG"/>
        </w:rPr>
        <w:t xml:space="preserve"> 40 </w:t>
      </w:r>
      <w:r w:rsidRPr="00E73741">
        <w:rPr>
          <w:lang w:val="en-US"/>
        </w:rPr>
        <w:t xml:space="preserve">mg/ml </w:t>
      </w:r>
      <w:r w:rsidRPr="00E73741">
        <w:rPr>
          <w:lang w:eastAsia="bg-BG"/>
        </w:rPr>
        <w:t xml:space="preserve">+ 12 </w:t>
      </w:r>
      <w:r w:rsidRPr="00E73741">
        <w:rPr>
          <w:lang w:val="en-US"/>
        </w:rPr>
        <w:t xml:space="preserve">mg/ml </w:t>
      </w:r>
      <w:r w:rsidRPr="00E73741">
        <w:rPr>
          <w:lang w:eastAsia="bg-BG"/>
        </w:rPr>
        <w:t xml:space="preserve">прах и разтворител за разтвор за кожа </w:t>
      </w:r>
    </w:p>
    <w:p w14:paraId="024E3A47" w14:textId="0E1E66A6" w:rsidR="00E73741" w:rsidRPr="00E73741" w:rsidRDefault="00E73741" w:rsidP="00E73741">
      <w:pPr>
        <w:rPr>
          <w:sz w:val="24"/>
          <w:szCs w:val="24"/>
          <w:lang w:val="en-US"/>
        </w:rPr>
      </w:pPr>
      <w:proofErr w:type="spellStart"/>
      <w:r w:rsidRPr="00E73741">
        <w:rPr>
          <w:lang w:val="en-US"/>
        </w:rPr>
        <w:t>Zineryt</w:t>
      </w:r>
      <w:proofErr w:type="spellEnd"/>
      <w:r w:rsidRPr="00E73741">
        <w:rPr>
          <w:lang w:val="en-US"/>
        </w:rPr>
        <w:t xml:space="preserve"> </w:t>
      </w:r>
      <w:r w:rsidRPr="00E73741">
        <w:rPr>
          <w:lang w:eastAsia="bg-BG"/>
        </w:rPr>
        <w:t xml:space="preserve">40 </w:t>
      </w:r>
      <w:r w:rsidRPr="00E73741">
        <w:rPr>
          <w:lang w:val="en-US"/>
        </w:rPr>
        <w:t xml:space="preserve">mg/ml </w:t>
      </w:r>
      <w:r w:rsidRPr="00E73741">
        <w:rPr>
          <w:lang w:eastAsia="bg-BG"/>
        </w:rPr>
        <w:t xml:space="preserve">+12 </w:t>
      </w:r>
      <w:r w:rsidRPr="00E73741">
        <w:rPr>
          <w:lang w:val="en-US"/>
        </w:rPr>
        <w:t>mg/ml powder and solvent for cutaneous solution</w:t>
      </w:r>
    </w:p>
    <w:p w14:paraId="6D5F2AA5" w14:textId="77777777" w:rsidR="00E73741" w:rsidRPr="00E73741" w:rsidRDefault="00E73741" w:rsidP="00E73741"/>
    <w:p w14:paraId="0A368469" w14:textId="2F47C1E1" w:rsidR="00C0049F" w:rsidRDefault="00DD466D" w:rsidP="009F1313">
      <w:pPr>
        <w:pStyle w:val="1"/>
      </w:pPr>
      <w:r>
        <w:t>2. КАЧЕСТВЕН И КОЛИЧЕСТВЕН СЪСТАВ</w:t>
      </w:r>
    </w:p>
    <w:p w14:paraId="6EE5B325" w14:textId="7D168D8C" w:rsidR="00E73741" w:rsidRDefault="00E73741" w:rsidP="00E73741"/>
    <w:p w14:paraId="65411E7B" w14:textId="220AA56D" w:rsidR="00E73741" w:rsidRPr="00E73741" w:rsidRDefault="00E73741" w:rsidP="00E73741">
      <w:pPr>
        <w:rPr>
          <w:sz w:val="24"/>
          <w:szCs w:val="24"/>
          <w:lang w:val="en-US"/>
        </w:rPr>
      </w:pPr>
      <w:proofErr w:type="spellStart"/>
      <w:r w:rsidRPr="00E73741">
        <w:rPr>
          <w:lang w:val="en-US"/>
        </w:rPr>
        <w:t>Zineryt</w:t>
      </w:r>
      <w:proofErr w:type="spellEnd"/>
      <w:r w:rsidRPr="00E73741">
        <w:rPr>
          <w:lang w:val="en-US"/>
        </w:rPr>
        <w:t xml:space="preserve"> </w:t>
      </w:r>
      <w:r w:rsidRPr="00E73741">
        <w:rPr>
          <w:lang w:eastAsia="bg-BG"/>
        </w:rPr>
        <w:t xml:space="preserve">съдържа 40 </w:t>
      </w:r>
      <w:r w:rsidRPr="00E73741">
        <w:rPr>
          <w:lang w:val="en-US"/>
        </w:rPr>
        <w:t xml:space="preserve">mg </w:t>
      </w:r>
      <w:r w:rsidRPr="00E73741">
        <w:rPr>
          <w:lang w:eastAsia="bg-BG"/>
        </w:rPr>
        <w:t xml:space="preserve">/ </w:t>
      </w:r>
      <w:r w:rsidRPr="00E73741">
        <w:rPr>
          <w:lang w:val="en-US"/>
        </w:rPr>
        <w:t xml:space="preserve">ml </w:t>
      </w:r>
      <w:proofErr w:type="spellStart"/>
      <w:r w:rsidRPr="00E73741">
        <w:rPr>
          <w:lang w:eastAsia="bg-BG"/>
        </w:rPr>
        <w:t>еритромицин</w:t>
      </w:r>
      <w:proofErr w:type="spellEnd"/>
      <w:r w:rsidRPr="00E73741">
        <w:rPr>
          <w:lang w:eastAsia="bg-BG"/>
        </w:rPr>
        <w:t xml:space="preserve"> </w:t>
      </w:r>
      <w:r w:rsidRPr="00E73741">
        <w:rPr>
          <w:i/>
          <w:iCs/>
          <w:lang w:val="en-US"/>
        </w:rPr>
        <w:t>{erythromycin)</w:t>
      </w:r>
      <w:r w:rsidRPr="00E73741">
        <w:rPr>
          <w:lang w:val="en-US"/>
        </w:rPr>
        <w:t xml:space="preserve"> </w:t>
      </w:r>
      <w:r w:rsidRPr="00E73741">
        <w:rPr>
          <w:lang w:eastAsia="bg-BG"/>
        </w:rPr>
        <w:t xml:space="preserve">и </w:t>
      </w:r>
      <w:r w:rsidRPr="00E73741">
        <w:rPr>
          <w:lang w:val="en-US"/>
        </w:rPr>
        <w:t xml:space="preserve">12 mg/ml </w:t>
      </w:r>
      <w:r w:rsidRPr="00E73741">
        <w:rPr>
          <w:lang w:eastAsia="bg-BG"/>
        </w:rPr>
        <w:t xml:space="preserve">цинков ацетат </w:t>
      </w:r>
      <w:proofErr w:type="spellStart"/>
      <w:r w:rsidRPr="00E73741">
        <w:rPr>
          <w:lang w:eastAsia="bg-BG"/>
        </w:rPr>
        <w:t>дихидрат</w:t>
      </w:r>
      <w:proofErr w:type="spellEnd"/>
      <w:r w:rsidRPr="00E73741">
        <w:rPr>
          <w:lang w:eastAsia="bg-BG"/>
        </w:rPr>
        <w:t xml:space="preserve"> (</w:t>
      </w:r>
      <w:r w:rsidRPr="00E73741">
        <w:rPr>
          <w:i/>
          <w:iCs/>
          <w:lang w:val="en-US"/>
        </w:rPr>
        <w:t>zinc acetate dihydrate).</w:t>
      </w:r>
    </w:p>
    <w:p w14:paraId="5E332777" w14:textId="0D78FD00" w:rsidR="005A66D9" w:rsidRDefault="00DD466D" w:rsidP="00CA1B57">
      <w:pPr>
        <w:pStyle w:val="1"/>
      </w:pPr>
      <w:r>
        <w:t>3. ЛЕКАРСТВЕНА ФОРМА</w:t>
      </w:r>
    </w:p>
    <w:p w14:paraId="758E9787" w14:textId="7A580E86" w:rsidR="00E73741" w:rsidRDefault="00E73741" w:rsidP="00E73741"/>
    <w:p w14:paraId="1F322DE2" w14:textId="17646B6C" w:rsidR="00E73741" w:rsidRPr="00E73741" w:rsidRDefault="00E73741" w:rsidP="00E73741">
      <w:pPr>
        <w:rPr>
          <w:sz w:val="24"/>
          <w:szCs w:val="24"/>
        </w:rPr>
      </w:pPr>
      <w:r w:rsidRPr="00E73741">
        <w:rPr>
          <w:lang w:eastAsia="bg-BG"/>
        </w:rPr>
        <w:t>Прах и разтворител за разтвор за кожа. Прах във бутилка и разтворител във бутилка за смесване преди употреба.</w:t>
      </w:r>
    </w:p>
    <w:p w14:paraId="490FC2C4" w14:textId="77777777" w:rsidR="002C50EE" w:rsidRDefault="002C50EE" w:rsidP="002C50EE">
      <w:pPr>
        <w:pStyle w:val="1"/>
      </w:pPr>
      <w:r>
        <w:t>4. КЛИНИЧНИ ДАННИ</w:t>
      </w:r>
    </w:p>
    <w:p w14:paraId="754A29C8" w14:textId="0279D891" w:rsidR="00C0049F" w:rsidRDefault="002C50EE" w:rsidP="009F1313">
      <w:pPr>
        <w:pStyle w:val="2"/>
      </w:pPr>
      <w:r>
        <w:t>4.1. Терапевтични показания</w:t>
      </w:r>
    </w:p>
    <w:p w14:paraId="1775ED59" w14:textId="221F2B6E" w:rsidR="00E73741" w:rsidRDefault="00E73741" w:rsidP="00E73741"/>
    <w:p w14:paraId="20D1D901" w14:textId="0FD2914C" w:rsidR="00E73741" w:rsidRDefault="00E73741" w:rsidP="00E73741">
      <w:r>
        <w:t>Умерено до тежки форми на акне, за които локалното лечение без антибиотици не довежда или довежда до незначителни резултати или не се понася.</w:t>
      </w:r>
    </w:p>
    <w:p w14:paraId="1C1CD639" w14:textId="77777777" w:rsidR="00E73741" w:rsidRPr="00E73741" w:rsidRDefault="00E73741" w:rsidP="00E73741"/>
    <w:p w14:paraId="7C0CA5EB" w14:textId="07631AF0" w:rsidR="00C0049F" w:rsidRDefault="002C50EE" w:rsidP="009F1313">
      <w:pPr>
        <w:pStyle w:val="2"/>
      </w:pPr>
      <w:r>
        <w:t>4.2. Дозировка и начин на приложение</w:t>
      </w:r>
    </w:p>
    <w:p w14:paraId="000D0DAF" w14:textId="19530007" w:rsidR="00E73741" w:rsidRDefault="00E73741" w:rsidP="00E73741"/>
    <w:p w14:paraId="382E50FD" w14:textId="77777777" w:rsidR="00E73741" w:rsidRPr="00E73741" w:rsidRDefault="00E73741" w:rsidP="00E73741">
      <w:pPr>
        <w:pStyle w:val="3"/>
        <w:rPr>
          <w:rFonts w:eastAsia="Times New Roman"/>
          <w:u w:val="single"/>
        </w:rPr>
      </w:pPr>
      <w:r w:rsidRPr="00E73741">
        <w:rPr>
          <w:rFonts w:eastAsia="Times New Roman"/>
          <w:u w:val="single"/>
          <w:lang w:eastAsia="bg-BG"/>
        </w:rPr>
        <w:t>Дозировка</w:t>
      </w:r>
    </w:p>
    <w:p w14:paraId="055AC899" w14:textId="77777777" w:rsidR="00E73741" w:rsidRPr="00E73741" w:rsidRDefault="00E73741" w:rsidP="00E73741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63E5D7CB" w14:textId="77D018F8" w:rsidR="00E73741" w:rsidRPr="00E73741" w:rsidRDefault="00E73741" w:rsidP="00E7374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E73741">
        <w:rPr>
          <w:rFonts w:eastAsia="Times New Roman" w:cs="Arial"/>
          <w:color w:val="000000"/>
          <w:lang w:val="en-US"/>
        </w:rPr>
        <w:t>Zineryt</w:t>
      </w:r>
      <w:proofErr w:type="spellEnd"/>
      <w:r w:rsidRPr="00E73741">
        <w:rPr>
          <w:rFonts w:eastAsia="Times New Roman" w:cs="Arial"/>
          <w:color w:val="000000"/>
          <w:lang w:val="en-US"/>
        </w:rPr>
        <w:t xml:space="preserve"> </w:t>
      </w:r>
      <w:r w:rsidRPr="00E73741">
        <w:rPr>
          <w:rFonts w:eastAsia="Times New Roman" w:cs="Arial"/>
          <w:color w:val="000000"/>
          <w:lang w:eastAsia="bg-BG"/>
        </w:rPr>
        <w:t>трябва да се прилага два пъти дневно върху засегнатата кожа, обикновено в продължение на 10-12 седмици. Значителен лечебен ефект се получава през първите 12 седмици.</w:t>
      </w:r>
    </w:p>
    <w:p w14:paraId="03947771" w14:textId="77777777" w:rsidR="00E73741" w:rsidRPr="00E73741" w:rsidRDefault="00E73741" w:rsidP="00E73741">
      <w:pPr>
        <w:spacing w:line="240" w:lineRule="auto"/>
        <w:rPr>
          <w:rFonts w:eastAsia="Times New Roman" w:cs="Arial"/>
          <w:sz w:val="24"/>
          <w:szCs w:val="24"/>
        </w:rPr>
      </w:pPr>
      <w:r w:rsidRPr="00E73741">
        <w:rPr>
          <w:rFonts w:eastAsia="Times New Roman" w:cs="Arial"/>
          <w:color w:val="000000"/>
          <w:lang w:eastAsia="bg-BG"/>
        </w:rPr>
        <w:t>В случай че няма подобрение или то е недостатъчно, или дори състоянието се е влошило след този срок, пациентът трябва да се консултира с лекуващия си лекар и да се разгледа вероятността от бактериална резистентност. В случай на установена бактериална резистентност използването на продукта трябва да се преустанови за срок от два месеца.</w:t>
      </w:r>
    </w:p>
    <w:p w14:paraId="7EFE121D" w14:textId="77777777" w:rsidR="00E73741" w:rsidRPr="00E73741" w:rsidRDefault="00E73741" w:rsidP="00E7374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1B6E4B8" w14:textId="12B9DA72" w:rsidR="00E73741" w:rsidRPr="00E73741" w:rsidRDefault="00E73741" w:rsidP="00E73741">
      <w:pPr>
        <w:pStyle w:val="3"/>
        <w:rPr>
          <w:rFonts w:eastAsia="Times New Roman"/>
          <w:u w:val="single"/>
        </w:rPr>
      </w:pPr>
      <w:r w:rsidRPr="00E73741">
        <w:rPr>
          <w:rFonts w:eastAsia="Times New Roman"/>
          <w:u w:val="single"/>
          <w:lang w:eastAsia="bg-BG"/>
        </w:rPr>
        <w:t>Начин на приложение</w:t>
      </w:r>
    </w:p>
    <w:p w14:paraId="32E78B19" w14:textId="77777777" w:rsidR="00E73741" w:rsidRPr="00E73741" w:rsidRDefault="00E73741" w:rsidP="00E73741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1071494E" w14:textId="357A60FD" w:rsidR="00E73741" w:rsidRPr="00E73741" w:rsidRDefault="00E73741" w:rsidP="00E7374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E73741">
        <w:rPr>
          <w:rFonts w:eastAsia="Times New Roman" w:cs="Arial"/>
          <w:color w:val="000000"/>
          <w:lang w:val="en-US"/>
        </w:rPr>
        <w:t>Zineryt</w:t>
      </w:r>
      <w:proofErr w:type="spellEnd"/>
      <w:r w:rsidRPr="00E73741">
        <w:rPr>
          <w:rFonts w:eastAsia="Times New Roman" w:cs="Arial"/>
          <w:color w:val="000000"/>
          <w:lang w:val="en-US"/>
        </w:rPr>
        <w:t xml:space="preserve"> </w:t>
      </w:r>
      <w:r w:rsidRPr="00E73741">
        <w:rPr>
          <w:rFonts w:eastAsia="Times New Roman" w:cs="Arial"/>
          <w:color w:val="000000"/>
          <w:lang w:eastAsia="bg-BG"/>
        </w:rPr>
        <w:t xml:space="preserve">трябва да се прилага свободно върху кожата на цялото лице или върху други засегнати части (не само върху лезията), докато се покрие цяла област (всеки път са необходими около 0,5 </w:t>
      </w:r>
      <w:r w:rsidRPr="00E73741">
        <w:rPr>
          <w:rFonts w:eastAsia="Times New Roman" w:cs="Arial"/>
          <w:color w:val="000000"/>
          <w:lang w:val="en-US"/>
        </w:rPr>
        <w:t xml:space="preserve">ml </w:t>
      </w:r>
      <w:r w:rsidRPr="00E73741">
        <w:rPr>
          <w:rFonts w:eastAsia="Times New Roman" w:cs="Arial"/>
          <w:color w:val="000000"/>
          <w:lang w:eastAsia="bg-BG"/>
        </w:rPr>
        <w:t>от продукта).</w:t>
      </w:r>
    </w:p>
    <w:p w14:paraId="3AD917FF" w14:textId="77777777" w:rsidR="00E73741" w:rsidRPr="00E73741" w:rsidRDefault="00E73741" w:rsidP="00E73741">
      <w:pPr>
        <w:rPr>
          <w:rFonts w:eastAsia="Times New Roman" w:cs="Arial"/>
          <w:color w:val="000000"/>
          <w:lang w:val="en-US"/>
        </w:rPr>
      </w:pPr>
    </w:p>
    <w:p w14:paraId="2034BA1A" w14:textId="2B53A075" w:rsidR="00E73741" w:rsidRDefault="00E73741" w:rsidP="00E73741">
      <w:pPr>
        <w:rPr>
          <w:rFonts w:eastAsia="Times New Roman" w:cs="Arial"/>
          <w:color w:val="000000"/>
          <w:lang w:eastAsia="bg-BG"/>
        </w:rPr>
      </w:pPr>
      <w:proofErr w:type="spellStart"/>
      <w:r w:rsidRPr="00E73741">
        <w:rPr>
          <w:rFonts w:eastAsia="Times New Roman" w:cs="Arial"/>
          <w:color w:val="000000"/>
          <w:lang w:val="en-US"/>
        </w:rPr>
        <w:lastRenderedPageBreak/>
        <w:t>Zineryt</w:t>
      </w:r>
      <w:proofErr w:type="spellEnd"/>
      <w:r w:rsidRPr="00E73741">
        <w:rPr>
          <w:rFonts w:eastAsia="Times New Roman" w:cs="Arial"/>
          <w:color w:val="000000"/>
          <w:lang w:val="en-US"/>
        </w:rPr>
        <w:t xml:space="preserve"> </w:t>
      </w:r>
      <w:r w:rsidRPr="00E73741">
        <w:rPr>
          <w:rFonts w:eastAsia="Times New Roman" w:cs="Arial"/>
          <w:color w:val="000000"/>
          <w:lang w:eastAsia="bg-BG"/>
        </w:rPr>
        <w:t xml:space="preserve">се прилага, като бутилката се обърне надолу и краят на </w:t>
      </w:r>
      <w:proofErr w:type="spellStart"/>
      <w:r w:rsidRPr="00E73741">
        <w:rPr>
          <w:rFonts w:eastAsia="Times New Roman" w:cs="Arial"/>
          <w:color w:val="000000"/>
          <w:lang w:eastAsia="bg-BG"/>
        </w:rPr>
        <w:t>апликатора</w:t>
      </w:r>
      <w:proofErr w:type="spellEnd"/>
      <w:r w:rsidRPr="00E73741">
        <w:rPr>
          <w:rFonts w:eastAsia="Times New Roman" w:cs="Arial"/>
          <w:color w:val="000000"/>
          <w:lang w:eastAsia="bg-BG"/>
        </w:rPr>
        <w:t xml:space="preserve"> сочи кожата, а </w:t>
      </w:r>
      <w:proofErr w:type="spellStart"/>
      <w:r w:rsidRPr="00E73741">
        <w:rPr>
          <w:rFonts w:eastAsia="Times New Roman" w:cs="Arial"/>
          <w:color w:val="000000"/>
          <w:lang w:eastAsia="bg-BG"/>
        </w:rPr>
        <w:t>апликаторът</w:t>
      </w:r>
      <w:proofErr w:type="spellEnd"/>
      <w:r w:rsidRPr="00E73741">
        <w:rPr>
          <w:rFonts w:eastAsia="Times New Roman" w:cs="Arial"/>
          <w:color w:val="000000"/>
          <w:lang w:eastAsia="bg-BG"/>
        </w:rPr>
        <w:t xml:space="preserve"> се трие в кожата, докато леко се натиска. Степента на протичане на </w:t>
      </w:r>
      <w:proofErr w:type="spellStart"/>
      <w:r w:rsidRPr="00E73741">
        <w:rPr>
          <w:rFonts w:eastAsia="Times New Roman" w:cs="Arial"/>
          <w:color w:val="000000"/>
          <w:lang w:val="en-US"/>
        </w:rPr>
        <w:t>Zineryt</w:t>
      </w:r>
      <w:proofErr w:type="spellEnd"/>
      <w:r w:rsidRPr="00E73741">
        <w:rPr>
          <w:rFonts w:eastAsia="Times New Roman" w:cs="Arial"/>
          <w:color w:val="000000"/>
          <w:lang w:val="en-US"/>
        </w:rPr>
        <w:t xml:space="preserve"> </w:t>
      </w:r>
      <w:r w:rsidRPr="00E73741">
        <w:rPr>
          <w:rFonts w:eastAsia="Times New Roman" w:cs="Arial"/>
          <w:color w:val="000000"/>
          <w:lang w:eastAsia="bg-BG"/>
        </w:rPr>
        <w:t>се контролира чрез увеличение или намаление</w:t>
      </w:r>
      <w:r w:rsidRPr="00E73741">
        <w:rPr>
          <w:rFonts w:eastAsia="Times New Roman" w:cs="Arial"/>
          <w:color w:val="000000"/>
          <w:lang w:val="en-US"/>
        </w:rPr>
        <w:t xml:space="preserve"> </w:t>
      </w:r>
      <w:r w:rsidRPr="00E73741">
        <w:rPr>
          <w:rFonts w:eastAsia="Times New Roman" w:cs="Arial"/>
          <w:color w:val="000000"/>
          <w:lang w:eastAsia="bg-BG"/>
        </w:rPr>
        <w:t xml:space="preserve">на натиска на </w:t>
      </w:r>
      <w:proofErr w:type="spellStart"/>
      <w:r w:rsidRPr="00E73741">
        <w:rPr>
          <w:rFonts w:eastAsia="Times New Roman" w:cs="Arial"/>
          <w:color w:val="000000"/>
          <w:lang w:eastAsia="bg-BG"/>
        </w:rPr>
        <w:t>апликатора</w:t>
      </w:r>
      <w:proofErr w:type="spellEnd"/>
      <w:r w:rsidRPr="00E73741">
        <w:rPr>
          <w:rFonts w:eastAsia="Times New Roman" w:cs="Arial"/>
          <w:color w:val="000000"/>
          <w:lang w:eastAsia="bg-BG"/>
        </w:rPr>
        <w:t xml:space="preserve"> върху кожата.</w:t>
      </w:r>
    </w:p>
    <w:p w14:paraId="423F6CB0" w14:textId="77777777" w:rsidR="00E73741" w:rsidRPr="00E73741" w:rsidRDefault="00E73741" w:rsidP="00E73741">
      <w:pPr>
        <w:rPr>
          <w:rFonts w:cs="Arial"/>
        </w:rPr>
      </w:pPr>
    </w:p>
    <w:p w14:paraId="78E4CE10" w14:textId="16398105" w:rsidR="00C0049F" w:rsidRDefault="002C50EE" w:rsidP="009F1313">
      <w:pPr>
        <w:pStyle w:val="2"/>
      </w:pPr>
      <w:r>
        <w:t>4.3. Противопоказания</w:t>
      </w:r>
    </w:p>
    <w:p w14:paraId="37175191" w14:textId="14A0FCB9" w:rsidR="00E73741" w:rsidRDefault="00E73741" w:rsidP="00E73741"/>
    <w:p w14:paraId="6723D656" w14:textId="77777777" w:rsidR="00E73741" w:rsidRPr="00E73741" w:rsidRDefault="00E73741" w:rsidP="00E73741">
      <w:pPr>
        <w:rPr>
          <w:sz w:val="24"/>
          <w:szCs w:val="24"/>
        </w:rPr>
      </w:pPr>
      <w:proofErr w:type="spellStart"/>
      <w:r w:rsidRPr="00E73741">
        <w:rPr>
          <w:lang w:val="en-US"/>
        </w:rPr>
        <w:t>Zineryt</w:t>
      </w:r>
      <w:proofErr w:type="spellEnd"/>
      <w:r w:rsidRPr="00E73741">
        <w:rPr>
          <w:lang w:val="en-US"/>
        </w:rPr>
        <w:t xml:space="preserve"> </w:t>
      </w:r>
      <w:r w:rsidRPr="00E73741">
        <w:rPr>
          <w:lang w:eastAsia="bg-BG"/>
        </w:rPr>
        <w:t xml:space="preserve">е противопоказан при пациенти свръхчувствителни към </w:t>
      </w:r>
      <w:proofErr w:type="spellStart"/>
      <w:r w:rsidRPr="00E73741">
        <w:rPr>
          <w:lang w:eastAsia="bg-BG"/>
        </w:rPr>
        <w:t>еритромицин</w:t>
      </w:r>
      <w:proofErr w:type="spellEnd"/>
      <w:r w:rsidRPr="00E73741">
        <w:rPr>
          <w:lang w:eastAsia="bg-BG"/>
        </w:rPr>
        <w:t xml:space="preserve"> или към други антибиотици от </w:t>
      </w:r>
      <w:proofErr w:type="spellStart"/>
      <w:r w:rsidRPr="00E73741">
        <w:rPr>
          <w:lang w:eastAsia="bg-BG"/>
        </w:rPr>
        <w:t>макролидната</w:t>
      </w:r>
      <w:proofErr w:type="spellEnd"/>
      <w:r w:rsidRPr="00E73741">
        <w:rPr>
          <w:lang w:eastAsia="bg-BG"/>
        </w:rPr>
        <w:t xml:space="preserve"> група, към цинк, </w:t>
      </w:r>
      <w:proofErr w:type="spellStart"/>
      <w:r w:rsidRPr="00E73741">
        <w:rPr>
          <w:lang w:eastAsia="bg-BG"/>
        </w:rPr>
        <w:t>диизопропилов</w:t>
      </w:r>
      <w:proofErr w:type="spellEnd"/>
      <w:r w:rsidRPr="00E73741">
        <w:rPr>
          <w:lang w:eastAsia="bg-BG"/>
        </w:rPr>
        <w:t xml:space="preserve"> </w:t>
      </w:r>
      <w:proofErr w:type="spellStart"/>
      <w:r w:rsidRPr="00E73741">
        <w:rPr>
          <w:lang w:eastAsia="bg-BG"/>
        </w:rPr>
        <w:t>себакат</w:t>
      </w:r>
      <w:proofErr w:type="spellEnd"/>
      <w:r w:rsidRPr="00E73741">
        <w:rPr>
          <w:lang w:eastAsia="bg-BG"/>
        </w:rPr>
        <w:t xml:space="preserve"> или етанол.</w:t>
      </w:r>
    </w:p>
    <w:p w14:paraId="7F0BFEE6" w14:textId="77777777" w:rsidR="00E73741" w:rsidRPr="00E73741" w:rsidRDefault="00E73741" w:rsidP="00E73741"/>
    <w:p w14:paraId="447F6F23" w14:textId="64E29814" w:rsidR="00C0049F" w:rsidRDefault="002C50EE" w:rsidP="009F1313">
      <w:pPr>
        <w:pStyle w:val="2"/>
      </w:pPr>
      <w:r>
        <w:t>4.4. Специални предупреждения и предпазни мерки при употреба</w:t>
      </w:r>
    </w:p>
    <w:p w14:paraId="63F11440" w14:textId="32A2C50D" w:rsidR="00E73741" w:rsidRDefault="00E73741" w:rsidP="00E73741"/>
    <w:p w14:paraId="046A6FD1" w14:textId="77777777" w:rsidR="00E73741" w:rsidRPr="00E73741" w:rsidRDefault="00E73741" w:rsidP="00E73741">
      <w:pPr>
        <w:rPr>
          <w:sz w:val="24"/>
          <w:szCs w:val="24"/>
        </w:rPr>
      </w:pPr>
      <w:proofErr w:type="spellStart"/>
      <w:r w:rsidRPr="00E73741">
        <w:rPr>
          <w:lang w:val="en-US"/>
        </w:rPr>
        <w:t>Zineryt</w:t>
      </w:r>
      <w:proofErr w:type="spellEnd"/>
      <w:r w:rsidRPr="00E73741">
        <w:rPr>
          <w:lang w:val="en-US"/>
        </w:rPr>
        <w:t xml:space="preserve"> </w:t>
      </w:r>
      <w:r w:rsidRPr="00E73741">
        <w:rPr>
          <w:lang w:eastAsia="bg-BG"/>
        </w:rPr>
        <w:t>е предназначен само за локално третиране на кожата и не трябва да попада в контакт с очите или лигавицата на носа и устата.</w:t>
      </w:r>
    </w:p>
    <w:p w14:paraId="02506A8A" w14:textId="77777777" w:rsidR="00E73741" w:rsidRPr="00E73741" w:rsidRDefault="00E73741" w:rsidP="00E73741">
      <w:pPr>
        <w:rPr>
          <w:sz w:val="24"/>
          <w:szCs w:val="24"/>
        </w:rPr>
      </w:pPr>
      <w:r w:rsidRPr="00E73741">
        <w:rPr>
          <w:lang w:eastAsia="bg-BG"/>
        </w:rPr>
        <w:t xml:space="preserve">Както и при други </w:t>
      </w:r>
      <w:proofErr w:type="spellStart"/>
      <w:r w:rsidRPr="00E73741">
        <w:rPr>
          <w:lang w:eastAsia="bg-BG"/>
        </w:rPr>
        <w:t>макролиди</w:t>
      </w:r>
      <w:proofErr w:type="spellEnd"/>
      <w:r w:rsidRPr="00E73741">
        <w:rPr>
          <w:lang w:eastAsia="bg-BG"/>
        </w:rPr>
        <w:t xml:space="preserve">, се съобщава за редки сериозни алергични реакции, включващи остра генерализирана </w:t>
      </w:r>
      <w:proofErr w:type="spellStart"/>
      <w:r w:rsidRPr="00E73741">
        <w:rPr>
          <w:lang w:eastAsia="bg-BG"/>
        </w:rPr>
        <w:t>екзантематозна</w:t>
      </w:r>
      <w:proofErr w:type="spellEnd"/>
      <w:r w:rsidRPr="00E73741">
        <w:rPr>
          <w:lang w:eastAsia="bg-BG"/>
        </w:rPr>
        <w:t xml:space="preserve"> </w:t>
      </w:r>
      <w:proofErr w:type="spellStart"/>
      <w:r w:rsidRPr="00E73741">
        <w:rPr>
          <w:lang w:eastAsia="bg-BG"/>
        </w:rPr>
        <w:t>пустулоза</w:t>
      </w:r>
      <w:proofErr w:type="spellEnd"/>
      <w:r w:rsidRPr="00E73741">
        <w:rPr>
          <w:lang w:eastAsia="bg-BG"/>
        </w:rPr>
        <w:t xml:space="preserve"> </w:t>
      </w:r>
      <w:r w:rsidRPr="00E73741">
        <w:rPr>
          <w:lang w:val="en-US"/>
        </w:rPr>
        <w:t xml:space="preserve">(AGEP). </w:t>
      </w:r>
      <w:r w:rsidRPr="00E73741">
        <w:rPr>
          <w:lang w:eastAsia="bg-BG"/>
        </w:rPr>
        <w:t xml:space="preserve">Ако възникне алергична реакция, лекарството трябва да бъде спряно и да се започне подходяща терапия. Лекарите трябва да знаят, че е възможна повторна поява на алергичните </w:t>
      </w:r>
      <w:proofErr w:type="spellStart"/>
      <w:r w:rsidRPr="00E73741">
        <w:rPr>
          <w:lang w:eastAsia="bg-BG"/>
        </w:rPr>
        <w:t>симтоми</w:t>
      </w:r>
      <w:proofErr w:type="spellEnd"/>
      <w:r w:rsidRPr="00E73741">
        <w:rPr>
          <w:lang w:eastAsia="bg-BG"/>
        </w:rPr>
        <w:t xml:space="preserve"> при спиране на симптоматичната терапия. Може да се получи кръстосана резистентност с други антибиотици от групата на </w:t>
      </w:r>
      <w:proofErr w:type="spellStart"/>
      <w:r w:rsidRPr="00E73741">
        <w:rPr>
          <w:lang w:eastAsia="bg-BG"/>
        </w:rPr>
        <w:t>макролидите</w:t>
      </w:r>
      <w:proofErr w:type="spellEnd"/>
      <w:r w:rsidRPr="00E73741">
        <w:rPr>
          <w:lang w:eastAsia="bg-BG"/>
        </w:rPr>
        <w:t xml:space="preserve"> и с </w:t>
      </w:r>
      <w:proofErr w:type="spellStart"/>
      <w:r w:rsidRPr="00E73741">
        <w:rPr>
          <w:lang w:eastAsia="bg-BG"/>
        </w:rPr>
        <w:t>линкомицин</w:t>
      </w:r>
      <w:proofErr w:type="spellEnd"/>
      <w:r w:rsidRPr="00E73741">
        <w:rPr>
          <w:lang w:eastAsia="bg-BG"/>
        </w:rPr>
        <w:t xml:space="preserve"> и </w:t>
      </w:r>
      <w:proofErr w:type="spellStart"/>
      <w:r w:rsidRPr="00E73741">
        <w:rPr>
          <w:lang w:eastAsia="bg-BG"/>
        </w:rPr>
        <w:t>клиндамицин</w:t>
      </w:r>
      <w:proofErr w:type="spellEnd"/>
      <w:r w:rsidRPr="00E73741">
        <w:rPr>
          <w:lang w:eastAsia="bg-BG"/>
        </w:rPr>
        <w:t xml:space="preserve">. Между </w:t>
      </w:r>
      <w:proofErr w:type="spellStart"/>
      <w:r w:rsidRPr="00E73741">
        <w:rPr>
          <w:lang w:eastAsia="bg-BG"/>
        </w:rPr>
        <w:t>макролидите</w:t>
      </w:r>
      <w:proofErr w:type="spellEnd"/>
      <w:r w:rsidRPr="00E73741">
        <w:rPr>
          <w:lang w:eastAsia="bg-BG"/>
        </w:rPr>
        <w:t xml:space="preserve"> може да възникне кръстосана свръхчувствителност.</w:t>
      </w:r>
    </w:p>
    <w:p w14:paraId="296E497C" w14:textId="77777777" w:rsidR="00E73741" w:rsidRPr="00E73741" w:rsidRDefault="00E73741" w:rsidP="00E73741"/>
    <w:p w14:paraId="46F5FD89" w14:textId="6213D9CB" w:rsidR="00C0049F" w:rsidRDefault="002C50EE" w:rsidP="009F1313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2E971A4A" w14:textId="75D855AE" w:rsidR="00E73741" w:rsidRDefault="00E73741" w:rsidP="00E73741"/>
    <w:p w14:paraId="075BFB63" w14:textId="76D8F6DF" w:rsidR="00E73741" w:rsidRDefault="00E73741" w:rsidP="00E73741">
      <w:pPr>
        <w:rPr>
          <w:lang w:eastAsia="bg-BG"/>
        </w:rPr>
      </w:pPr>
      <w:r w:rsidRPr="00E73741">
        <w:rPr>
          <w:lang w:eastAsia="bg-BG"/>
        </w:rPr>
        <w:t>Не са известни досега.</w:t>
      </w:r>
    </w:p>
    <w:p w14:paraId="7C83B017" w14:textId="77777777" w:rsidR="00E73741" w:rsidRPr="00E73741" w:rsidRDefault="00E73741" w:rsidP="00E73741">
      <w:pPr>
        <w:rPr>
          <w:sz w:val="24"/>
          <w:szCs w:val="24"/>
        </w:rPr>
      </w:pPr>
    </w:p>
    <w:p w14:paraId="2ABE132C" w14:textId="6307681A" w:rsidR="00C0049F" w:rsidRDefault="002C50EE" w:rsidP="009F1313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2E319021" w14:textId="3E72FDEE" w:rsidR="00E73741" w:rsidRDefault="00E73741" w:rsidP="00E73741"/>
    <w:p w14:paraId="5121EB14" w14:textId="77777777" w:rsidR="00E73741" w:rsidRPr="00E73741" w:rsidRDefault="00E73741" w:rsidP="00E73741">
      <w:pPr>
        <w:rPr>
          <w:sz w:val="24"/>
          <w:szCs w:val="24"/>
        </w:rPr>
      </w:pPr>
      <w:r w:rsidRPr="00E73741">
        <w:rPr>
          <w:lang w:eastAsia="bg-BG"/>
        </w:rPr>
        <w:t xml:space="preserve">Опитът при хора с </w:t>
      </w:r>
      <w:proofErr w:type="spellStart"/>
      <w:r w:rsidRPr="00E73741">
        <w:rPr>
          <w:lang w:eastAsia="bg-BG"/>
        </w:rPr>
        <w:t>еритромицин</w:t>
      </w:r>
      <w:proofErr w:type="spellEnd"/>
      <w:r w:rsidRPr="00E73741">
        <w:rPr>
          <w:lang w:eastAsia="bg-BG"/>
        </w:rPr>
        <w:t xml:space="preserve"> перорално предполага, че </w:t>
      </w:r>
      <w:proofErr w:type="spellStart"/>
      <w:r w:rsidRPr="00E73741">
        <w:rPr>
          <w:lang w:eastAsia="bg-BG"/>
        </w:rPr>
        <w:t>еритромицин</w:t>
      </w:r>
      <w:proofErr w:type="spellEnd"/>
      <w:r w:rsidRPr="00E73741">
        <w:rPr>
          <w:lang w:eastAsia="bg-BG"/>
        </w:rPr>
        <w:t xml:space="preserve"> може да причини вродени малформации като сърдечно-съдови малформации и </w:t>
      </w:r>
      <w:proofErr w:type="spellStart"/>
      <w:r w:rsidRPr="00E73741">
        <w:rPr>
          <w:lang w:eastAsia="bg-BG"/>
        </w:rPr>
        <w:t>стеноза</w:t>
      </w:r>
      <w:proofErr w:type="spellEnd"/>
      <w:r w:rsidRPr="00E73741">
        <w:rPr>
          <w:lang w:eastAsia="bg-BG"/>
        </w:rPr>
        <w:t xml:space="preserve"> на </w:t>
      </w:r>
      <w:proofErr w:type="spellStart"/>
      <w:r w:rsidRPr="00E73741">
        <w:rPr>
          <w:lang w:eastAsia="bg-BG"/>
        </w:rPr>
        <w:t>пилора</w:t>
      </w:r>
      <w:proofErr w:type="spellEnd"/>
      <w:r w:rsidRPr="00E73741">
        <w:rPr>
          <w:lang w:eastAsia="bg-BG"/>
        </w:rPr>
        <w:t>, когато се прилага по време на бременност. Проучвания с животни не показват директни или индиректни увреждащи ефекти по отношение на репродуктивна токсичност (виж точка 5.3).</w:t>
      </w:r>
    </w:p>
    <w:p w14:paraId="1D44339D" w14:textId="77777777" w:rsidR="00E73741" w:rsidRPr="00E73741" w:rsidRDefault="00E73741" w:rsidP="00E73741">
      <w:pPr>
        <w:rPr>
          <w:sz w:val="24"/>
          <w:szCs w:val="24"/>
        </w:rPr>
      </w:pPr>
      <w:proofErr w:type="spellStart"/>
      <w:r w:rsidRPr="00E73741">
        <w:rPr>
          <w:lang w:val="en-US"/>
        </w:rPr>
        <w:t>Zineryt</w:t>
      </w:r>
      <w:proofErr w:type="spellEnd"/>
      <w:r w:rsidRPr="00E73741">
        <w:rPr>
          <w:lang w:val="en-US"/>
        </w:rPr>
        <w:t xml:space="preserve"> </w:t>
      </w:r>
      <w:r w:rsidRPr="00E73741">
        <w:rPr>
          <w:lang w:eastAsia="bg-BG"/>
        </w:rPr>
        <w:t xml:space="preserve">не трябва да се прилага по време на бременност освен ако клиничната картина на жената не налага лечение с </w:t>
      </w:r>
      <w:proofErr w:type="spellStart"/>
      <w:r w:rsidRPr="00E73741">
        <w:rPr>
          <w:lang w:eastAsia="bg-BG"/>
        </w:rPr>
        <w:t>еритромицин</w:t>
      </w:r>
      <w:proofErr w:type="spellEnd"/>
      <w:r w:rsidRPr="00E73741">
        <w:rPr>
          <w:lang w:eastAsia="bg-BG"/>
        </w:rPr>
        <w:t>.</w:t>
      </w:r>
    </w:p>
    <w:p w14:paraId="5C847949" w14:textId="77777777" w:rsidR="00E73741" w:rsidRPr="00E73741" w:rsidRDefault="00E73741" w:rsidP="00E73741"/>
    <w:p w14:paraId="13465597" w14:textId="5C7CBD3D" w:rsidR="003765DC" w:rsidRDefault="002C50EE" w:rsidP="002B3C38">
      <w:pPr>
        <w:pStyle w:val="2"/>
      </w:pPr>
      <w:r>
        <w:t>4.7. Ефекти върху способността за шофиране и работа с машини</w:t>
      </w:r>
    </w:p>
    <w:p w14:paraId="3874B7A2" w14:textId="70B59FF5" w:rsidR="00E73741" w:rsidRDefault="00E73741" w:rsidP="00E73741"/>
    <w:p w14:paraId="02C67F9B" w14:textId="5F6E139B" w:rsidR="00E73741" w:rsidRDefault="00E73741" w:rsidP="00E73741">
      <w:pPr>
        <w:rPr>
          <w:lang w:eastAsia="bg-BG"/>
        </w:rPr>
      </w:pPr>
      <w:r w:rsidRPr="00E73741">
        <w:rPr>
          <w:lang w:eastAsia="bg-BG"/>
        </w:rPr>
        <w:t xml:space="preserve">Няма данни за ефекта на </w:t>
      </w:r>
      <w:proofErr w:type="spellStart"/>
      <w:r w:rsidRPr="00E73741">
        <w:rPr>
          <w:lang w:val="en-US"/>
        </w:rPr>
        <w:t>Zineryt</w:t>
      </w:r>
      <w:proofErr w:type="spellEnd"/>
      <w:r w:rsidRPr="00E73741">
        <w:rPr>
          <w:lang w:val="en-US"/>
        </w:rPr>
        <w:t xml:space="preserve"> </w:t>
      </w:r>
      <w:r w:rsidRPr="00E73741">
        <w:rPr>
          <w:lang w:eastAsia="bg-BG"/>
        </w:rPr>
        <w:t>върху способността за шофиране и работа с машини, но такъв ефект е малко вероятен.</w:t>
      </w:r>
    </w:p>
    <w:p w14:paraId="1CF30437" w14:textId="77777777" w:rsidR="00E73741" w:rsidRPr="00E73741" w:rsidRDefault="00E73741" w:rsidP="00E73741">
      <w:pPr>
        <w:rPr>
          <w:sz w:val="24"/>
          <w:szCs w:val="24"/>
        </w:rPr>
      </w:pPr>
    </w:p>
    <w:p w14:paraId="7CF9AE95" w14:textId="691795DB" w:rsidR="00C0049F" w:rsidRDefault="002C50EE" w:rsidP="009F1313">
      <w:pPr>
        <w:pStyle w:val="2"/>
      </w:pPr>
      <w:r>
        <w:t>4.8. Нежелани лекарствени реакции</w:t>
      </w:r>
    </w:p>
    <w:p w14:paraId="48DCF349" w14:textId="31F582D4" w:rsidR="00E73741" w:rsidRDefault="00E73741" w:rsidP="00E7374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0"/>
        <w:gridCol w:w="2307"/>
        <w:gridCol w:w="2460"/>
        <w:gridCol w:w="2323"/>
      </w:tblGrid>
      <w:tr w:rsidR="00E73741" w14:paraId="3C2E0913" w14:textId="77777777" w:rsidTr="00E73741">
        <w:tc>
          <w:tcPr>
            <w:tcW w:w="2364" w:type="dxa"/>
          </w:tcPr>
          <w:p w14:paraId="41052C4A" w14:textId="2EABB46E" w:rsidR="00E73741" w:rsidRDefault="00E73741" w:rsidP="00E73741">
            <w:r>
              <w:rPr>
                <w:b/>
                <w:bCs/>
              </w:rPr>
              <w:t>Система Орган Клас</w:t>
            </w:r>
          </w:p>
        </w:tc>
        <w:tc>
          <w:tcPr>
            <w:tcW w:w="2374" w:type="dxa"/>
          </w:tcPr>
          <w:p w14:paraId="0C35B263" w14:textId="77777777" w:rsidR="00E73741" w:rsidRDefault="00E73741" w:rsidP="00E73741">
            <w:r>
              <w:rPr>
                <w:b/>
                <w:bCs/>
              </w:rPr>
              <w:t>Нечести</w:t>
            </w:r>
          </w:p>
          <w:p w14:paraId="7E80FACE" w14:textId="03092BF4" w:rsidR="00E73741" w:rsidRDefault="00E73741" w:rsidP="00E73741">
            <w:r>
              <w:rPr>
                <w:b/>
                <w:bCs/>
              </w:rPr>
              <w:t>&gt;1/1000,&lt;1/100</w:t>
            </w:r>
          </w:p>
        </w:tc>
        <w:tc>
          <w:tcPr>
            <w:tcW w:w="2460" w:type="dxa"/>
          </w:tcPr>
          <w:p w14:paraId="3522AE91" w14:textId="11E7D4A9" w:rsidR="00E73741" w:rsidRDefault="00E73741" w:rsidP="00E73741">
            <w:r>
              <w:rPr>
                <w:b/>
                <w:bCs/>
              </w:rPr>
              <w:t xml:space="preserve">Много редки &lt;1/10,000, с </w:t>
            </w:r>
            <w:r>
              <w:rPr>
                <w:b/>
                <w:bCs/>
              </w:rPr>
              <w:lastRenderedPageBreak/>
              <w:t>неизвестна честота (от наличните данни не може да бъде направена оценка)</w:t>
            </w:r>
          </w:p>
        </w:tc>
        <w:tc>
          <w:tcPr>
            <w:tcW w:w="2378" w:type="dxa"/>
          </w:tcPr>
          <w:p w14:paraId="0E8FC2BA" w14:textId="05D60089" w:rsidR="00E73741" w:rsidRDefault="00E73741" w:rsidP="00E73741">
            <w:r>
              <w:rPr>
                <w:b/>
                <w:bCs/>
              </w:rPr>
              <w:lastRenderedPageBreak/>
              <w:t xml:space="preserve">С неизвестна честота (от </w:t>
            </w:r>
            <w:r>
              <w:rPr>
                <w:b/>
                <w:bCs/>
              </w:rPr>
              <w:lastRenderedPageBreak/>
              <w:t>наличните данни не може да бъде направена оценка)</w:t>
            </w:r>
          </w:p>
        </w:tc>
      </w:tr>
      <w:tr w:rsidR="00E73741" w14:paraId="528EFF12" w14:textId="77777777" w:rsidTr="00E73741">
        <w:tc>
          <w:tcPr>
            <w:tcW w:w="2364" w:type="dxa"/>
          </w:tcPr>
          <w:p w14:paraId="4D1EFDE3" w14:textId="7DDF4788" w:rsidR="00E73741" w:rsidRDefault="00E73741" w:rsidP="00E73741">
            <w:r>
              <w:lastRenderedPageBreak/>
              <w:t>Нарушения на имунната система</w:t>
            </w:r>
          </w:p>
        </w:tc>
        <w:tc>
          <w:tcPr>
            <w:tcW w:w="2374" w:type="dxa"/>
          </w:tcPr>
          <w:p w14:paraId="38FEBB17" w14:textId="77777777" w:rsidR="00E73741" w:rsidRDefault="00E73741" w:rsidP="00E73741"/>
        </w:tc>
        <w:tc>
          <w:tcPr>
            <w:tcW w:w="2460" w:type="dxa"/>
          </w:tcPr>
          <w:p w14:paraId="1F5C4217" w14:textId="79C81C59" w:rsidR="00E73741" w:rsidRDefault="00E73741" w:rsidP="00E73741">
            <w:r>
              <w:t>Свръхчувствителност</w:t>
            </w:r>
          </w:p>
        </w:tc>
        <w:tc>
          <w:tcPr>
            <w:tcW w:w="2378" w:type="dxa"/>
          </w:tcPr>
          <w:p w14:paraId="316032F0" w14:textId="77777777" w:rsidR="00E73741" w:rsidRDefault="00E73741" w:rsidP="00E73741"/>
        </w:tc>
      </w:tr>
      <w:tr w:rsidR="00E73741" w14:paraId="77679B6E" w14:textId="77777777" w:rsidTr="00E73741">
        <w:tc>
          <w:tcPr>
            <w:tcW w:w="2364" w:type="dxa"/>
          </w:tcPr>
          <w:p w14:paraId="52DC463B" w14:textId="0CF46A90" w:rsidR="00E73741" w:rsidRDefault="00E73741" w:rsidP="00E73741">
            <w:r>
              <w:t>Нарушения на кожата и подкожната тъкан</w:t>
            </w:r>
          </w:p>
        </w:tc>
        <w:tc>
          <w:tcPr>
            <w:tcW w:w="2374" w:type="dxa"/>
          </w:tcPr>
          <w:p w14:paraId="17A8BCE7" w14:textId="77777777" w:rsidR="00E73741" w:rsidRDefault="00E73741" w:rsidP="00E73741">
            <w:r>
              <w:t>сърбеж зачервяване * дразнене на кожата *</w:t>
            </w:r>
          </w:p>
          <w:p w14:paraId="3F63B24D" w14:textId="77777777" w:rsidR="00E73741" w:rsidRDefault="00E73741" w:rsidP="00E73741">
            <w:r>
              <w:t>усещане за парене по кожата *</w:t>
            </w:r>
          </w:p>
          <w:p w14:paraId="677F2677" w14:textId="6EBBF947" w:rsidR="00E73741" w:rsidRDefault="00E73741" w:rsidP="00E73741">
            <w:r>
              <w:t xml:space="preserve">суха кожа </w:t>
            </w:r>
            <w:proofErr w:type="spellStart"/>
            <w:r>
              <w:t>ексфолиация</w:t>
            </w:r>
            <w:proofErr w:type="spellEnd"/>
            <w:r>
              <w:t xml:space="preserve"> на кожата</w:t>
            </w:r>
          </w:p>
        </w:tc>
        <w:tc>
          <w:tcPr>
            <w:tcW w:w="2460" w:type="dxa"/>
          </w:tcPr>
          <w:p w14:paraId="13F385B0" w14:textId="77777777" w:rsidR="00E73741" w:rsidRDefault="00E73741" w:rsidP="00E73741"/>
        </w:tc>
        <w:tc>
          <w:tcPr>
            <w:tcW w:w="2378" w:type="dxa"/>
          </w:tcPr>
          <w:p w14:paraId="005C7E58" w14:textId="3C5719AC" w:rsidR="00E73741" w:rsidRDefault="00E73741" w:rsidP="00E73741">
            <w:r>
              <w:t xml:space="preserve">Остра генерализирана </w:t>
            </w:r>
            <w:proofErr w:type="spellStart"/>
            <w:r>
              <w:t>екзантематозна</w:t>
            </w:r>
            <w:proofErr w:type="spellEnd"/>
            <w:r>
              <w:t xml:space="preserve"> </w:t>
            </w:r>
            <w:proofErr w:type="spellStart"/>
            <w:r>
              <w:t>пустулоза</w:t>
            </w:r>
            <w:proofErr w:type="spellEnd"/>
            <w:r>
              <w:t xml:space="preserve"> </w:t>
            </w:r>
            <w:r>
              <w:rPr>
                <w:lang w:val="en-US"/>
              </w:rPr>
              <w:t>(AGEP)</w:t>
            </w:r>
          </w:p>
        </w:tc>
      </w:tr>
    </w:tbl>
    <w:p w14:paraId="32A8D87B" w14:textId="6CB2A2CA" w:rsidR="00E73741" w:rsidRDefault="00E73741" w:rsidP="00E73741">
      <w:r>
        <w:rPr>
          <w:lang w:val="en-US"/>
        </w:rPr>
        <w:t xml:space="preserve">* </w:t>
      </w:r>
      <w:r>
        <w:t xml:space="preserve">Зачервяването, дразненето и </w:t>
      </w:r>
      <w:proofErr w:type="spellStart"/>
      <w:r>
        <w:t>парененето</w:t>
      </w:r>
      <w:proofErr w:type="spellEnd"/>
      <w:r>
        <w:t xml:space="preserve"> по кожата са преходни и от малко клинично значение.</w:t>
      </w:r>
    </w:p>
    <w:p w14:paraId="1C1C04C3" w14:textId="77777777" w:rsidR="00E73741" w:rsidRPr="00E73741" w:rsidRDefault="00E73741" w:rsidP="00E73741"/>
    <w:p w14:paraId="4ED30546" w14:textId="79EF7D89" w:rsidR="007C605B" w:rsidRDefault="002C50EE" w:rsidP="009F1313">
      <w:pPr>
        <w:pStyle w:val="2"/>
      </w:pPr>
      <w:r>
        <w:t>4.9. Предозиране</w:t>
      </w:r>
    </w:p>
    <w:p w14:paraId="73AFE2A8" w14:textId="3D974AD5" w:rsidR="00E73741" w:rsidRDefault="00E73741" w:rsidP="00E73741"/>
    <w:p w14:paraId="4E094977" w14:textId="77777777" w:rsidR="00E73741" w:rsidRPr="00E73741" w:rsidRDefault="00E73741" w:rsidP="00E73741">
      <w:pPr>
        <w:rPr>
          <w:sz w:val="24"/>
          <w:szCs w:val="24"/>
        </w:rPr>
      </w:pPr>
      <w:r w:rsidRPr="00E73741">
        <w:rPr>
          <w:lang w:eastAsia="bg-BG"/>
        </w:rPr>
        <w:t>Случайното предозиране е малко вероятно предвид лекарствената форма.</w:t>
      </w:r>
    </w:p>
    <w:p w14:paraId="55543C50" w14:textId="77777777" w:rsidR="00E73741" w:rsidRPr="00E73741" w:rsidRDefault="00E73741" w:rsidP="00E73741">
      <w:pPr>
        <w:rPr>
          <w:sz w:val="24"/>
          <w:szCs w:val="24"/>
        </w:rPr>
      </w:pPr>
      <w:r w:rsidRPr="00E73741">
        <w:rPr>
          <w:lang w:eastAsia="bg-BG"/>
        </w:rPr>
        <w:t xml:space="preserve">Инцидентният прием на цялото съдържание на една опаковка </w:t>
      </w:r>
      <w:proofErr w:type="spellStart"/>
      <w:r w:rsidRPr="00E73741">
        <w:rPr>
          <w:lang w:val="en-US"/>
        </w:rPr>
        <w:t>Zineryt</w:t>
      </w:r>
      <w:proofErr w:type="spellEnd"/>
      <w:r w:rsidRPr="00E73741">
        <w:rPr>
          <w:lang w:val="en-US"/>
        </w:rPr>
        <w:t xml:space="preserve"> </w:t>
      </w:r>
      <w:r w:rsidRPr="00E73741">
        <w:rPr>
          <w:lang w:eastAsia="bg-BG"/>
        </w:rPr>
        <w:t>ще доведе главно до симптоми на остра токсичност, дължащи се на абсолютния алкохол, който е едно от помощните вещества на продукта.</w:t>
      </w:r>
    </w:p>
    <w:p w14:paraId="701E9455" w14:textId="77777777" w:rsidR="00E73741" w:rsidRPr="00E73741" w:rsidRDefault="00E73741" w:rsidP="00E73741"/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1334F0B3" w14:textId="1B9A99FD" w:rsidR="007C605B" w:rsidRDefault="002C50EE" w:rsidP="009F1313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151238FC" w14:textId="7720C641" w:rsidR="00E73741" w:rsidRDefault="00E73741" w:rsidP="00E73741"/>
    <w:p w14:paraId="6059532C" w14:textId="77777777" w:rsidR="00E73741" w:rsidRPr="00E73741" w:rsidRDefault="00E73741" w:rsidP="00E7374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E73741">
        <w:rPr>
          <w:rFonts w:eastAsia="Times New Roman" w:cs="Arial"/>
          <w:color w:val="000000"/>
          <w:u w:val="single"/>
          <w:lang w:eastAsia="bg-BG"/>
        </w:rPr>
        <w:t>Фармакотерапевтична</w:t>
      </w:r>
      <w:proofErr w:type="spellEnd"/>
      <w:r w:rsidRPr="00E73741">
        <w:rPr>
          <w:rFonts w:eastAsia="Times New Roman" w:cs="Arial"/>
          <w:color w:val="000000"/>
          <w:u w:val="single"/>
          <w:lang w:eastAsia="bg-BG"/>
        </w:rPr>
        <w:t xml:space="preserve"> група</w:t>
      </w:r>
    </w:p>
    <w:p w14:paraId="31597A21" w14:textId="77777777" w:rsidR="00E73741" w:rsidRPr="00E73741" w:rsidRDefault="00E73741" w:rsidP="00E7374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DD8A3C3" w14:textId="6DECD2A2" w:rsidR="00E73741" w:rsidRPr="00E73741" w:rsidRDefault="00E73741" w:rsidP="00E73741">
      <w:pPr>
        <w:spacing w:line="240" w:lineRule="auto"/>
        <w:rPr>
          <w:rFonts w:eastAsia="Times New Roman" w:cs="Arial"/>
          <w:sz w:val="24"/>
          <w:szCs w:val="24"/>
        </w:rPr>
      </w:pPr>
      <w:proofErr w:type="spellStart"/>
      <w:r w:rsidRPr="00E73741">
        <w:rPr>
          <w:rFonts w:eastAsia="Times New Roman" w:cs="Arial"/>
          <w:color w:val="000000"/>
          <w:lang w:eastAsia="bg-BG"/>
        </w:rPr>
        <w:t>Анги</w:t>
      </w:r>
      <w:proofErr w:type="spellEnd"/>
      <w:r w:rsidRPr="00E73741">
        <w:rPr>
          <w:rFonts w:eastAsia="Times New Roman" w:cs="Arial"/>
          <w:color w:val="000000"/>
          <w:lang w:eastAsia="bg-BG"/>
        </w:rPr>
        <w:t xml:space="preserve">-акне продукти, </w:t>
      </w:r>
      <w:r w:rsidRPr="00E73741">
        <w:rPr>
          <w:rFonts w:eastAsia="Times New Roman" w:cs="Arial"/>
          <w:color w:val="000000"/>
          <w:lang w:val="en-US"/>
        </w:rPr>
        <w:t>ATC D10A F52</w:t>
      </w:r>
    </w:p>
    <w:p w14:paraId="7740CBFB" w14:textId="77777777" w:rsidR="00E73741" w:rsidRPr="00E73741" w:rsidRDefault="00E73741" w:rsidP="00E73741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B0F5571" w14:textId="1E3BCD54" w:rsidR="00E73741" w:rsidRPr="00E73741" w:rsidRDefault="00E73741" w:rsidP="00E73741">
      <w:pPr>
        <w:spacing w:line="240" w:lineRule="auto"/>
        <w:rPr>
          <w:rFonts w:eastAsia="Times New Roman" w:cs="Arial"/>
          <w:sz w:val="24"/>
          <w:szCs w:val="24"/>
        </w:rPr>
      </w:pPr>
      <w:r w:rsidRPr="00E73741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6A26CF55" w14:textId="77777777" w:rsidR="00E73741" w:rsidRPr="00E73741" w:rsidRDefault="00E73741" w:rsidP="00E7374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30B75C9" w14:textId="77777777" w:rsidR="00E73741" w:rsidRPr="00E73741" w:rsidRDefault="00E73741" w:rsidP="00E73741">
      <w:pPr>
        <w:rPr>
          <w:rFonts w:eastAsia="Times New Roman" w:cs="Arial"/>
          <w:sz w:val="24"/>
          <w:szCs w:val="24"/>
        </w:rPr>
      </w:pPr>
      <w:proofErr w:type="spellStart"/>
      <w:r w:rsidRPr="00E73741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E73741">
        <w:rPr>
          <w:rFonts w:eastAsia="Times New Roman" w:cs="Arial"/>
          <w:color w:val="000000"/>
          <w:lang w:eastAsia="bg-BG"/>
        </w:rPr>
        <w:t xml:space="preserve"> е бактериостатичен антибиотик с тесен спектър на</w:t>
      </w:r>
      <w:r w:rsidRPr="00E73741">
        <w:rPr>
          <w:rFonts w:eastAsia="Times New Roman" w:cs="Arial"/>
          <w:color w:val="000000"/>
          <w:lang w:val="en-US"/>
        </w:rPr>
        <w:t xml:space="preserve"> </w:t>
      </w:r>
      <w:r w:rsidRPr="00E73741">
        <w:rPr>
          <w:rFonts w:eastAsia="Times New Roman" w:cs="Arial"/>
          <w:color w:val="000000"/>
          <w:lang w:eastAsia="bg-BG"/>
        </w:rPr>
        <w:t xml:space="preserve">действие, спадащ към групата на </w:t>
      </w:r>
      <w:proofErr w:type="spellStart"/>
      <w:r w:rsidRPr="00E73741">
        <w:rPr>
          <w:rFonts w:eastAsia="Times New Roman" w:cs="Arial"/>
          <w:color w:val="000000"/>
          <w:lang w:eastAsia="bg-BG"/>
        </w:rPr>
        <w:t>макролидите</w:t>
      </w:r>
      <w:proofErr w:type="spellEnd"/>
      <w:r w:rsidRPr="00E73741">
        <w:rPr>
          <w:rFonts w:eastAsia="Times New Roman" w:cs="Arial"/>
          <w:color w:val="000000"/>
          <w:lang w:eastAsia="bg-BG"/>
        </w:rPr>
        <w:t>. Микроорганизмите, чувствителни към</w:t>
      </w:r>
      <w:r w:rsidRPr="00E73741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E73741">
        <w:rPr>
          <w:rFonts w:eastAsia="Times New Roman" w:cs="Arial"/>
          <w:color w:val="000000"/>
          <w:lang w:eastAsia="bg-BG"/>
        </w:rPr>
        <w:t xml:space="preserve">този антибиотик, включват бактериите, които често се наблюдават при акне </w:t>
      </w:r>
      <w:r w:rsidRPr="00E73741">
        <w:rPr>
          <w:rFonts w:eastAsia="Times New Roman" w:cs="Arial"/>
          <w:color w:val="000000"/>
          <w:lang w:val="en-US"/>
        </w:rPr>
        <w:t xml:space="preserve">S. </w:t>
      </w:r>
      <w:r w:rsidRPr="00E73741">
        <w:rPr>
          <w:rFonts w:eastAsia="Times New Roman" w:cs="Arial"/>
          <w:i/>
          <w:iCs/>
          <w:color w:val="000000"/>
          <w:lang w:val="en-US"/>
        </w:rPr>
        <w:t>epidermidis</w:t>
      </w:r>
      <w:r w:rsidRPr="00E73741">
        <w:rPr>
          <w:rFonts w:eastAsia="Times New Roman" w:cs="Arial"/>
          <w:color w:val="000000"/>
          <w:lang w:val="en-US"/>
        </w:rPr>
        <w:t xml:space="preserve"> u </w:t>
      </w:r>
      <w:r w:rsidRPr="00E73741">
        <w:rPr>
          <w:rFonts w:eastAsia="Times New Roman" w:cs="Arial"/>
          <w:i/>
          <w:iCs/>
          <w:color w:val="000000"/>
          <w:lang w:eastAsia="bg-BG"/>
        </w:rPr>
        <w:t xml:space="preserve">Р. </w:t>
      </w:r>
      <w:r w:rsidRPr="00E73741">
        <w:rPr>
          <w:rFonts w:eastAsia="Times New Roman" w:cs="Arial"/>
          <w:i/>
          <w:iCs/>
          <w:color w:val="000000"/>
          <w:lang w:val="en-US"/>
        </w:rPr>
        <w:t>acnes.</w:t>
      </w:r>
      <w:r w:rsidRPr="00E73741">
        <w:rPr>
          <w:rFonts w:eastAsia="Times New Roman" w:cs="Arial"/>
          <w:color w:val="000000"/>
          <w:lang w:val="en-US"/>
        </w:rPr>
        <w:t xml:space="preserve"> </w:t>
      </w:r>
      <w:r w:rsidRPr="00E73741">
        <w:rPr>
          <w:rFonts w:eastAsia="Times New Roman" w:cs="Arial"/>
          <w:color w:val="000000"/>
          <w:lang w:eastAsia="bg-BG"/>
        </w:rPr>
        <w:t xml:space="preserve">Локално приложения </w:t>
      </w:r>
      <w:proofErr w:type="spellStart"/>
      <w:r w:rsidRPr="00E73741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E73741">
        <w:rPr>
          <w:rFonts w:eastAsia="Times New Roman" w:cs="Arial"/>
          <w:color w:val="000000"/>
          <w:lang w:eastAsia="bg-BG"/>
        </w:rPr>
        <w:t xml:space="preserve"> може да има</w:t>
      </w:r>
      <w:r w:rsidRPr="00E73741">
        <w:rPr>
          <w:rFonts w:eastAsia="Times New Roman" w:cs="Arial"/>
          <w:color w:val="000000"/>
          <w:lang w:val="en-US" w:eastAsia="bg-BG"/>
        </w:rPr>
        <w:t xml:space="preserve"> </w:t>
      </w:r>
      <w:r w:rsidRPr="00E73741">
        <w:rPr>
          <w:rFonts w:eastAsia="Times New Roman" w:cs="Arial"/>
          <w:color w:val="000000"/>
          <w:lang w:eastAsia="bg-BG"/>
        </w:rPr>
        <w:t xml:space="preserve">благоприятен ефект при акне. По време на лечението кожната флора може да стане резистентна към </w:t>
      </w:r>
      <w:proofErr w:type="spellStart"/>
      <w:r w:rsidRPr="00E73741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E73741">
        <w:rPr>
          <w:rFonts w:eastAsia="Times New Roman" w:cs="Arial"/>
          <w:color w:val="000000"/>
          <w:lang w:eastAsia="bg-BG"/>
        </w:rPr>
        <w:t xml:space="preserve">. Тази резистентност обикновено е обратима след спиране на лечението. Цинкът засилва ефекта на </w:t>
      </w:r>
      <w:proofErr w:type="spellStart"/>
      <w:r w:rsidRPr="00E73741">
        <w:rPr>
          <w:rFonts w:eastAsia="Times New Roman" w:cs="Arial"/>
          <w:color w:val="000000"/>
          <w:lang w:eastAsia="bg-BG"/>
        </w:rPr>
        <w:t>еритромицин</w:t>
      </w:r>
      <w:proofErr w:type="spellEnd"/>
      <w:r w:rsidRPr="00E73741">
        <w:rPr>
          <w:rFonts w:eastAsia="Times New Roman" w:cs="Arial"/>
          <w:color w:val="000000"/>
          <w:lang w:eastAsia="bg-BG"/>
        </w:rPr>
        <w:t xml:space="preserve"> при лечение на акне.</w:t>
      </w:r>
    </w:p>
    <w:p w14:paraId="0D6F0E90" w14:textId="77777777" w:rsidR="00E73741" w:rsidRPr="00E73741" w:rsidRDefault="00E73741" w:rsidP="00E7374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B27FB3" w14:textId="57CA781E" w:rsidR="00E73741" w:rsidRPr="00E73741" w:rsidRDefault="00E73741" w:rsidP="00E73741">
      <w:pPr>
        <w:spacing w:line="240" w:lineRule="auto"/>
        <w:rPr>
          <w:rFonts w:eastAsia="Times New Roman" w:cs="Arial"/>
          <w:sz w:val="24"/>
          <w:szCs w:val="24"/>
        </w:rPr>
      </w:pPr>
      <w:r w:rsidRPr="00E73741">
        <w:rPr>
          <w:rFonts w:eastAsia="Times New Roman" w:cs="Arial"/>
          <w:color w:val="000000"/>
          <w:lang w:eastAsia="bg-BG"/>
        </w:rPr>
        <w:t xml:space="preserve">При тежки форми на акне лечението с </w:t>
      </w:r>
      <w:proofErr w:type="spellStart"/>
      <w:r w:rsidRPr="00E73741">
        <w:rPr>
          <w:rFonts w:eastAsia="Times New Roman" w:cs="Arial"/>
          <w:color w:val="000000"/>
          <w:lang w:val="en-US"/>
        </w:rPr>
        <w:t>Zineryt</w:t>
      </w:r>
      <w:proofErr w:type="spellEnd"/>
      <w:r w:rsidRPr="00E73741">
        <w:rPr>
          <w:rFonts w:eastAsia="Times New Roman" w:cs="Arial"/>
          <w:color w:val="000000"/>
          <w:lang w:val="en-US"/>
        </w:rPr>
        <w:t xml:space="preserve"> </w:t>
      </w:r>
      <w:r w:rsidRPr="00E73741">
        <w:rPr>
          <w:rFonts w:eastAsia="Times New Roman" w:cs="Arial"/>
          <w:color w:val="000000"/>
          <w:lang w:eastAsia="bg-BG"/>
        </w:rPr>
        <w:t xml:space="preserve">може да се комбинира например с </w:t>
      </w:r>
      <w:proofErr w:type="spellStart"/>
      <w:r w:rsidRPr="00E73741">
        <w:rPr>
          <w:rFonts w:eastAsia="Times New Roman" w:cs="Arial"/>
          <w:color w:val="000000"/>
          <w:lang w:eastAsia="bg-BG"/>
        </w:rPr>
        <w:t>дермално</w:t>
      </w:r>
      <w:proofErr w:type="spellEnd"/>
      <w:r w:rsidRPr="00E73741">
        <w:rPr>
          <w:rFonts w:eastAsia="Times New Roman" w:cs="Arial"/>
          <w:color w:val="000000"/>
          <w:lang w:eastAsia="bg-BG"/>
        </w:rPr>
        <w:t xml:space="preserve"> приложение на витамин А или </w:t>
      </w:r>
      <w:proofErr w:type="spellStart"/>
      <w:r w:rsidRPr="00E73741">
        <w:rPr>
          <w:rFonts w:eastAsia="Times New Roman" w:cs="Arial"/>
          <w:color w:val="000000"/>
          <w:lang w:eastAsia="bg-BG"/>
        </w:rPr>
        <w:t>бензилов</w:t>
      </w:r>
      <w:proofErr w:type="spellEnd"/>
      <w:r w:rsidRPr="00E73741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E73741">
        <w:rPr>
          <w:rFonts w:eastAsia="Times New Roman" w:cs="Arial"/>
          <w:color w:val="000000"/>
          <w:lang w:eastAsia="bg-BG"/>
        </w:rPr>
        <w:t>пероксид</w:t>
      </w:r>
      <w:proofErr w:type="spellEnd"/>
      <w:r w:rsidRPr="00E73741">
        <w:rPr>
          <w:rFonts w:eastAsia="Times New Roman" w:cs="Arial"/>
          <w:color w:val="000000"/>
          <w:lang w:eastAsia="bg-BG"/>
        </w:rPr>
        <w:t xml:space="preserve"> или перорално приложение на </w:t>
      </w:r>
      <w:proofErr w:type="spellStart"/>
      <w:r w:rsidRPr="00E73741">
        <w:rPr>
          <w:rFonts w:eastAsia="Times New Roman" w:cs="Arial"/>
          <w:color w:val="000000"/>
          <w:lang w:eastAsia="bg-BG"/>
        </w:rPr>
        <w:t>тетрациклин</w:t>
      </w:r>
      <w:proofErr w:type="spellEnd"/>
      <w:r w:rsidRPr="00E73741">
        <w:rPr>
          <w:rFonts w:eastAsia="Times New Roman" w:cs="Arial"/>
          <w:color w:val="000000"/>
          <w:lang w:eastAsia="bg-BG"/>
        </w:rPr>
        <w:t>.</w:t>
      </w:r>
    </w:p>
    <w:p w14:paraId="1892EE3E" w14:textId="77777777" w:rsidR="00E73741" w:rsidRPr="00E73741" w:rsidRDefault="00E73741" w:rsidP="00E73741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FD9F481" w14:textId="6771ECB6" w:rsidR="00E73741" w:rsidRPr="00E73741" w:rsidRDefault="00E73741" w:rsidP="00E73741">
      <w:pPr>
        <w:spacing w:line="240" w:lineRule="auto"/>
        <w:rPr>
          <w:rFonts w:eastAsia="Times New Roman" w:cs="Arial"/>
          <w:sz w:val="24"/>
          <w:szCs w:val="24"/>
        </w:rPr>
      </w:pPr>
      <w:r w:rsidRPr="00E73741">
        <w:rPr>
          <w:rFonts w:eastAsia="Times New Roman" w:cs="Arial"/>
          <w:color w:val="000000"/>
          <w:lang w:eastAsia="bg-BG"/>
        </w:rPr>
        <w:lastRenderedPageBreak/>
        <w:t xml:space="preserve">След изсушаване приложеният </w:t>
      </w:r>
      <w:proofErr w:type="spellStart"/>
      <w:r w:rsidRPr="00E73741">
        <w:rPr>
          <w:rFonts w:eastAsia="Times New Roman" w:cs="Arial"/>
          <w:color w:val="000000"/>
          <w:lang w:val="en-US"/>
        </w:rPr>
        <w:t>Zineryt</w:t>
      </w:r>
      <w:proofErr w:type="spellEnd"/>
      <w:r w:rsidRPr="00E73741">
        <w:rPr>
          <w:rFonts w:eastAsia="Times New Roman" w:cs="Arial"/>
          <w:color w:val="000000"/>
          <w:lang w:val="en-US"/>
        </w:rPr>
        <w:t xml:space="preserve"> </w:t>
      </w:r>
      <w:r w:rsidRPr="00E73741">
        <w:rPr>
          <w:rFonts w:eastAsia="Times New Roman" w:cs="Arial"/>
          <w:color w:val="000000"/>
          <w:lang w:eastAsia="bg-BG"/>
        </w:rPr>
        <w:t>е невидим и затова е приемлив от козметична гледна точка.</w:t>
      </w:r>
    </w:p>
    <w:p w14:paraId="764DB593" w14:textId="7785EA14" w:rsidR="00E73741" w:rsidRPr="00E73741" w:rsidRDefault="00E73741" w:rsidP="00E737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6299FC" w14:textId="77777777" w:rsidR="00E73741" w:rsidRPr="00E73741" w:rsidRDefault="00E73741" w:rsidP="00E73741"/>
    <w:p w14:paraId="63D1DD4E" w14:textId="60940EA1" w:rsidR="007C605B" w:rsidRDefault="002C50EE" w:rsidP="009F1313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2B022862" w14:textId="0CD3EEAD" w:rsidR="00E73741" w:rsidRDefault="00E73741" w:rsidP="00E73741"/>
    <w:p w14:paraId="397829BB" w14:textId="755E4048" w:rsidR="00E73741" w:rsidRDefault="00E73741" w:rsidP="00E73741">
      <w:r>
        <w:t xml:space="preserve">Локално приложеният </w:t>
      </w:r>
      <w:proofErr w:type="spellStart"/>
      <w:r>
        <w:t>еритромицин</w:t>
      </w:r>
      <w:proofErr w:type="spellEnd"/>
      <w:r>
        <w:t xml:space="preserve"> не се резорбира или се резорбира минимално.</w:t>
      </w:r>
    </w:p>
    <w:p w14:paraId="3BD4F6A7" w14:textId="77777777" w:rsidR="00E73741" w:rsidRPr="00E73741" w:rsidRDefault="00E73741" w:rsidP="00E73741"/>
    <w:p w14:paraId="1A21E006" w14:textId="74073F1B" w:rsidR="009F1313" w:rsidRDefault="002C50EE" w:rsidP="009F1313">
      <w:pPr>
        <w:pStyle w:val="2"/>
      </w:pPr>
      <w:r>
        <w:t>5.3. Предклинични данни за безопасност</w:t>
      </w:r>
    </w:p>
    <w:p w14:paraId="550CD1DD" w14:textId="17383391" w:rsidR="00E73741" w:rsidRDefault="00E73741" w:rsidP="00E73741"/>
    <w:p w14:paraId="621F0316" w14:textId="17E97FD3" w:rsidR="00E73741" w:rsidRDefault="00E73741" w:rsidP="00E73741">
      <w:r>
        <w:t>Няма значими данни.</w:t>
      </w:r>
    </w:p>
    <w:p w14:paraId="7AB54580" w14:textId="77777777" w:rsidR="00E73741" w:rsidRPr="00E73741" w:rsidRDefault="00E73741" w:rsidP="00E73741"/>
    <w:p w14:paraId="7E1E1511" w14:textId="1E8CB7E2" w:rsidR="009F1313" w:rsidRDefault="002C50EE" w:rsidP="00E73741">
      <w:pPr>
        <w:pStyle w:val="1"/>
      </w:pPr>
      <w:r>
        <w:t>7. ПРИТЕЖАТЕЛ НА РАЗРЕШЕНИЕТО ЗА УПОТРЕБА</w:t>
      </w:r>
    </w:p>
    <w:p w14:paraId="17772827" w14:textId="514C2BD8" w:rsidR="00E73741" w:rsidRDefault="00E73741" w:rsidP="00E73741"/>
    <w:p w14:paraId="7D862F47" w14:textId="77777777" w:rsidR="00E73741" w:rsidRPr="00E73741" w:rsidRDefault="00E73741" w:rsidP="00E73741">
      <w:pPr>
        <w:rPr>
          <w:sz w:val="24"/>
          <w:szCs w:val="24"/>
          <w:lang w:val="en-US"/>
        </w:rPr>
      </w:pPr>
      <w:r w:rsidRPr="00E73741">
        <w:rPr>
          <w:lang w:val="en-US"/>
        </w:rPr>
        <w:t xml:space="preserve">CHEPLAPHARM </w:t>
      </w:r>
      <w:proofErr w:type="spellStart"/>
      <w:r w:rsidRPr="00E73741">
        <w:rPr>
          <w:lang w:val="en-US"/>
        </w:rPr>
        <w:t>Arzneimittel</w:t>
      </w:r>
      <w:proofErr w:type="spellEnd"/>
      <w:r w:rsidRPr="00E73741">
        <w:rPr>
          <w:lang w:val="en-US"/>
        </w:rPr>
        <w:t xml:space="preserve"> GmbH</w:t>
      </w:r>
    </w:p>
    <w:p w14:paraId="1FD0C45F" w14:textId="77777777" w:rsidR="00E73741" w:rsidRPr="00E73741" w:rsidRDefault="00E73741" w:rsidP="00E73741">
      <w:pPr>
        <w:rPr>
          <w:sz w:val="24"/>
          <w:szCs w:val="24"/>
          <w:lang w:val="en-US"/>
        </w:rPr>
      </w:pPr>
      <w:proofErr w:type="spellStart"/>
      <w:r w:rsidRPr="00E73741">
        <w:rPr>
          <w:lang w:val="en-US"/>
        </w:rPr>
        <w:t>Ziegelhof</w:t>
      </w:r>
      <w:proofErr w:type="spellEnd"/>
      <w:r w:rsidRPr="00E73741">
        <w:rPr>
          <w:lang w:val="en-US"/>
        </w:rPr>
        <w:t xml:space="preserve"> </w:t>
      </w:r>
      <w:r w:rsidRPr="00E73741">
        <w:rPr>
          <w:lang w:eastAsia="bg-BG"/>
        </w:rPr>
        <w:t>24</w:t>
      </w:r>
    </w:p>
    <w:p w14:paraId="270A3F43" w14:textId="77777777" w:rsidR="00E73741" w:rsidRPr="00E73741" w:rsidRDefault="00E73741" w:rsidP="00E73741">
      <w:pPr>
        <w:rPr>
          <w:sz w:val="24"/>
          <w:szCs w:val="24"/>
          <w:lang w:val="en-US"/>
        </w:rPr>
      </w:pPr>
      <w:r w:rsidRPr="00E73741">
        <w:rPr>
          <w:lang w:eastAsia="bg-BG"/>
        </w:rPr>
        <w:t xml:space="preserve">17489 </w:t>
      </w:r>
      <w:r w:rsidRPr="00E73741">
        <w:rPr>
          <w:lang w:val="en-US"/>
        </w:rPr>
        <w:t>Greifswald</w:t>
      </w:r>
    </w:p>
    <w:p w14:paraId="723AE8D7" w14:textId="4F29C382" w:rsidR="00E73741" w:rsidRPr="00E73741" w:rsidRDefault="00E73741" w:rsidP="00E73741">
      <w:r w:rsidRPr="00E73741">
        <w:rPr>
          <w:lang w:eastAsia="bg-BG"/>
        </w:rPr>
        <w:t>Германия</w:t>
      </w:r>
    </w:p>
    <w:p w14:paraId="04840D59" w14:textId="103E27B9" w:rsidR="002C50EE" w:rsidRDefault="002C50EE" w:rsidP="00E73741">
      <w:pPr>
        <w:pStyle w:val="1"/>
      </w:pPr>
      <w:r>
        <w:t>8. НОМЕР НА РАЗРЕШЕНИЕТО ЗА УПОТРЕБА</w:t>
      </w:r>
    </w:p>
    <w:p w14:paraId="3B86A159" w14:textId="36E8B590" w:rsidR="00E73741" w:rsidRDefault="00E73741" w:rsidP="00E73741"/>
    <w:p w14:paraId="188A342D" w14:textId="3EF97137" w:rsidR="00E73741" w:rsidRPr="00E73741" w:rsidRDefault="00E73741" w:rsidP="00E73741">
      <w:r>
        <w:t>20010281</w:t>
      </w:r>
    </w:p>
    <w:p w14:paraId="2CCB5832" w14:textId="02792D71" w:rsidR="007C605B" w:rsidRDefault="002C50EE" w:rsidP="007C605B">
      <w:pPr>
        <w:pStyle w:val="1"/>
      </w:pPr>
      <w:r>
        <w:t>9. ДАТА НА ПЪРВО РАЗРЕШАВАНЕ/ПОДНОВЯВАНЕ НА РАЗРЕШЕНИЕТО ЗА УПОТРЕБА</w:t>
      </w:r>
    </w:p>
    <w:p w14:paraId="7DD0EF16" w14:textId="5371112F" w:rsidR="00E73741" w:rsidRDefault="00E73741" w:rsidP="00E73741"/>
    <w:p w14:paraId="008FFE6C" w14:textId="77777777" w:rsidR="00E73741" w:rsidRPr="00E73741" w:rsidRDefault="00E73741" w:rsidP="00E73741">
      <w:pPr>
        <w:rPr>
          <w:sz w:val="24"/>
          <w:szCs w:val="24"/>
        </w:rPr>
      </w:pPr>
      <w:r w:rsidRPr="00E73741">
        <w:rPr>
          <w:lang w:eastAsia="bg-BG"/>
        </w:rPr>
        <w:t>Дата на първо разрешаване: 06.03.2001</w:t>
      </w:r>
    </w:p>
    <w:p w14:paraId="2F20269D" w14:textId="77777777" w:rsidR="00E73741" w:rsidRPr="00E73741" w:rsidRDefault="00E73741" w:rsidP="00E73741">
      <w:pPr>
        <w:rPr>
          <w:sz w:val="24"/>
          <w:szCs w:val="24"/>
        </w:rPr>
      </w:pPr>
      <w:r w:rsidRPr="00E73741">
        <w:rPr>
          <w:lang w:eastAsia="bg-BG"/>
        </w:rPr>
        <w:t>Дата на последно подновяване: 17.05.2006</w:t>
      </w:r>
    </w:p>
    <w:p w14:paraId="33AD2219" w14:textId="77777777" w:rsidR="00E73741" w:rsidRPr="00E73741" w:rsidRDefault="00E73741" w:rsidP="00E73741"/>
    <w:p w14:paraId="0E9D0119" w14:textId="0245C6D7" w:rsidR="002C50EE" w:rsidRDefault="002C50EE" w:rsidP="002C50EE">
      <w:pPr>
        <w:pStyle w:val="1"/>
      </w:pPr>
      <w:r>
        <w:t>10. ДАТА НА АКТУАЛИЗИРАНЕ НА ТЕКСТА</w:t>
      </w:r>
    </w:p>
    <w:bookmarkEnd w:id="0"/>
    <w:p w14:paraId="43FB38A2" w14:textId="376C99CC" w:rsidR="007C605B" w:rsidRPr="003E3126" w:rsidRDefault="00E73741" w:rsidP="00E73741">
      <w:r>
        <w:t>04/2021</w:t>
      </w:r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27"/>
  </w:num>
  <w:num w:numId="12">
    <w:abstractNumId w:val="12"/>
  </w:num>
  <w:num w:numId="13">
    <w:abstractNumId w:val="17"/>
  </w:num>
  <w:num w:numId="14">
    <w:abstractNumId w:val="10"/>
  </w:num>
  <w:num w:numId="15">
    <w:abstractNumId w:val="26"/>
  </w:num>
  <w:num w:numId="16">
    <w:abstractNumId w:val="8"/>
  </w:num>
  <w:num w:numId="17">
    <w:abstractNumId w:val="22"/>
  </w:num>
  <w:num w:numId="18">
    <w:abstractNumId w:val="6"/>
  </w:num>
  <w:num w:numId="19">
    <w:abstractNumId w:val="24"/>
  </w:num>
  <w:num w:numId="20">
    <w:abstractNumId w:val="21"/>
  </w:num>
  <w:num w:numId="21">
    <w:abstractNumId w:val="15"/>
  </w:num>
  <w:num w:numId="22">
    <w:abstractNumId w:val="23"/>
  </w:num>
  <w:num w:numId="23">
    <w:abstractNumId w:val="16"/>
  </w:num>
  <w:num w:numId="24">
    <w:abstractNumId w:val="7"/>
  </w:num>
  <w:num w:numId="25">
    <w:abstractNumId w:val="20"/>
  </w:num>
  <w:num w:numId="26">
    <w:abstractNumId w:val="19"/>
  </w:num>
  <w:num w:numId="27">
    <w:abstractNumId w:val="28"/>
  </w:num>
  <w:num w:numId="28">
    <w:abstractNumId w:val="5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E73741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73741"/>
    <w:pPr>
      <w:spacing w:after="0" w:line="240" w:lineRule="auto"/>
    </w:pPr>
    <w:rPr>
      <w:rFonts w:ascii="Arial" w:hAnsi="Arial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2021-11-01T10:34:00Z</dcterms:created>
  <dcterms:modified xsi:type="dcterms:W3CDTF">2021-11-01T10:34:00Z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