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66CD3D10" w:rsidR="00AA23EC" w:rsidRDefault="00DD466D" w:rsidP="00DD466D">
      <w:pPr>
        <w:pStyle w:val="Heading1"/>
      </w:pPr>
      <w:r>
        <w:t>1.ИМЕ НА ЛЕКАРСТВЕНИЯ ПРОДУКТ</w:t>
      </w:r>
    </w:p>
    <w:p w14:paraId="6AAC7F47" w14:textId="769BB948" w:rsidR="00667ED5" w:rsidRDefault="00667ED5" w:rsidP="00667ED5"/>
    <w:p w14:paraId="6FA466EB" w14:textId="64B3AB47" w:rsidR="00667ED5" w:rsidRPr="00667ED5" w:rsidRDefault="00667ED5" w:rsidP="00667ED5">
      <w:pPr>
        <w:rPr>
          <w:sz w:val="24"/>
          <w:szCs w:val="24"/>
        </w:rPr>
      </w:pPr>
      <w:r>
        <w:rPr>
          <w:lang w:eastAsia="bg-BG"/>
        </w:rPr>
        <w:t>Зопиклон-Чеплафарм 7,5</w:t>
      </w:r>
      <w:r w:rsidRPr="00667ED5">
        <w:rPr>
          <w:lang w:val="en-US"/>
        </w:rPr>
        <w:t>mg</w:t>
      </w:r>
      <w:r w:rsidRPr="00667ED5">
        <w:t xml:space="preserve"> </w:t>
      </w:r>
      <w:r w:rsidRPr="00667ED5">
        <w:rPr>
          <w:lang w:eastAsia="bg-BG"/>
        </w:rPr>
        <w:t>филмирани таблетки</w:t>
      </w:r>
    </w:p>
    <w:p w14:paraId="110D40EE" w14:textId="12E907FE" w:rsidR="00667ED5" w:rsidRPr="00667ED5" w:rsidRDefault="00667ED5" w:rsidP="00667ED5">
      <w:pPr>
        <w:rPr>
          <w:sz w:val="24"/>
          <w:szCs w:val="24"/>
        </w:rPr>
      </w:pPr>
      <w:proofErr w:type="spellStart"/>
      <w:r w:rsidRPr="00667ED5">
        <w:rPr>
          <w:lang w:val="en-US"/>
        </w:rPr>
        <w:t>Zopiclon</w:t>
      </w:r>
      <w:proofErr w:type="spellEnd"/>
      <w:r w:rsidRPr="00667ED5">
        <w:t>-</w:t>
      </w:r>
      <w:proofErr w:type="spellStart"/>
      <w:r w:rsidRPr="00667ED5">
        <w:rPr>
          <w:lang w:val="en-US"/>
        </w:rPr>
        <w:t>Cheplapharm</w:t>
      </w:r>
      <w:proofErr w:type="spellEnd"/>
      <w:r>
        <w:t xml:space="preserve"> </w:t>
      </w:r>
      <w:r>
        <w:rPr>
          <w:lang w:eastAsia="bg-BG"/>
        </w:rPr>
        <w:t>7,5</w:t>
      </w:r>
      <w:r w:rsidRPr="00667ED5">
        <w:rPr>
          <w:lang w:val="en-US"/>
        </w:rPr>
        <w:t>mg</w:t>
      </w:r>
      <w:r w:rsidRPr="00667ED5">
        <w:t xml:space="preserve"> </w:t>
      </w:r>
      <w:r w:rsidRPr="00667ED5">
        <w:rPr>
          <w:lang w:val="en-US"/>
        </w:rPr>
        <w:t>film</w:t>
      </w:r>
      <w:r w:rsidRPr="00667ED5">
        <w:t>-</w:t>
      </w:r>
      <w:r w:rsidRPr="00667ED5">
        <w:rPr>
          <w:lang w:val="en-US"/>
        </w:rPr>
        <w:t>coated</w:t>
      </w:r>
      <w:r w:rsidRPr="00667ED5">
        <w:t xml:space="preserve"> </w:t>
      </w:r>
      <w:r w:rsidRPr="00667ED5">
        <w:rPr>
          <w:lang w:val="en-US"/>
        </w:rPr>
        <w:t>tablets</w:t>
      </w:r>
    </w:p>
    <w:p w14:paraId="4F1FEDF9" w14:textId="77777777" w:rsidR="00667ED5" w:rsidRPr="00667ED5" w:rsidRDefault="00667ED5" w:rsidP="00667ED5"/>
    <w:p w14:paraId="0A368469" w14:textId="4480B22B" w:rsidR="00C0049F" w:rsidRDefault="00DD466D" w:rsidP="009F1313">
      <w:pPr>
        <w:pStyle w:val="Heading1"/>
      </w:pPr>
      <w:r>
        <w:t>2. КАЧЕСТВЕН И КОЛИЧЕСТВЕН СЪСТАВ</w:t>
      </w:r>
    </w:p>
    <w:p w14:paraId="183FEEF2" w14:textId="67BE6CCA" w:rsidR="00667ED5" w:rsidRDefault="00667ED5" w:rsidP="00667ED5"/>
    <w:p w14:paraId="2543A21B" w14:textId="77777777" w:rsidR="00667ED5" w:rsidRPr="00667ED5" w:rsidRDefault="00667ED5" w:rsidP="00667ED5">
      <w:pPr>
        <w:rPr>
          <w:sz w:val="24"/>
          <w:szCs w:val="24"/>
        </w:rPr>
      </w:pPr>
      <w:r w:rsidRPr="00667ED5">
        <w:rPr>
          <w:lang w:eastAsia="bg-BG"/>
        </w:rPr>
        <w:t xml:space="preserve">Всяка филмирана таблетка съдържа 7,5 </w:t>
      </w:r>
      <w:r w:rsidRPr="00667ED5">
        <w:rPr>
          <w:lang w:val="en-US"/>
        </w:rPr>
        <w:t>mg</w:t>
      </w:r>
      <w:r w:rsidRPr="00667ED5">
        <w:t xml:space="preserve"> </w:t>
      </w:r>
      <w:r w:rsidRPr="00667ED5">
        <w:rPr>
          <w:lang w:eastAsia="bg-BG"/>
        </w:rPr>
        <w:t xml:space="preserve">Зопиклон </w:t>
      </w:r>
      <w:r w:rsidRPr="00667ED5">
        <w:rPr>
          <w:i/>
          <w:iCs/>
        </w:rPr>
        <w:t>(</w:t>
      </w:r>
      <w:proofErr w:type="spellStart"/>
      <w:r w:rsidRPr="00667ED5">
        <w:rPr>
          <w:i/>
          <w:iCs/>
          <w:lang w:val="en-US"/>
        </w:rPr>
        <w:t>Zopiclone</w:t>
      </w:r>
      <w:proofErr w:type="spellEnd"/>
      <w:r w:rsidRPr="00667ED5">
        <w:rPr>
          <w:i/>
          <w:iCs/>
        </w:rPr>
        <w:t>).</w:t>
      </w:r>
    </w:p>
    <w:p w14:paraId="3279B16D" w14:textId="77777777" w:rsidR="00667ED5" w:rsidRDefault="00667ED5" w:rsidP="00667ED5">
      <w:pPr>
        <w:rPr>
          <w:lang w:eastAsia="bg-BG"/>
        </w:rPr>
      </w:pPr>
    </w:p>
    <w:p w14:paraId="2EAE99CF" w14:textId="7B4F7648" w:rsidR="00667ED5" w:rsidRPr="00667ED5" w:rsidRDefault="00667ED5" w:rsidP="00667ED5">
      <w:pPr>
        <w:rPr>
          <w:sz w:val="24"/>
          <w:szCs w:val="24"/>
        </w:rPr>
      </w:pPr>
      <w:r w:rsidRPr="00667ED5">
        <w:rPr>
          <w:lang w:eastAsia="bg-BG"/>
        </w:rPr>
        <w:t>Помощни вещества: пшеничено нишесте, лактоза и др.</w:t>
      </w:r>
    </w:p>
    <w:p w14:paraId="0F60680A" w14:textId="77777777" w:rsidR="00667ED5" w:rsidRPr="00667ED5" w:rsidRDefault="00667ED5" w:rsidP="00667ED5"/>
    <w:p w14:paraId="614984C4" w14:textId="5BBEB50F" w:rsidR="008A6AF2" w:rsidRDefault="00DD466D" w:rsidP="002C50EE">
      <w:pPr>
        <w:pStyle w:val="Heading1"/>
      </w:pPr>
      <w:r>
        <w:t>3. ЛЕКАРСТВЕНА ФОРМА</w:t>
      </w:r>
    </w:p>
    <w:p w14:paraId="3E34DA5D" w14:textId="0CA9FA6E" w:rsidR="00667ED5" w:rsidRDefault="00667ED5" w:rsidP="00667ED5"/>
    <w:p w14:paraId="24377B64" w14:textId="77777777" w:rsidR="00667ED5" w:rsidRPr="00667ED5" w:rsidRDefault="00667ED5" w:rsidP="00667ED5">
      <w:pPr>
        <w:rPr>
          <w:sz w:val="24"/>
          <w:szCs w:val="24"/>
        </w:rPr>
      </w:pPr>
      <w:r w:rsidRPr="00667ED5">
        <w:rPr>
          <w:lang w:eastAsia="bg-BG"/>
        </w:rPr>
        <w:t>Филмирана таблетка.</w:t>
      </w:r>
    </w:p>
    <w:p w14:paraId="6FF8FCDD" w14:textId="7F855E80" w:rsidR="00667ED5" w:rsidRPr="00667ED5" w:rsidRDefault="00667ED5" w:rsidP="00667ED5">
      <w:r w:rsidRPr="00667ED5">
        <w:rPr>
          <w:lang w:eastAsia="bg-BG"/>
        </w:rPr>
        <w:t>Външен вид: бяла кръгла биконвексна филмирана таблетка с делителна черта.</w:t>
      </w:r>
    </w:p>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1A864943" w14:textId="3A875707" w:rsidR="00395555" w:rsidRDefault="00395555" w:rsidP="00395555"/>
    <w:p w14:paraId="4B11F5C4" w14:textId="77777777" w:rsidR="00667ED5" w:rsidRPr="00667ED5" w:rsidRDefault="00667ED5" w:rsidP="00667ED5">
      <w:pPr>
        <w:rPr>
          <w:sz w:val="24"/>
          <w:szCs w:val="24"/>
        </w:rPr>
      </w:pPr>
      <w:r w:rsidRPr="00667ED5">
        <w:rPr>
          <w:lang w:eastAsia="bg-BG"/>
        </w:rPr>
        <w:t>Краткосрочно лечение на преходни или хронични разстройства на съня, включващи трудно заспиване, често будене през нощта и ранно събуждане при възрастни.</w:t>
      </w:r>
    </w:p>
    <w:p w14:paraId="75226B33" w14:textId="77777777" w:rsidR="00667ED5" w:rsidRPr="00395555" w:rsidRDefault="00667ED5" w:rsidP="00395555"/>
    <w:p w14:paraId="7C0CA5EB" w14:textId="0B0E3D58" w:rsidR="00C0049F" w:rsidRDefault="002C50EE" w:rsidP="009F1313">
      <w:pPr>
        <w:pStyle w:val="Heading2"/>
      </w:pPr>
      <w:r>
        <w:t>4.2. Дозировка и начин на приложение</w:t>
      </w:r>
    </w:p>
    <w:p w14:paraId="3C5403FA" w14:textId="7E2971B2" w:rsidR="00667ED5" w:rsidRDefault="00667ED5" w:rsidP="00667ED5"/>
    <w:p w14:paraId="39C18F8A" w14:textId="77777777" w:rsidR="00667ED5" w:rsidRPr="00667ED5" w:rsidRDefault="00667ED5" w:rsidP="00667ED5">
      <w:pPr>
        <w:spacing w:line="240" w:lineRule="auto"/>
        <w:rPr>
          <w:rFonts w:eastAsia="Times New Roman" w:cs="Arial"/>
        </w:rPr>
      </w:pPr>
      <w:r w:rsidRPr="00667ED5">
        <w:rPr>
          <w:rFonts w:eastAsia="Times New Roman" w:cs="Arial"/>
          <w:color w:val="000000"/>
          <w:lang w:eastAsia="bg-BG"/>
        </w:rPr>
        <w:t xml:space="preserve">Обичайната препоръчвана доза за възрастни е 7,5 </w:t>
      </w:r>
      <w:r w:rsidRPr="00667ED5">
        <w:rPr>
          <w:rFonts w:eastAsia="Times New Roman" w:cs="Arial"/>
          <w:color w:val="000000"/>
          <w:lang w:val="en-US"/>
        </w:rPr>
        <w:t>mg</w:t>
      </w:r>
      <w:r w:rsidRPr="00667ED5">
        <w:rPr>
          <w:rFonts w:eastAsia="Times New Roman" w:cs="Arial"/>
          <w:color w:val="000000"/>
          <w:lang w:val="ru-RU"/>
        </w:rPr>
        <w:t xml:space="preserve"> </w:t>
      </w:r>
      <w:r w:rsidRPr="00667ED5">
        <w:rPr>
          <w:rFonts w:eastAsia="Times New Roman" w:cs="Arial"/>
          <w:color w:val="000000"/>
          <w:lang w:eastAsia="bg-BG"/>
        </w:rPr>
        <w:t xml:space="preserve">(1 таблетка) Зопиклон-Чеплафарм преди лягане. При пациенти в напреднала възраст, пациенти с чернодробна дисфункция или хронична респираторна недостатъчност, препоръчваната начална доза е 3,75 </w:t>
      </w:r>
      <w:r w:rsidRPr="00667ED5">
        <w:rPr>
          <w:rFonts w:eastAsia="Times New Roman" w:cs="Arial"/>
          <w:color w:val="000000"/>
          <w:lang w:val="en-US"/>
        </w:rPr>
        <w:t>mg</w:t>
      </w:r>
      <w:r w:rsidRPr="00667ED5">
        <w:rPr>
          <w:rFonts w:eastAsia="Times New Roman" w:cs="Arial"/>
          <w:color w:val="000000"/>
          <w:lang w:val="ru-RU"/>
        </w:rPr>
        <w:t xml:space="preserve"> </w:t>
      </w:r>
      <w:r w:rsidRPr="00667ED5">
        <w:rPr>
          <w:rFonts w:eastAsia="Times New Roman" w:cs="Arial"/>
          <w:color w:val="000000"/>
          <w:lang w:eastAsia="bg-BG"/>
        </w:rPr>
        <w:t xml:space="preserve">(1/2 таблетка) преди лягане, като е възможно дозата да се увеличи до 7,5 </w:t>
      </w:r>
      <w:r w:rsidRPr="00667ED5">
        <w:rPr>
          <w:rFonts w:eastAsia="Times New Roman" w:cs="Arial"/>
          <w:color w:val="000000"/>
          <w:lang w:val="en-US"/>
        </w:rPr>
        <w:t>mg</w:t>
      </w:r>
      <w:r w:rsidRPr="00667ED5">
        <w:rPr>
          <w:rFonts w:eastAsia="Times New Roman" w:cs="Arial"/>
          <w:color w:val="000000"/>
          <w:lang w:val="ru-RU"/>
        </w:rPr>
        <w:t xml:space="preserve"> </w:t>
      </w:r>
      <w:r w:rsidRPr="00667ED5">
        <w:rPr>
          <w:rFonts w:eastAsia="Times New Roman" w:cs="Arial"/>
          <w:color w:val="000000"/>
          <w:lang w:eastAsia="bg-BG"/>
        </w:rPr>
        <w:t xml:space="preserve">(1 таблетка) преди лягане, на следващия ден или в зависимост от индивидуалната поносимост. Препоръчителната доза при пациенти с тежко увредена бъбречна функция е 3,75 </w:t>
      </w:r>
      <w:r w:rsidRPr="00667ED5">
        <w:rPr>
          <w:rFonts w:eastAsia="Times New Roman" w:cs="Arial"/>
          <w:color w:val="000000"/>
          <w:lang w:val="en-US"/>
        </w:rPr>
        <w:t>mg</w:t>
      </w:r>
      <w:r w:rsidRPr="00667ED5">
        <w:rPr>
          <w:rFonts w:eastAsia="Times New Roman" w:cs="Arial"/>
          <w:color w:val="000000"/>
          <w:lang w:val="ru-RU"/>
        </w:rPr>
        <w:t xml:space="preserve"> </w:t>
      </w:r>
      <w:r w:rsidRPr="00667ED5">
        <w:rPr>
          <w:rFonts w:eastAsia="Times New Roman" w:cs="Arial"/>
          <w:color w:val="000000"/>
          <w:lang w:eastAsia="bg-BG"/>
        </w:rPr>
        <w:t>(1/2 таблетка) Зопиклон-Чеплафарм преди лягане.</w:t>
      </w:r>
    </w:p>
    <w:p w14:paraId="51AC6850" w14:textId="77777777" w:rsidR="00667ED5" w:rsidRPr="00667ED5" w:rsidRDefault="00667ED5" w:rsidP="00667ED5">
      <w:pPr>
        <w:spacing w:line="240" w:lineRule="auto"/>
        <w:rPr>
          <w:rFonts w:eastAsia="Times New Roman" w:cs="Arial"/>
        </w:rPr>
      </w:pPr>
      <w:r w:rsidRPr="00667ED5">
        <w:rPr>
          <w:rFonts w:eastAsia="Times New Roman" w:cs="Arial"/>
          <w:color w:val="000000"/>
          <w:lang w:eastAsia="bg-BG"/>
        </w:rPr>
        <w:t xml:space="preserve">Продължителността на лечение трябва да бъде възможно най-кратка и не трябва да бъде повече от </w:t>
      </w:r>
      <w:r w:rsidRPr="00667ED5">
        <w:rPr>
          <w:rFonts w:eastAsia="Times New Roman" w:cs="Arial"/>
          <w:i/>
          <w:iCs/>
          <w:color w:val="000000"/>
          <w:lang w:eastAsia="bg-BG"/>
        </w:rPr>
        <w:t>28</w:t>
      </w:r>
      <w:r w:rsidRPr="00667ED5">
        <w:rPr>
          <w:rFonts w:eastAsia="Times New Roman" w:cs="Arial"/>
          <w:color w:val="000000"/>
          <w:lang w:eastAsia="bg-BG"/>
        </w:rPr>
        <w:t xml:space="preserve"> дни, включително периода за постепенно намаляване на дозата. Продължителността на лечение </w:t>
      </w:r>
      <w:r w:rsidRPr="00667ED5">
        <w:rPr>
          <w:rFonts w:eastAsia="Times New Roman" w:cs="Arial"/>
          <w:i/>
          <w:iCs/>
          <w:color w:val="000000"/>
          <w:lang w:eastAsia="bg-BG"/>
        </w:rPr>
        <w:t>при</w:t>
      </w:r>
      <w:r w:rsidRPr="00667ED5">
        <w:rPr>
          <w:rFonts w:eastAsia="Times New Roman" w:cs="Arial"/>
          <w:color w:val="000000"/>
          <w:lang w:eastAsia="bg-BG"/>
        </w:rPr>
        <w:t xml:space="preserve"> преходно безсъние е 2-5 дни, докато при краткотрайно безсъние трябва да продължи 2-3 седмици.</w:t>
      </w:r>
    </w:p>
    <w:p w14:paraId="74CD681A" w14:textId="77777777" w:rsidR="00667ED5" w:rsidRPr="00667ED5" w:rsidRDefault="00667ED5" w:rsidP="00667ED5">
      <w:pPr>
        <w:spacing w:line="240" w:lineRule="auto"/>
        <w:rPr>
          <w:rFonts w:eastAsia="Times New Roman" w:cs="Arial"/>
          <w:color w:val="000000"/>
          <w:u w:val="single"/>
          <w:lang w:eastAsia="bg-BG"/>
        </w:rPr>
      </w:pPr>
    </w:p>
    <w:p w14:paraId="5E2AB454" w14:textId="009F27FB" w:rsidR="00667ED5" w:rsidRPr="00667ED5" w:rsidRDefault="00667ED5" w:rsidP="00667ED5">
      <w:pPr>
        <w:pStyle w:val="Heading3"/>
        <w:rPr>
          <w:rFonts w:eastAsia="Times New Roman"/>
          <w:sz w:val="22"/>
          <w:szCs w:val="22"/>
          <w:u w:val="single"/>
        </w:rPr>
      </w:pPr>
      <w:r w:rsidRPr="00667ED5">
        <w:rPr>
          <w:rFonts w:eastAsia="Times New Roman"/>
          <w:sz w:val="22"/>
          <w:szCs w:val="22"/>
          <w:u w:val="single"/>
          <w:lang w:eastAsia="bg-BG"/>
        </w:rPr>
        <w:t>Начин на приложение</w:t>
      </w:r>
    </w:p>
    <w:p w14:paraId="2754F09B" w14:textId="77777777" w:rsidR="00667ED5" w:rsidRPr="00667ED5" w:rsidRDefault="00667ED5" w:rsidP="00667ED5">
      <w:pPr>
        <w:spacing w:line="240" w:lineRule="auto"/>
        <w:rPr>
          <w:rFonts w:eastAsia="Times New Roman" w:cs="Arial"/>
        </w:rPr>
      </w:pPr>
      <w:r w:rsidRPr="00667ED5">
        <w:rPr>
          <w:rFonts w:eastAsia="Times New Roman" w:cs="Arial"/>
          <w:color w:val="000000"/>
          <w:lang w:eastAsia="bg-BG"/>
        </w:rPr>
        <w:t xml:space="preserve">Лекарственият продукт трябва да се приема вечер, непосредствено преди лягане, с достатъчно количество течност (около 200 </w:t>
      </w:r>
      <w:r w:rsidRPr="00667ED5">
        <w:rPr>
          <w:rFonts w:eastAsia="Times New Roman" w:cs="Arial"/>
          <w:color w:val="000000"/>
          <w:lang w:val="en-US"/>
        </w:rPr>
        <w:t>ml</w:t>
      </w:r>
      <w:r w:rsidRPr="00667ED5">
        <w:rPr>
          <w:rFonts w:eastAsia="Times New Roman" w:cs="Arial"/>
          <w:color w:val="000000"/>
          <w:lang w:val="ru-RU"/>
        </w:rPr>
        <w:t>).</w:t>
      </w:r>
    </w:p>
    <w:p w14:paraId="16FBBEBD" w14:textId="77777777" w:rsidR="00667ED5" w:rsidRPr="00667ED5" w:rsidRDefault="00667ED5" w:rsidP="00667ED5"/>
    <w:p w14:paraId="62B13D0B" w14:textId="0B37E550" w:rsidR="00395555" w:rsidRDefault="002C50EE" w:rsidP="008A6AF2">
      <w:pPr>
        <w:pStyle w:val="Heading2"/>
      </w:pPr>
      <w:r>
        <w:lastRenderedPageBreak/>
        <w:t>4.3. Противопоказания</w:t>
      </w:r>
    </w:p>
    <w:p w14:paraId="7A64E9A1" w14:textId="0C63AED7" w:rsidR="00667ED5" w:rsidRDefault="00667ED5" w:rsidP="00667ED5"/>
    <w:p w14:paraId="283DEDBA" w14:textId="77777777" w:rsidR="00667ED5" w:rsidRPr="00667ED5" w:rsidRDefault="00667ED5" w:rsidP="00667ED5">
      <w:pPr>
        <w:pStyle w:val="ListParagraph"/>
        <w:numPr>
          <w:ilvl w:val="0"/>
          <w:numId w:val="32"/>
        </w:numPr>
        <w:rPr>
          <w:sz w:val="24"/>
          <w:szCs w:val="24"/>
        </w:rPr>
      </w:pPr>
      <w:r w:rsidRPr="00667ED5">
        <w:rPr>
          <w:lang w:eastAsia="bg-BG"/>
        </w:rPr>
        <w:t>свръхчувствителност към активното вещество или към някое от помощните вещества; миастения гравис;</w:t>
      </w:r>
    </w:p>
    <w:p w14:paraId="6AD5B20A" w14:textId="77777777" w:rsidR="00667ED5" w:rsidRPr="00667ED5" w:rsidRDefault="00667ED5" w:rsidP="00667ED5">
      <w:pPr>
        <w:pStyle w:val="ListParagraph"/>
        <w:numPr>
          <w:ilvl w:val="0"/>
          <w:numId w:val="32"/>
        </w:numPr>
        <w:rPr>
          <w:sz w:val="24"/>
          <w:szCs w:val="24"/>
        </w:rPr>
      </w:pPr>
      <w:r w:rsidRPr="00667ED5">
        <w:rPr>
          <w:lang w:eastAsia="bg-BG"/>
        </w:rPr>
        <w:t>изразена дихателна недостатъчност;</w:t>
      </w:r>
    </w:p>
    <w:p w14:paraId="231C0FB0" w14:textId="77777777" w:rsidR="00667ED5" w:rsidRPr="00667ED5" w:rsidRDefault="00667ED5" w:rsidP="00667ED5">
      <w:pPr>
        <w:pStyle w:val="ListParagraph"/>
        <w:numPr>
          <w:ilvl w:val="0"/>
          <w:numId w:val="32"/>
        </w:numPr>
        <w:rPr>
          <w:sz w:val="24"/>
          <w:szCs w:val="24"/>
        </w:rPr>
      </w:pPr>
      <w:r w:rsidRPr="00667ED5">
        <w:rPr>
          <w:lang w:eastAsia="bg-BG"/>
        </w:rPr>
        <w:t>синдром на апнея по време на сън;</w:t>
      </w:r>
    </w:p>
    <w:p w14:paraId="069295B4" w14:textId="77777777" w:rsidR="00667ED5" w:rsidRPr="00667ED5" w:rsidRDefault="00667ED5" w:rsidP="00667ED5">
      <w:pPr>
        <w:pStyle w:val="ListParagraph"/>
        <w:numPr>
          <w:ilvl w:val="0"/>
          <w:numId w:val="32"/>
        </w:numPr>
        <w:rPr>
          <w:sz w:val="24"/>
          <w:szCs w:val="24"/>
        </w:rPr>
      </w:pPr>
      <w:r w:rsidRPr="00667ED5">
        <w:rPr>
          <w:lang w:eastAsia="bg-BG"/>
        </w:rPr>
        <w:t>изразена чернодробна недостатъчност.</w:t>
      </w:r>
    </w:p>
    <w:p w14:paraId="67373091" w14:textId="40E5392B" w:rsidR="00667ED5" w:rsidRDefault="00667ED5" w:rsidP="00667ED5"/>
    <w:p w14:paraId="34CF0ABA" w14:textId="6BCD1EC8" w:rsidR="00667ED5" w:rsidRDefault="00667ED5" w:rsidP="00667ED5">
      <w:r>
        <w:t>Този лекарствен продукт не трябва да се прилага по време на бременност и кърмене и при деца и юноши под 18-годишна възраст поради липсата на достатъчен клиничен опит с тези групи пациенти.</w:t>
      </w:r>
    </w:p>
    <w:p w14:paraId="3722C7A2" w14:textId="77777777" w:rsidR="00667ED5" w:rsidRPr="00667ED5" w:rsidRDefault="00667ED5" w:rsidP="00667ED5"/>
    <w:p w14:paraId="5A4AC413" w14:textId="4C5157C2" w:rsidR="00395555" w:rsidRDefault="002C50EE" w:rsidP="008A6AF2">
      <w:pPr>
        <w:pStyle w:val="Heading2"/>
      </w:pPr>
      <w:r>
        <w:t>4.4. Специални предупреждения и предпазни мерки при употреба</w:t>
      </w:r>
    </w:p>
    <w:p w14:paraId="67A0995F" w14:textId="1728C0EF" w:rsidR="00667ED5" w:rsidRDefault="00667ED5" w:rsidP="00667ED5"/>
    <w:p w14:paraId="4A7E32F3" w14:textId="77777777" w:rsidR="00667ED5" w:rsidRPr="00667ED5" w:rsidRDefault="00667ED5" w:rsidP="00667ED5">
      <w:pPr>
        <w:spacing w:line="240" w:lineRule="auto"/>
        <w:rPr>
          <w:rFonts w:eastAsia="Times New Roman" w:cs="Arial"/>
          <w:sz w:val="24"/>
          <w:szCs w:val="24"/>
        </w:rPr>
      </w:pPr>
      <w:bookmarkStart w:id="1" w:name="bookmark0"/>
      <w:r w:rsidRPr="00667ED5">
        <w:rPr>
          <w:rFonts w:eastAsia="Times New Roman" w:cs="Arial"/>
          <w:b/>
          <w:bCs/>
          <w:color w:val="000000"/>
          <w:lang w:eastAsia="bg-BG"/>
        </w:rPr>
        <w:t>Толеранс</w:t>
      </w:r>
      <w:bookmarkEnd w:id="1"/>
    </w:p>
    <w:p w14:paraId="66756C8A" w14:textId="77777777" w:rsidR="00667ED5" w:rsidRPr="00667ED5" w:rsidRDefault="00667ED5" w:rsidP="00667ED5">
      <w:pPr>
        <w:spacing w:line="240" w:lineRule="auto"/>
        <w:rPr>
          <w:rFonts w:eastAsia="Times New Roman" w:cs="Arial"/>
          <w:sz w:val="24"/>
          <w:szCs w:val="24"/>
        </w:rPr>
      </w:pPr>
      <w:r w:rsidRPr="00667ED5">
        <w:rPr>
          <w:rFonts w:eastAsia="Times New Roman" w:cs="Arial"/>
          <w:color w:val="000000"/>
          <w:lang w:eastAsia="bg-BG"/>
        </w:rPr>
        <w:t>След няколко-седмична редовна употреба на бензодиазепините и бензодиазепино-подобните продукти може да се настъпи отслабване на сънотворните ефекти. Все пак, при зопиклон няма поява на толеранс при период на лечение до 4 седмици.</w:t>
      </w:r>
    </w:p>
    <w:p w14:paraId="2C0A2340" w14:textId="77777777" w:rsidR="00667ED5" w:rsidRPr="00667ED5" w:rsidRDefault="00667ED5" w:rsidP="00667ED5">
      <w:pPr>
        <w:spacing w:line="240" w:lineRule="auto"/>
        <w:rPr>
          <w:rFonts w:eastAsia="Times New Roman" w:cs="Arial"/>
          <w:b/>
          <w:bCs/>
          <w:color w:val="000000"/>
          <w:lang w:eastAsia="bg-BG"/>
        </w:rPr>
      </w:pPr>
      <w:bookmarkStart w:id="2" w:name="bookmark2"/>
    </w:p>
    <w:p w14:paraId="41D1E949" w14:textId="17156D2D" w:rsidR="00667ED5" w:rsidRPr="00667ED5" w:rsidRDefault="00667ED5" w:rsidP="00667ED5">
      <w:pPr>
        <w:spacing w:line="240" w:lineRule="auto"/>
        <w:rPr>
          <w:rFonts w:eastAsia="Times New Roman" w:cs="Arial"/>
          <w:sz w:val="24"/>
          <w:szCs w:val="24"/>
        </w:rPr>
      </w:pPr>
      <w:r w:rsidRPr="00667ED5">
        <w:rPr>
          <w:rFonts w:eastAsia="Times New Roman" w:cs="Arial"/>
          <w:b/>
          <w:bCs/>
          <w:color w:val="000000"/>
          <w:lang w:eastAsia="bg-BG"/>
        </w:rPr>
        <w:t>Зависимост</w:t>
      </w:r>
      <w:bookmarkEnd w:id="2"/>
    </w:p>
    <w:p w14:paraId="2CEF78BA" w14:textId="77777777" w:rsidR="00667ED5" w:rsidRPr="00667ED5" w:rsidRDefault="00667ED5" w:rsidP="00667ED5">
      <w:pPr>
        <w:spacing w:line="240" w:lineRule="auto"/>
        <w:rPr>
          <w:rFonts w:eastAsia="Times New Roman" w:cs="Arial"/>
          <w:sz w:val="24"/>
          <w:szCs w:val="24"/>
        </w:rPr>
      </w:pPr>
      <w:r w:rsidRPr="00667ED5">
        <w:rPr>
          <w:rFonts w:eastAsia="Times New Roman" w:cs="Arial"/>
          <w:color w:val="000000"/>
          <w:lang w:eastAsia="bg-BG"/>
        </w:rPr>
        <w:t>Употребата на бензодиазепините и бензодиазепино-подобните продукти може да доведе до развитие на физическа и психическа зависимост към тези продукти. Рискът от развитие на зависимост нараства с дозата и продължителността на лечението; той е висок също и при пациенти с история за алкохолна или наркотична зависимост. След развитие на физическа зависимост, внезапното прекратяване на лечението ще бъде придружено с абстинентни сиптоми. Те могат да се проявят с главоболие, мускулни болки, силно изразено чувство на тревожност, напрегнатост, безпокойство, обърканост и раздразнителност. При тежки случаи могат да възникнат следните симптоми - дезориентация, деперсонализация, хиперакузис, изтръпване и хиперстезии по крайниците, фотофобия, халюцинации или епилептични припадъци.</w:t>
      </w:r>
    </w:p>
    <w:p w14:paraId="685EC76C" w14:textId="77777777" w:rsidR="00667ED5" w:rsidRPr="00667ED5" w:rsidRDefault="00667ED5" w:rsidP="00667ED5">
      <w:pPr>
        <w:spacing w:line="240" w:lineRule="auto"/>
        <w:rPr>
          <w:rFonts w:eastAsia="Times New Roman" w:cs="Arial"/>
          <w:color w:val="000000"/>
          <w:lang w:eastAsia="bg-BG"/>
        </w:rPr>
      </w:pPr>
    </w:p>
    <w:p w14:paraId="79F73DED" w14:textId="5534DF13" w:rsidR="00667ED5" w:rsidRPr="00667ED5" w:rsidRDefault="00667ED5" w:rsidP="00667ED5">
      <w:pPr>
        <w:spacing w:line="240" w:lineRule="auto"/>
        <w:rPr>
          <w:rFonts w:eastAsia="Times New Roman" w:cs="Arial"/>
          <w:sz w:val="24"/>
          <w:szCs w:val="24"/>
        </w:rPr>
      </w:pPr>
      <w:r w:rsidRPr="00667ED5">
        <w:rPr>
          <w:rFonts w:eastAsia="Times New Roman" w:cs="Arial"/>
          <w:color w:val="000000"/>
          <w:lang w:eastAsia="bg-BG"/>
        </w:rPr>
        <w:t>Рецидивиращо безсъние: преходен синдром при който симптомите, довели до лечението с бензодиазепини и бензодиазепино-подобни продукти, могат до се появяват отново в по-силна форма при прекратяване на лечението. Това може да бъде придружено с други реакции, включващи промени на настроението, тревожност или нарушения на съня и безпокойство. Рискът от рецидивиращо безсъние след внезапно прекратяване на лечението със зопиклон не може да бъде изключен, особено след продължително лечение. Поради това е препоръчително дозата да се намалява постепенно и пациентите да бъдат инструктирани за това (Вижте също точка 4.8).</w:t>
      </w:r>
    </w:p>
    <w:p w14:paraId="2613807C" w14:textId="77777777" w:rsidR="00667ED5" w:rsidRPr="00667ED5" w:rsidRDefault="00667ED5" w:rsidP="00667ED5">
      <w:pPr>
        <w:spacing w:line="240" w:lineRule="auto"/>
        <w:rPr>
          <w:rFonts w:eastAsia="Times New Roman" w:cs="Arial"/>
          <w:b/>
          <w:bCs/>
          <w:color w:val="000000"/>
          <w:lang w:eastAsia="bg-BG"/>
        </w:rPr>
      </w:pPr>
      <w:bookmarkStart w:id="3" w:name="bookmark4"/>
    </w:p>
    <w:p w14:paraId="1D0F9C72" w14:textId="3E88EDB1" w:rsidR="00667ED5" w:rsidRPr="00667ED5" w:rsidRDefault="00667ED5" w:rsidP="00667ED5">
      <w:pPr>
        <w:spacing w:line="240" w:lineRule="auto"/>
        <w:rPr>
          <w:rFonts w:eastAsia="Times New Roman" w:cs="Arial"/>
          <w:sz w:val="24"/>
          <w:szCs w:val="24"/>
        </w:rPr>
      </w:pPr>
      <w:r w:rsidRPr="00667ED5">
        <w:rPr>
          <w:rFonts w:eastAsia="Times New Roman" w:cs="Arial"/>
          <w:b/>
          <w:bCs/>
          <w:color w:val="000000"/>
          <w:lang w:eastAsia="bg-BG"/>
        </w:rPr>
        <w:t>Продължителност на лечението</w:t>
      </w:r>
      <w:bookmarkEnd w:id="3"/>
    </w:p>
    <w:p w14:paraId="7AF171E4" w14:textId="77777777" w:rsidR="00667ED5" w:rsidRPr="00667ED5" w:rsidRDefault="00667ED5" w:rsidP="00667ED5">
      <w:pPr>
        <w:spacing w:line="240" w:lineRule="auto"/>
        <w:rPr>
          <w:rFonts w:eastAsia="Times New Roman" w:cs="Arial"/>
          <w:sz w:val="24"/>
          <w:szCs w:val="24"/>
        </w:rPr>
      </w:pPr>
      <w:r w:rsidRPr="00667ED5">
        <w:rPr>
          <w:rFonts w:eastAsia="Times New Roman" w:cs="Arial"/>
          <w:color w:val="000000"/>
          <w:lang w:eastAsia="bg-BG"/>
        </w:rPr>
        <w:t xml:space="preserve">Продължителността на лечението трябва да бъде колкото е възможно по-кратка (вижте Дозировка) в зависимост от показанието, като не трябва да надхвърля 4 седмици, включително постепенното спиране. Удължаване на този период не трябва да се предприема без повторна преценка на ситуацията. Може да бъде полезно да се информира пациента при започване на лечението, че продължителността му ще бъде ограничена и да се обясни точно как дозата да бъде намалена постепенно. Освен това, е важно пациентът да бъде наясно за възможността от настъпване на рецидив с цел </w:t>
      </w:r>
      <w:r w:rsidRPr="00667ED5">
        <w:rPr>
          <w:rFonts w:eastAsia="Times New Roman" w:cs="Arial"/>
          <w:color w:val="000000"/>
          <w:lang w:eastAsia="bg-BG"/>
        </w:rPr>
        <w:lastRenderedPageBreak/>
        <w:t>минимизиране на притеснението му при настъпване на тези симптоми при прекратяване на лечението.</w:t>
      </w:r>
    </w:p>
    <w:p w14:paraId="226602DF" w14:textId="77777777" w:rsidR="00667ED5" w:rsidRPr="00667ED5" w:rsidRDefault="00667ED5" w:rsidP="00667ED5">
      <w:pPr>
        <w:spacing w:line="240" w:lineRule="auto"/>
        <w:rPr>
          <w:rFonts w:eastAsia="Times New Roman" w:cs="Arial"/>
          <w:color w:val="000000"/>
          <w:lang w:eastAsia="bg-BG"/>
        </w:rPr>
      </w:pPr>
    </w:p>
    <w:p w14:paraId="1BAB25AD" w14:textId="2D1F3CA3" w:rsidR="00667ED5" w:rsidRPr="00667ED5" w:rsidRDefault="00667ED5" w:rsidP="00667ED5">
      <w:pPr>
        <w:spacing w:line="240" w:lineRule="auto"/>
        <w:rPr>
          <w:rFonts w:eastAsia="Times New Roman" w:cs="Arial"/>
          <w:sz w:val="24"/>
          <w:szCs w:val="24"/>
        </w:rPr>
      </w:pPr>
      <w:r w:rsidRPr="00667ED5">
        <w:rPr>
          <w:rFonts w:eastAsia="Times New Roman" w:cs="Arial"/>
          <w:color w:val="000000"/>
          <w:lang w:eastAsia="bg-BG"/>
        </w:rPr>
        <w:t>Има индикации, че при прилагане на бензодиазепини и бензодиазепино-подобни продукти с кратко действие, абстиненти симптоми може да се появят през дозовия интервал, особено когато дозите са високи.</w:t>
      </w:r>
    </w:p>
    <w:p w14:paraId="71A6F559" w14:textId="77777777" w:rsidR="00667ED5" w:rsidRPr="00667ED5" w:rsidRDefault="00667ED5" w:rsidP="00667ED5">
      <w:pPr>
        <w:spacing w:line="240" w:lineRule="auto"/>
        <w:rPr>
          <w:rFonts w:eastAsia="Times New Roman" w:cs="Arial"/>
          <w:b/>
          <w:bCs/>
          <w:color w:val="000000"/>
          <w:lang w:eastAsia="bg-BG"/>
        </w:rPr>
      </w:pPr>
      <w:bookmarkStart w:id="4" w:name="bookmark6"/>
    </w:p>
    <w:p w14:paraId="0FD11C6B" w14:textId="3B6A21FF" w:rsidR="00667ED5" w:rsidRPr="00667ED5" w:rsidRDefault="00667ED5" w:rsidP="00667ED5">
      <w:pPr>
        <w:spacing w:line="240" w:lineRule="auto"/>
        <w:rPr>
          <w:rFonts w:eastAsia="Times New Roman" w:cs="Arial"/>
          <w:sz w:val="24"/>
          <w:szCs w:val="24"/>
        </w:rPr>
      </w:pPr>
      <w:r w:rsidRPr="00667ED5">
        <w:rPr>
          <w:rFonts w:eastAsia="Times New Roman" w:cs="Arial"/>
          <w:b/>
          <w:bCs/>
          <w:color w:val="000000"/>
          <w:lang w:eastAsia="bg-BG"/>
        </w:rPr>
        <w:t>Амнезия</w:t>
      </w:r>
      <w:bookmarkEnd w:id="4"/>
    </w:p>
    <w:p w14:paraId="643BDBAF" w14:textId="77777777" w:rsidR="00667ED5" w:rsidRPr="00667ED5" w:rsidRDefault="00667ED5" w:rsidP="00667ED5">
      <w:pPr>
        <w:spacing w:line="240" w:lineRule="auto"/>
        <w:rPr>
          <w:rFonts w:eastAsia="Times New Roman" w:cs="Arial"/>
          <w:sz w:val="24"/>
          <w:szCs w:val="24"/>
        </w:rPr>
      </w:pPr>
      <w:r w:rsidRPr="00667ED5">
        <w:rPr>
          <w:rFonts w:eastAsia="Times New Roman" w:cs="Arial"/>
          <w:color w:val="000000"/>
          <w:lang w:eastAsia="bg-BG"/>
        </w:rPr>
        <w:t>Бензодиазепините и бензодиазепино-подобните продукти може да предизвикат антероградна амнезия. Това състояние настъпва най-често няколко часа след приема на продукта и поради това за намаляване на риска от него, пациентите трябва да си осигурят непрекъснат сън 7-8 часа (Вижте също точка 4.8).</w:t>
      </w:r>
    </w:p>
    <w:p w14:paraId="21D31F72" w14:textId="77777777" w:rsidR="00667ED5" w:rsidRPr="00667ED5" w:rsidRDefault="00667ED5" w:rsidP="00667ED5">
      <w:pPr>
        <w:spacing w:line="240" w:lineRule="auto"/>
        <w:rPr>
          <w:rFonts w:eastAsia="Times New Roman" w:cs="Arial"/>
          <w:b/>
          <w:bCs/>
          <w:color w:val="000000"/>
          <w:lang w:eastAsia="bg-BG"/>
        </w:rPr>
      </w:pPr>
      <w:bookmarkStart w:id="5" w:name="bookmark8"/>
    </w:p>
    <w:p w14:paraId="6767A5DC" w14:textId="3E60C785" w:rsidR="00667ED5" w:rsidRPr="00667ED5" w:rsidRDefault="00667ED5" w:rsidP="00667ED5">
      <w:pPr>
        <w:spacing w:line="240" w:lineRule="auto"/>
        <w:rPr>
          <w:rFonts w:eastAsia="Times New Roman" w:cs="Arial"/>
          <w:sz w:val="24"/>
          <w:szCs w:val="24"/>
        </w:rPr>
      </w:pPr>
      <w:r w:rsidRPr="00667ED5">
        <w:rPr>
          <w:rFonts w:eastAsia="Times New Roman" w:cs="Arial"/>
          <w:b/>
          <w:bCs/>
          <w:color w:val="000000"/>
          <w:lang w:eastAsia="bg-BG"/>
        </w:rPr>
        <w:t>Психотнчни и парадоксални реакции</w:t>
      </w:r>
      <w:bookmarkEnd w:id="5"/>
    </w:p>
    <w:p w14:paraId="0E52C83C" w14:textId="77777777" w:rsidR="00667ED5" w:rsidRPr="00667ED5" w:rsidRDefault="00667ED5" w:rsidP="00667ED5">
      <w:pPr>
        <w:spacing w:line="240" w:lineRule="auto"/>
        <w:rPr>
          <w:rFonts w:eastAsia="Times New Roman" w:cs="Arial"/>
          <w:sz w:val="24"/>
          <w:szCs w:val="24"/>
        </w:rPr>
      </w:pPr>
      <w:r w:rsidRPr="00667ED5">
        <w:rPr>
          <w:rFonts w:eastAsia="Times New Roman" w:cs="Arial"/>
          <w:color w:val="000000"/>
          <w:lang w:eastAsia="bg-BG"/>
        </w:rPr>
        <w:t>Известно е, че реакции като безпокойство, възбуда, раздразнителност, агресивност, заблуда, ярост, кошмари, халюцинации, психози, несъответстващо настроение и други неблагоприятни ефекти</w:t>
      </w:r>
    </w:p>
    <w:p w14:paraId="2843C1A5" w14:textId="77777777" w:rsidR="00667ED5" w:rsidRPr="00667ED5" w:rsidRDefault="00667ED5" w:rsidP="00667ED5">
      <w:pPr>
        <w:rPr>
          <w:rFonts w:eastAsia="Times New Roman" w:cs="Arial"/>
          <w:sz w:val="24"/>
          <w:szCs w:val="24"/>
        </w:rPr>
      </w:pPr>
      <w:r w:rsidRPr="00667ED5">
        <w:rPr>
          <w:rFonts w:eastAsia="Times New Roman" w:cs="Arial"/>
          <w:color w:val="000000"/>
          <w:lang w:eastAsia="bg-BG"/>
        </w:rPr>
        <w:t>върху настроението настъпват при употребата на бензодиазепини и бензодиазепино-подобни продукти. При настъпване на такова състояние лечението трябва да се прекрати. Тези реакции настъпват най-често при пациенти в старческа възраст.</w:t>
      </w:r>
    </w:p>
    <w:p w14:paraId="3DDDFDC0" w14:textId="77777777" w:rsidR="00667ED5" w:rsidRPr="00667ED5" w:rsidRDefault="00667ED5" w:rsidP="00667ED5">
      <w:pPr>
        <w:spacing w:line="240" w:lineRule="auto"/>
        <w:rPr>
          <w:rFonts w:eastAsia="Times New Roman" w:cs="Arial"/>
          <w:b/>
          <w:bCs/>
          <w:color w:val="000000"/>
          <w:u w:val="single"/>
          <w:lang w:eastAsia="bg-BG"/>
        </w:rPr>
      </w:pPr>
    </w:p>
    <w:p w14:paraId="4A689A00" w14:textId="4EA227CF" w:rsidR="00667ED5" w:rsidRPr="00667ED5" w:rsidRDefault="00667ED5" w:rsidP="00667ED5">
      <w:pPr>
        <w:spacing w:line="240" w:lineRule="auto"/>
        <w:rPr>
          <w:rFonts w:eastAsia="Times New Roman" w:cs="Arial"/>
          <w:sz w:val="24"/>
          <w:szCs w:val="24"/>
        </w:rPr>
      </w:pPr>
      <w:r w:rsidRPr="00667ED5">
        <w:rPr>
          <w:rFonts w:eastAsia="Times New Roman" w:cs="Arial"/>
          <w:b/>
          <w:bCs/>
          <w:color w:val="000000"/>
          <w:u w:val="single"/>
          <w:lang w:eastAsia="bg-BG"/>
        </w:rPr>
        <w:t>Специални групи пациенти</w:t>
      </w:r>
    </w:p>
    <w:p w14:paraId="6FDA8E58" w14:textId="77777777" w:rsidR="00667ED5" w:rsidRPr="00667ED5" w:rsidRDefault="00667ED5" w:rsidP="00667ED5">
      <w:pPr>
        <w:spacing w:line="240" w:lineRule="auto"/>
        <w:rPr>
          <w:rFonts w:eastAsia="Times New Roman" w:cs="Arial"/>
          <w:color w:val="000000"/>
          <w:lang w:eastAsia="bg-BG"/>
        </w:rPr>
      </w:pPr>
    </w:p>
    <w:p w14:paraId="60EDFAA8" w14:textId="24B5DC8B" w:rsidR="00667ED5" w:rsidRPr="00667ED5" w:rsidRDefault="00667ED5" w:rsidP="00667ED5">
      <w:pPr>
        <w:spacing w:line="240" w:lineRule="auto"/>
        <w:rPr>
          <w:rFonts w:eastAsia="Times New Roman" w:cs="Arial"/>
          <w:color w:val="000000"/>
          <w:lang w:eastAsia="bg-BG"/>
        </w:rPr>
      </w:pPr>
      <w:r w:rsidRPr="00667ED5">
        <w:rPr>
          <w:rFonts w:eastAsia="Times New Roman" w:cs="Arial"/>
          <w:color w:val="000000"/>
          <w:lang w:eastAsia="bg-BG"/>
        </w:rPr>
        <w:t xml:space="preserve">На пациенти в старческа възраст трябва да се дава намалена доза (вижте Дозировка). По-малка </w:t>
      </w:r>
    </w:p>
    <w:p w14:paraId="23AB21CD" w14:textId="77777777" w:rsidR="00667ED5" w:rsidRPr="00667ED5" w:rsidRDefault="00667ED5" w:rsidP="00667ED5">
      <w:pPr>
        <w:spacing w:line="240" w:lineRule="auto"/>
        <w:rPr>
          <w:rFonts w:eastAsia="Times New Roman" w:cs="Arial"/>
          <w:color w:val="000000"/>
          <w:lang w:eastAsia="bg-BG"/>
        </w:rPr>
      </w:pPr>
      <w:r w:rsidRPr="00667ED5">
        <w:rPr>
          <w:rFonts w:eastAsia="Times New Roman" w:cs="Arial"/>
          <w:color w:val="000000"/>
          <w:lang w:eastAsia="bg-BG"/>
        </w:rPr>
        <w:t xml:space="preserve">доза се препоръчва също при пациенти с хронична дихателна недостатъчност поради риска от дихателна депресия. Бензодиазепините и бензодиазепино-подобните продукти не са показани за пациенти с изразена чернодробна недостатъчност, тъй като може да прерасне в енцефалопатия. </w:t>
      </w:r>
    </w:p>
    <w:p w14:paraId="69194452" w14:textId="77777777" w:rsidR="00667ED5" w:rsidRPr="00667ED5" w:rsidRDefault="00667ED5" w:rsidP="00667ED5">
      <w:pPr>
        <w:spacing w:line="240" w:lineRule="auto"/>
        <w:rPr>
          <w:rFonts w:eastAsia="Times New Roman" w:cs="Arial"/>
          <w:color w:val="000000"/>
          <w:lang w:eastAsia="bg-BG"/>
        </w:rPr>
      </w:pPr>
    </w:p>
    <w:p w14:paraId="74910A0A" w14:textId="773C8DCF" w:rsidR="00667ED5" w:rsidRPr="00667ED5" w:rsidRDefault="00667ED5" w:rsidP="00667ED5">
      <w:pPr>
        <w:spacing w:line="240" w:lineRule="auto"/>
        <w:rPr>
          <w:rFonts w:eastAsia="Times New Roman" w:cs="Arial"/>
          <w:color w:val="000000"/>
          <w:lang w:eastAsia="bg-BG"/>
        </w:rPr>
      </w:pPr>
      <w:r w:rsidRPr="00667ED5">
        <w:rPr>
          <w:rFonts w:eastAsia="Times New Roman" w:cs="Arial"/>
          <w:color w:val="000000"/>
          <w:lang w:eastAsia="bg-BG"/>
        </w:rPr>
        <w:t xml:space="preserve">Бензодиазепините и бензодиазепино-подобните продукти не се препоръчват като първично </w:t>
      </w:r>
    </w:p>
    <w:p w14:paraId="29E8E1A5" w14:textId="2E93BB9C" w:rsidR="00667ED5" w:rsidRPr="00667ED5" w:rsidRDefault="00667ED5" w:rsidP="00667ED5">
      <w:pPr>
        <w:spacing w:line="240" w:lineRule="auto"/>
        <w:rPr>
          <w:rFonts w:eastAsia="Times New Roman" w:cs="Arial"/>
          <w:sz w:val="24"/>
          <w:szCs w:val="24"/>
        </w:rPr>
      </w:pPr>
      <w:r w:rsidRPr="00667ED5">
        <w:rPr>
          <w:rFonts w:eastAsia="Times New Roman" w:cs="Arial"/>
          <w:color w:val="000000"/>
          <w:lang w:eastAsia="bg-BG"/>
        </w:rPr>
        <w:t>лечение при болни с психози. Бензодиазепините и бензодиазепино-подобните продукти не трябва да се използват самостоятелно за лечение на депресия или тревожност, асоциирана с депресия (може да прерасне в суицидитет при тези пациенти).</w:t>
      </w:r>
    </w:p>
    <w:p w14:paraId="2327F301" w14:textId="77777777" w:rsidR="00667ED5" w:rsidRPr="00667ED5" w:rsidRDefault="00667ED5" w:rsidP="00667ED5">
      <w:pPr>
        <w:spacing w:line="240" w:lineRule="auto"/>
        <w:rPr>
          <w:rFonts w:eastAsia="Times New Roman" w:cs="Arial"/>
          <w:color w:val="000000"/>
          <w:lang w:eastAsia="bg-BG"/>
        </w:rPr>
      </w:pPr>
    </w:p>
    <w:p w14:paraId="66254324" w14:textId="4DC895CF" w:rsidR="00667ED5" w:rsidRPr="00667ED5" w:rsidRDefault="00667ED5" w:rsidP="00667ED5">
      <w:pPr>
        <w:spacing w:line="240" w:lineRule="auto"/>
        <w:rPr>
          <w:rFonts w:eastAsia="Times New Roman" w:cs="Arial"/>
          <w:sz w:val="24"/>
          <w:szCs w:val="24"/>
        </w:rPr>
      </w:pPr>
      <w:r w:rsidRPr="00667ED5">
        <w:rPr>
          <w:rFonts w:eastAsia="Times New Roman" w:cs="Arial"/>
          <w:color w:val="000000"/>
          <w:lang w:eastAsia="bg-BG"/>
        </w:rPr>
        <w:t>Бензодиазепините и бензодиазепино-подобните продукти трябва да се използват с голямо внимание при пациенти с история за алкохолна или наркотична зависимост.</w:t>
      </w:r>
    </w:p>
    <w:p w14:paraId="4E41CFAA" w14:textId="77777777" w:rsidR="00667ED5" w:rsidRPr="00667ED5" w:rsidRDefault="00667ED5" w:rsidP="00667ED5">
      <w:pPr>
        <w:spacing w:line="240" w:lineRule="auto"/>
        <w:rPr>
          <w:rFonts w:eastAsia="Times New Roman" w:cs="Arial"/>
          <w:color w:val="000000"/>
          <w:lang w:eastAsia="bg-BG"/>
        </w:rPr>
      </w:pPr>
    </w:p>
    <w:p w14:paraId="3E8DB1DE" w14:textId="0C770D31" w:rsidR="00667ED5" w:rsidRPr="00667ED5" w:rsidRDefault="00667ED5" w:rsidP="00667ED5">
      <w:pPr>
        <w:spacing w:line="240" w:lineRule="auto"/>
        <w:rPr>
          <w:rFonts w:eastAsia="Times New Roman" w:cs="Arial"/>
          <w:sz w:val="24"/>
          <w:szCs w:val="24"/>
        </w:rPr>
      </w:pPr>
      <w:r w:rsidRPr="00667ED5">
        <w:rPr>
          <w:rFonts w:eastAsia="Times New Roman" w:cs="Arial"/>
          <w:color w:val="000000"/>
          <w:lang w:eastAsia="bg-BG"/>
        </w:rPr>
        <w:t xml:space="preserve">Дълготрайната употреба на Зопиклон- Чеплафарм </w:t>
      </w:r>
      <w:r w:rsidRPr="00667ED5">
        <w:rPr>
          <w:rFonts w:eastAsia="Times New Roman" w:cs="Arial"/>
          <w:color w:val="000000"/>
          <w:lang w:val="ru-RU"/>
        </w:rPr>
        <w:t xml:space="preserve">7,5 </w:t>
      </w:r>
      <w:r w:rsidRPr="00667ED5">
        <w:rPr>
          <w:rFonts w:eastAsia="Times New Roman" w:cs="Arial"/>
          <w:color w:val="000000"/>
          <w:lang w:val="en-US"/>
        </w:rPr>
        <w:t>mg</w:t>
      </w:r>
      <w:r w:rsidRPr="00667ED5">
        <w:rPr>
          <w:rFonts w:eastAsia="Times New Roman" w:cs="Arial"/>
          <w:color w:val="000000"/>
          <w:lang w:val="ru-RU"/>
        </w:rPr>
        <w:t xml:space="preserve"> </w:t>
      </w:r>
      <w:r w:rsidRPr="00667ED5">
        <w:rPr>
          <w:rFonts w:eastAsia="Times New Roman" w:cs="Arial"/>
          <w:color w:val="000000"/>
          <w:lang w:eastAsia="bg-BG"/>
        </w:rPr>
        <w:t>крие риск за пациенти, страдащи от глутенова ентеропатия, поради съдържащото се в лекарствения продукт пшенично нишесте.</w:t>
      </w:r>
    </w:p>
    <w:p w14:paraId="0EF29CD3" w14:textId="77777777" w:rsidR="00667ED5" w:rsidRPr="00667ED5" w:rsidRDefault="00667ED5" w:rsidP="00667ED5">
      <w:pPr>
        <w:spacing w:line="240" w:lineRule="auto"/>
        <w:rPr>
          <w:rFonts w:eastAsia="Times New Roman" w:cs="Arial"/>
          <w:color w:val="000000"/>
          <w:lang w:eastAsia="bg-BG"/>
        </w:rPr>
      </w:pPr>
    </w:p>
    <w:p w14:paraId="5CED59CE" w14:textId="189B0A9B" w:rsidR="00667ED5" w:rsidRPr="00667ED5" w:rsidRDefault="00667ED5" w:rsidP="00667ED5">
      <w:pPr>
        <w:spacing w:line="240" w:lineRule="auto"/>
        <w:rPr>
          <w:rFonts w:eastAsia="Times New Roman" w:cs="Arial"/>
          <w:sz w:val="24"/>
          <w:szCs w:val="24"/>
        </w:rPr>
      </w:pPr>
      <w:r w:rsidRPr="00667ED5">
        <w:rPr>
          <w:rFonts w:eastAsia="Times New Roman" w:cs="Arial"/>
          <w:color w:val="000000"/>
          <w:lang w:eastAsia="bg-BG"/>
        </w:rPr>
        <w:t xml:space="preserve">Този лекарствен продукт съдържа лактоза. Пациенти с редки наследствени проблеми на галактозна непоносимост, </w:t>
      </w:r>
      <w:r w:rsidRPr="00667ED5">
        <w:rPr>
          <w:rFonts w:eastAsia="Times New Roman" w:cs="Arial"/>
          <w:color w:val="000000"/>
          <w:lang w:val="en-US"/>
        </w:rPr>
        <w:t>Lapp</w:t>
      </w:r>
      <w:r w:rsidRPr="00667ED5">
        <w:rPr>
          <w:rFonts w:eastAsia="Times New Roman" w:cs="Arial"/>
          <w:color w:val="000000"/>
          <w:lang w:eastAsia="bg-BG"/>
        </w:rPr>
        <w:t>-лактазна недостатъчност или глюкозо-галактозна малабсорбция, не трябва да използват този лекарствен продукт.</w:t>
      </w:r>
    </w:p>
    <w:p w14:paraId="18D85B13" w14:textId="1BF7282B" w:rsidR="00667ED5" w:rsidRPr="00667ED5" w:rsidRDefault="00667ED5" w:rsidP="00667ED5">
      <w:pPr>
        <w:spacing w:line="240" w:lineRule="auto"/>
        <w:rPr>
          <w:rFonts w:ascii="Times New Roman" w:eastAsia="Times New Roman" w:hAnsi="Times New Roman" w:cs="Times New Roman"/>
          <w:sz w:val="24"/>
          <w:szCs w:val="24"/>
        </w:rPr>
      </w:pPr>
    </w:p>
    <w:p w14:paraId="117E4820" w14:textId="77777777" w:rsidR="00667ED5" w:rsidRPr="00667ED5" w:rsidRDefault="00667ED5" w:rsidP="00667ED5"/>
    <w:p w14:paraId="1244F76A" w14:textId="406A7F69" w:rsidR="00395555" w:rsidRDefault="002C50EE" w:rsidP="008A6AF2">
      <w:pPr>
        <w:pStyle w:val="Heading2"/>
      </w:pPr>
      <w:r>
        <w:lastRenderedPageBreak/>
        <w:t>4.5. Взаимодействие с други лекарствени продукти и други форми на взаимодействие</w:t>
      </w:r>
    </w:p>
    <w:p w14:paraId="50A6C858" w14:textId="2960B2B5" w:rsidR="00667ED5" w:rsidRDefault="00667ED5" w:rsidP="00667ED5"/>
    <w:p w14:paraId="4D6095A5" w14:textId="77777777" w:rsidR="00667ED5" w:rsidRPr="00667ED5" w:rsidRDefault="00667ED5" w:rsidP="00667ED5">
      <w:pPr>
        <w:rPr>
          <w:sz w:val="24"/>
          <w:szCs w:val="24"/>
        </w:rPr>
      </w:pPr>
      <w:r w:rsidRPr="00667ED5">
        <w:rPr>
          <w:lang w:eastAsia="bg-BG"/>
        </w:rPr>
        <w:t>Не се препоръчва - едновременен прием с алкохол.</w:t>
      </w:r>
    </w:p>
    <w:p w14:paraId="68B3C6E4" w14:textId="77777777" w:rsidR="00667ED5" w:rsidRDefault="00667ED5" w:rsidP="00667ED5">
      <w:pPr>
        <w:rPr>
          <w:lang w:eastAsia="bg-BG"/>
        </w:rPr>
      </w:pPr>
    </w:p>
    <w:p w14:paraId="0D59A679" w14:textId="3F277B58" w:rsidR="00667ED5" w:rsidRPr="00667ED5" w:rsidRDefault="00667ED5" w:rsidP="00667ED5">
      <w:pPr>
        <w:rPr>
          <w:sz w:val="24"/>
          <w:szCs w:val="24"/>
        </w:rPr>
      </w:pPr>
      <w:r w:rsidRPr="00667ED5">
        <w:rPr>
          <w:lang w:eastAsia="bg-BG"/>
        </w:rPr>
        <w:t>Седативният ефект може да се усили когато продуктът се приема в комбинация с алкохол. Това повлиява способността за шофиране и работа с машини.</w:t>
      </w:r>
    </w:p>
    <w:p w14:paraId="1BF272B6" w14:textId="77777777" w:rsidR="00667ED5" w:rsidRDefault="00667ED5" w:rsidP="00667ED5">
      <w:pPr>
        <w:rPr>
          <w:lang w:eastAsia="bg-BG"/>
        </w:rPr>
      </w:pPr>
    </w:p>
    <w:p w14:paraId="43542708" w14:textId="699BE022" w:rsidR="00667ED5" w:rsidRPr="00667ED5" w:rsidRDefault="00667ED5" w:rsidP="00667ED5">
      <w:pPr>
        <w:rPr>
          <w:sz w:val="24"/>
          <w:szCs w:val="24"/>
        </w:rPr>
      </w:pPr>
      <w:r w:rsidRPr="00667ED5">
        <w:rPr>
          <w:lang w:eastAsia="bg-BG"/>
        </w:rPr>
        <w:t>Да се приема с внимание - комбинация с депресанти на централната нервна система.</w:t>
      </w:r>
    </w:p>
    <w:p w14:paraId="7306DEBD" w14:textId="77777777" w:rsidR="00667ED5" w:rsidRDefault="00667ED5" w:rsidP="00667ED5">
      <w:pPr>
        <w:rPr>
          <w:lang w:eastAsia="bg-BG"/>
        </w:rPr>
      </w:pPr>
    </w:p>
    <w:p w14:paraId="0E6A24CB" w14:textId="61541DC4" w:rsidR="00667ED5" w:rsidRPr="00667ED5" w:rsidRDefault="00667ED5" w:rsidP="00667ED5">
      <w:pPr>
        <w:rPr>
          <w:sz w:val="24"/>
          <w:szCs w:val="24"/>
        </w:rPr>
      </w:pPr>
      <w:r w:rsidRPr="00667ED5">
        <w:rPr>
          <w:lang w:eastAsia="bg-BG"/>
        </w:rPr>
        <w:t>Може да настъпи усилване на централния депресивен ефект при едновременна употреба с антипсихотици (невролептици), хипнотици, анксиолитици/седативи, антидепресанти, наркотични аналгетици, антиепилептични лекарства, анестетици и седативни антихистамини.</w:t>
      </w:r>
    </w:p>
    <w:p w14:paraId="66BFA61A" w14:textId="77777777" w:rsidR="00667ED5" w:rsidRDefault="00667ED5" w:rsidP="00667ED5">
      <w:pPr>
        <w:rPr>
          <w:lang w:eastAsia="bg-BG"/>
        </w:rPr>
      </w:pPr>
    </w:p>
    <w:p w14:paraId="19122CC8" w14:textId="76E91460" w:rsidR="00667ED5" w:rsidRPr="00667ED5" w:rsidRDefault="00667ED5" w:rsidP="00667ED5">
      <w:pPr>
        <w:rPr>
          <w:sz w:val="24"/>
          <w:szCs w:val="24"/>
        </w:rPr>
      </w:pPr>
      <w:r w:rsidRPr="00667ED5">
        <w:rPr>
          <w:lang w:eastAsia="bg-BG"/>
        </w:rPr>
        <w:t>Усилването на еуфорията от наркотични аналгетици също може да доведе до усилване на психическата зависимост.</w:t>
      </w:r>
    </w:p>
    <w:p w14:paraId="695181AF" w14:textId="77777777" w:rsidR="00667ED5" w:rsidRDefault="00667ED5" w:rsidP="00667ED5">
      <w:pPr>
        <w:rPr>
          <w:lang w:eastAsia="bg-BG"/>
        </w:rPr>
      </w:pPr>
    </w:p>
    <w:p w14:paraId="694CAE80" w14:textId="7DC77E9E" w:rsidR="00667ED5" w:rsidRPr="00667ED5" w:rsidRDefault="00667ED5" w:rsidP="00667ED5">
      <w:pPr>
        <w:rPr>
          <w:sz w:val="24"/>
          <w:szCs w:val="24"/>
        </w:rPr>
      </w:pPr>
      <w:r w:rsidRPr="00667ED5">
        <w:rPr>
          <w:lang w:eastAsia="bg-BG"/>
        </w:rPr>
        <w:t>Съединенията които инхибират някои чернодробни ензими (особенно цитохром Р450) може да повишат активността на бензодиазепините и бензодиазепино-подобните продукти. Това се отнася в по-малка степен за бензодиазепините и бензодиазепино-подобните продукти които се метаболизират само чрез конюгация.</w:t>
      </w:r>
    </w:p>
    <w:p w14:paraId="1450E0A9" w14:textId="77777777" w:rsidR="00667ED5" w:rsidRDefault="00667ED5" w:rsidP="00667ED5">
      <w:pPr>
        <w:rPr>
          <w:lang w:eastAsia="bg-BG"/>
        </w:rPr>
      </w:pPr>
    </w:p>
    <w:p w14:paraId="3DCF4708" w14:textId="0C78E0B3" w:rsidR="00667ED5" w:rsidRPr="00667ED5" w:rsidRDefault="00667ED5" w:rsidP="00667ED5">
      <w:pPr>
        <w:rPr>
          <w:sz w:val="24"/>
          <w:szCs w:val="24"/>
        </w:rPr>
      </w:pPr>
      <w:r w:rsidRPr="00667ED5">
        <w:rPr>
          <w:lang w:eastAsia="bg-BG"/>
        </w:rPr>
        <w:t xml:space="preserve">Ефектът на еритромицин върху фармакокинетиката на зопиклон е бил изследван при 10 здрави доброволци. </w:t>
      </w:r>
      <w:r w:rsidRPr="00667ED5">
        <w:rPr>
          <w:lang w:val="en-US"/>
        </w:rPr>
        <w:t>AUC</w:t>
      </w:r>
      <w:r w:rsidRPr="00667ED5">
        <w:rPr>
          <w:lang w:val="ru-RU"/>
        </w:rPr>
        <w:t xml:space="preserve"> </w:t>
      </w:r>
      <w:r w:rsidRPr="00667ED5">
        <w:rPr>
          <w:lang w:eastAsia="bg-BG"/>
        </w:rPr>
        <w:t xml:space="preserve">на зопиклон се е повишила с 80% в присъствието на еритромицин, което показва, че еритромицин може да инхибира метаболизма на лекарства, метаболизиращи се чрез </w:t>
      </w:r>
      <w:r w:rsidRPr="00667ED5">
        <w:rPr>
          <w:lang w:val="en-US"/>
        </w:rPr>
        <w:t>CYP</w:t>
      </w:r>
      <w:r w:rsidRPr="00667ED5">
        <w:rPr>
          <w:lang w:val="ru-RU"/>
        </w:rPr>
        <w:t>3</w:t>
      </w:r>
      <w:r w:rsidRPr="00667ED5">
        <w:rPr>
          <w:lang w:val="en-US"/>
        </w:rPr>
        <w:t>A</w:t>
      </w:r>
      <w:r w:rsidRPr="00667ED5">
        <w:rPr>
          <w:lang w:val="ru-RU"/>
        </w:rPr>
        <w:t>4.</w:t>
      </w:r>
    </w:p>
    <w:p w14:paraId="53E4D246" w14:textId="77777777" w:rsidR="00667ED5" w:rsidRPr="00667ED5" w:rsidRDefault="00667ED5" w:rsidP="00667ED5">
      <w:pPr>
        <w:rPr>
          <w:sz w:val="24"/>
          <w:szCs w:val="24"/>
        </w:rPr>
      </w:pPr>
      <w:r w:rsidRPr="00667ED5">
        <w:rPr>
          <w:lang w:eastAsia="bg-BG"/>
        </w:rPr>
        <w:t>Като следствие хипнотичния ефект на зопиклон може да се усили.</w:t>
      </w:r>
    </w:p>
    <w:p w14:paraId="17DCCB88" w14:textId="77777777" w:rsidR="00667ED5" w:rsidRDefault="00667ED5" w:rsidP="00667ED5">
      <w:pPr>
        <w:rPr>
          <w:lang w:eastAsia="bg-BG"/>
        </w:rPr>
      </w:pPr>
    </w:p>
    <w:p w14:paraId="5E3B367D" w14:textId="77777777" w:rsidR="00667ED5" w:rsidRPr="00667ED5" w:rsidRDefault="00667ED5" w:rsidP="00667ED5">
      <w:pPr>
        <w:rPr>
          <w:sz w:val="24"/>
          <w:szCs w:val="24"/>
        </w:rPr>
      </w:pPr>
      <w:r w:rsidRPr="00667ED5">
        <w:rPr>
          <w:lang w:eastAsia="bg-BG"/>
        </w:rPr>
        <w:t xml:space="preserve">Тъй като зопиклон се метаболизира от цитохром Р450 </w:t>
      </w:r>
      <w:r w:rsidRPr="00667ED5">
        <w:rPr>
          <w:lang w:val="ru-RU"/>
        </w:rPr>
        <w:t>(</w:t>
      </w:r>
      <w:r w:rsidRPr="00667ED5">
        <w:rPr>
          <w:lang w:val="en-US"/>
        </w:rPr>
        <w:t>CYP</w:t>
      </w:r>
      <w:r w:rsidRPr="00667ED5">
        <w:rPr>
          <w:lang w:val="ru-RU"/>
        </w:rPr>
        <w:t>) 3</w:t>
      </w:r>
      <w:r w:rsidRPr="00667ED5">
        <w:rPr>
          <w:lang w:eastAsia="bg-BG"/>
        </w:rPr>
        <w:t xml:space="preserve">А изоензим (вижте точка 5.2), плазмените му нива могат да се повишат когато се приема едновременно с инхибитори на </w:t>
      </w:r>
      <w:r w:rsidRPr="00667ED5">
        <w:rPr>
          <w:lang w:val="en-US"/>
        </w:rPr>
        <w:t>CYP</w:t>
      </w:r>
      <w:r w:rsidRPr="00667ED5">
        <w:rPr>
          <w:lang w:val="ru-RU"/>
        </w:rPr>
        <w:t>3</w:t>
      </w:r>
      <w:r w:rsidRPr="00667ED5">
        <w:rPr>
          <w:lang w:val="en-US"/>
        </w:rPr>
        <w:t>A</w:t>
      </w:r>
      <w:r w:rsidRPr="00667ED5">
        <w:rPr>
          <w:lang w:val="ru-RU"/>
        </w:rPr>
        <w:t>4</w:t>
      </w:r>
      <w:r w:rsidRPr="00667ED5">
        <w:rPr>
          <w:lang w:eastAsia="bg-BG"/>
        </w:rPr>
        <w:t xml:space="preserve"> като еритромицин, кларитромицин, кетоконазол, итраконазол и ритонавир. При необходимост дозата на зопиклон може да се намали, когато се прилага едновременно с инхибитори на </w:t>
      </w:r>
      <w:r w:rsidRPr="00667ED5">
        <w:rPr>
          <w:lang w:val="en-US"/>
        </w:rPr>
        <w:t>CYP</w:t>
      </w:r>
      <w:r w:rsidRPr="00667ED5">
        <w:rPr>
          <w:lang w:val="ru-RU"/>
        </w:rPr>
        <w:t>3</w:t>
      </w:r>
      <w:r w:rsidRPr="00667ED5">
        <w:rPr>
          <w:lang w:val="en-US"/>
        </w:rPr>
        <w:t>A</w:t>
      </w:r>
      <w:r w:rsidRPr="00667ED5">
        <w:rPr>
          <w:lang w:val="ru-RU"/>
        </w:rPr>
        <w:t>4</w:t>
      </w:r>
      <w:r>
        <w:rPr>
          <w:lang w:val="ru-RU"/>
        </w:rPr>
        <w:t xml:space="preserve"> </w:t>
      </w:r>
      <w:r w:rsidRPr="00667ED5">
        <w:rPr>
          <w:lang w:eastAsia="bg-BG"/>
        </w:rPr>
        <w:t xml:space="preserve">плазмените нива на зопиклон могат да се понижат при едновременна употреба с индуктори на </w:t>
      </w:r>
      <w:r w:rsidRPr="00667ED5">
        <w:rPr>
          <w:lang w:val="en-US"/>
        </w:rPr>
        <w:t>CYP</w:t>
      </w:r>
      <w:r w:rsidRPr="00667ED5">
        <w:rPr>
          <w:lang w:val="ru-RU"/>
        </w:rPr>
        <w:t>3</w:t>
      </w:r>
      <w:r w:rsidRPr="00667ED5">
        <w:rPr>
          <w:lang w:val="en-US"/>
        </w:rPr>
        <w:t>A</w:t>
      </w:r>
      <w:r w:rsidRPr="00667ED5">
        <w:rPr>
          <w:lang w:val="ru-RU"/>
        </w:rPr>
        <w:t xml:space="preserve">4 </w:t>
      </w:r>
      <w:r w:rsidRPr="00667ED5">
        <w:rPr>
          <w:lang w:eastAsia="bg-BG"/>
        </w:rPr>
        <w:t xml:space="preserve">като рифампицин, карбамазепин, фенобарбитал, фенитоин и жълт кантарион. Може да се наложи повишаване на дозата на зопиклон когато се прилага едновременно с индуктори на </w:t>
      </w:r>
      <w:r w:rsidRPr="00667ED5">
        <w:rPr>
          <w:lang w:val="en-US"/>
        </w:rPr>
        <w:t>CYP</w:t>
      </w:r>
      <w:r w:rsidRPr="00667ED5">
        <w:rPr>
          <w:lang w:val="ru-RU"/>
        </w:rPr>
        <w:t>3</w:t>
      </w:r>
      <w:r w:rsidRPr="00667ED5">
        <w:rPr>
          <w:lang w:val="en-US"/>
        </w:rPr>
        <w:t>A</w:t>
      </w:r>
      <w:r w:rsidRPr="00667ED5">
        <w:rPr>
          <w:lang w:val="ru-RU"/>
        </w:rPr>
        <w:t>4.</w:t>
      </w:r>
    </w:p>
    <w:p w14:paraId="7DB4A251" w14:textId="53E2168F" w:rsidR="00667ED5" w:rsidRPr="00667ED5" w:rsidRDefault="00667ED5" w:rsidP="00667ED5"/>
    <w:p w14:paraId="6EADE4D6" w14:textId="20A64DDA" w:rsidR="00395555" w:rsidRDefault="002C50EE" w:rsidP="008A6AF2">
      <w:pPr>
        <w:pStyle w:val="Heading2"/>
      </w:pPr>
      <w:r>
        <w:t>4.6. Фертилитет, бременност и кърмене</w:t>
      </w:r>
    </w:p>
    <w:p w14:paraId="27056203" w14:textId="148DE150" w:rsidR="00667ED5" w:rsidRDefault="00667ED5" w:rsidP="00667ED5"/>
    <w:p w14:paraId="3B280530" w14:textId="77777777" w:rsidR="00667ED5" w:rsidRPr="00667ED5" w:rsidRDefault="00667ED5" w:rsidP="00667ED5">
      <w:pPr>
        <w:rPr>
          <w:sz w:val="24"/>
          <w:szCs w:val="24"/>
        </w:rPr>
      </w:pPr>
      <w:r w:rsidRPr="00667ED5">
        <w:rPr>
          <w:lang w:eastAsia="bg-BG"/>
        </w:rPr>
        <w:t>Приложението на зопиклон при бременни и кърмещи жени не се препоръчва поради недостатъчните данни относно безопасността на зопиклон в тези случаи.</w:t>
      </w:r>
    </w:p>
    <w:p w14:paraId="25B754FF" w14:textId="77777777" w:rsidR="00667ED5" w:rsidRDefault="00667ED5" w:rsidP="00667ED5">
      <w:pPr>
        <w:rPr>
          <w:lang w:eastAsia="bg-BG"/>
        </w:rPr>
      </w:pPr>
    </w:p>
    <w:p w14:paraId="095BD8C2" w14:textId="3C83C207" w:rsidR="00667ED5" w:rsidRPr="00667ED5" w:rsidRDefault="00667ED5" w:rsidP="00667ED5">
      <w:pPr>
        <w:rPr>
          <w:sz w:val="24"/>
          <w:szCs w:val="24"/>
        </w:rPr>
      </w:pPr>
      <w:r w:rsidRPr="00667ED5">
        <w:rPr>
          <w:lang w:eastAsia="bg-BG"/>
        </w:rPr>
        <w:t>Когато зопиклон се предписва на жени в детеродна възраст, те трябва да бъдат предупредени да се свържат с лекар за да спрат употребата на този продукт ако планират бременност или предполагат, че са бременни.</w:t>
      </w:r>
    </w:p>
    <w:p w14:paraId="67622DCB" w14:textId="77777777" w:rsidR="00667ED5" w:rsidRDefault="00667ED5" w:rsidP="00667ED5">
      <w:pPr>
        <w:rPr>
          <w:lang w:eastAsia="bg-BG"/>
        </w:rPr>
      </w:pPr>
    </w:p>
    <w:p w14:paraId="2397478C" w14:textId="0DF0BBD2" w:rsidR="00667ED5" w:rsidRPr="00667ED5" w:rsidRDefault="00667ED5" w:rsidP="00667ED5">
      <w:pPr>
        <w:rPr>
          <w:sz w:val="24"/>
          <w:szCs w:val="24"/>
        </w:rPr>
      </w:pPr>
      <w:r w:rsidRPr="00667ED5">
        <w:rPr>
          <w:lang w:eastAsia="bg-BG"/>
        </w:rPr>
        <w:t>Приложението на продукта през последните три месеца от бременността или по време на раждане се допуска само при категорични медицински показания. Поради фармакологичните свойства на продукта, може да се очакват ефекти върху новороденото като хипотермия, хикотения и умерена дихателна депресия.</w:t>
      </w:r>
    </w:p>
    <w:p w14:paraId="355EB91F" w14:textId="77777777" w:rsidR="00667ED5" w:rsidRDefault="00667ED5" w:rsidP="00667ED5">
      <w:pPr>
        <w:rPr>
          <w:lang w:eastAsia="bg-BG"/>
        </w:rPr>
      </w:pPr>
    </w:p>
    <w:p w14:paraId="7DA07AC1" w14:textId="131F5DD0" w:rsidR="00667ED5" w:rsidRPr="00667ED5" w:rsidRDefault="00667ED5" w:rsidP="00667ED5">
      <w:pPr>
        <w:rPr>
          <w:sz w:val="24"/>
          <w:szCs w:val="24"/>
        </w:rPr>
      </w:pPr>
      <w:r w:rsidRPr="00667ED5">
        <w:rPr>
          <w:lang w:eastAsia="bg-BG"/>
        </w:rPr>
        <w:t>Децата на майки, използвали хронично бензодиазепини и бензодиазепино-подобни продукти през късните периоди от бременността, може да развият физическа зависимост и може да са изложени на риск от развитие на абстинентни симптоми в постнаталния период.</w:t>
      </w:r>
    </w:p>
    <w:p w14:paraId="71A99E00" w14:textId="77777777" w:rsidR="00667ED5" w:rsidRDefault="00667ED5" w:rsidP="00667ED5">
      <w:pPr>
        <w:rPr>
          <w:lang w:eastAsia="bg-BG"/>
        </w:rPr>
      </w:pPr>
    </w:p>
    <w:p w14:paraId="10924776" w14:textId="56CC2B65" w:rsidR="00667ED5" w:rsidRPr="00667ED5" w:rsidRDefault="00667ED5" w:rsidP="00667ED5">
      <w:pPr>
        <w:rPr>
          <w:sz w:val="24"/>
          <w:szCs w:val="24"/>
        </w:rPr>
      </w:pPr>
      <w:r w:rsidRPr="00667ED5">
        <w:rPr>
          <w:lang w:eastAsia="bg-BG"/>
        </w:rPr>
        <w:t>Тъй като бензодиазепините и бензодиазепино-подобните продукти са открити в майчиното мляко, зопиклон не трябва да се използва от кърмачки.</w:t>
      </w:r>
    </w:p>
    <w:p w14:paraId="220973D6" w14:textId="77777777" w:rsidR="00667ED5" w:rsidRPr="00667ED5" w:rsidRDefault="00667ED5" w:rsidP="00667ED5"/>
    <w:p w14:paraId="5766770B" w14:textId="054474EF" w:rsidR="00395555" w:rsidRDefault="002C50EE" w:rsidP="008A6AF2">
      <w:pPr>
        <w:pStyle w:val="Heading2"/>
      </w:pPr>
      <w:r>
        <w:t>4.7. Ефекти върху способността за шофиране и работа с машини</w:t>
      </w:r>
    </w:p>
    <w:p w14:paraId="2E46B471" w14:textId="69850EB1" w:rsidR="00667ED5" w:rsidRDefault="00667ED5" w:rsidP="00667ED5"/>
    <w:p w14:paraId="7B23CD53" w14:textId="77777777" w:rsidR="00667ED5" w:rsidRPr="00667ED5" w:rsidRDefault="00667ED5" w:rsidP="00667ED5">
      <w:pPr>
        <w:rPr>
          <w:sz w:val="24"/>
          <w:szCs w:val="24"/>
        </w:rPr>
      </w:pPr>
      <w:r w:rsidRPr="00667ED5">
        <w:rPr>
          <w:lang w:eastAsia="bg-BG"/>
        </w:rPr>
        <w:t>Зопиклон повлиява неблагоприятно способността за управление на моторни превозни средства, за работа с машини или във височини. Пациентите трябва да бъдат информирани за това преди началото на лечението.</w:t>
      </w:r>
    </w:p>
    <w:p w14:paraId="30918C9F" w14:textId="77777777" w:rsidR="00667ED5" w:rsidRPr="00667ED5" w:rsidRDefault="00667ED5" w:rsidP="00667ED5"/>
    <w:p w14:paraId="4FE16E21" w14:textId="2788E383" w:rsidR="00395555" w:rsidRDefault="002C50EE" w:rsidP="008A6AF2">
      <w:pPr>
        <w:pStyle w:val="Heading2"/>
      </w:pPr>
      <w:r>
        <w:t>4.8. Нежелани лекарствени реакции</w:t>
      </w:r>
    </w:p>
    <w:p w14:paraId="498CE3E4" w14:textId="3D0F90B9" w:rsidR="00667ED5" w:rsidRDefault="00667ED5" w:rsidP="00667ED5"/>
    <w:p w14:paraId="4A05993B" w14:textId="77777777" w:rsidR="00667ED5" w:rsidRPr="00667ED5" w:rsidRDefault="00667ED5" w:rsidP="00667ED5">
      <w:pPr>
        <w:rPr>
          <w:sz w:val="24"/>
          <w:szCs w:val="24"/>
        </w:rPr>
      </w:pPr>
      <w:r w:rsidRPr="00667ED5">
        <w:rPr>
          <w:lang w:eastAsia="bg-BG"/>
        </w:rPr>
        <w:t>В следващата таблица нежеланите лекарствени реакции, докладвани при употребата на зопиклон, са оценени чрез следната класификация за честота:</w:t>
      </w:r>
    </w:p>
    <w:p w14:paraId="1A0181F9" w14:textId="77777777" w:rsidR="00667ED5" w:rsidRDefault="00667ED5" w:rsidP="00667ED5">
      <w:pPr>
        <w:rPr>
          <w:lang w:eastAsia="bg-BG"/>
        </w:rPr>
      </w:pPr>
    </w:p>
    <w:p w14:paraId="53D456C2" w14:textId="1682263C" w:rsidR="00667ED5" w:rsidRPr="00667ED5" w:rsidRDefault="00667ED5" w:rsidP="00667ED5">
      <w:pPr>
        <w:rPr>
          <w:sz w:val="24"/>
          <w:szCs w:val="24"/>
        </w:rPr>
      </w:pPr>
      <w:r w:rsidRPr="00667ED5">
        <w:rPr>
          <w:lang w:eastAsia="bg-BG"/>
        </w:rPr>
        <w:t xml:space="preserve">Много чести (≥1/10 пациента); чести (≥1/100 до &lt;1/10 пациента); нечести (≥1/1 </w:t>
      </w:r>
      <w:r w:rsidRPr="00667ED5">
        <w:rPr>
          <w:i/>
          <w:iCs/>
          <w:lang w:eastAsia="bg-BG"/>
        </w:rPr>
        <w:t xml:space="preserve">000 до &lt;1/100 </w:t>
      </w:r>
      <w:r w:rsidRPr="00667ED5">
        <w:rPr>
          <w:lang w:eastAsia="bg-BG"/>
        </w:rPr>
        <w:t>пациента); редки (≥1/10 000 до &lt;1/1 000 пациента); много редки (&lt;1/10 000 пациента), с неизвестна честота (от наличните данни не може да бъде направена оценка).</w:t>
      </w:r>
    </w:p>
    <w:p w14:paraId="64D9E70F" w14:textId="77777777" w:rsidR="00667ED5" w:rsidRDefault="00667ED5" w:rsidP="00667ED5">
      <w:pPr>
        <w:rPr>
          <w:lang w:eastAsia="bg-BG"/>
        </w:rPr>
      </w:pPr>
    </w:p>
    <w:p w14:paraId="141120A7" w14:textId="1DF1EB3B" w:rsidR="00667ED5" w:rsidRPr="00667ED5" w:rsidRDefault="00667ED5" w:rsidP="00667ED5">
      <w:pPr>
        <w:rPr>
          <w:sz w:val="24"/>
          <w:szCs w:val="24"/>
        </w:rPr>
      </w:pPr>
      <w:r w:rsidRPr="00667ED5">
        <w:rPr>
          <w:lang w:eastAsia="bg-BG"/>
        </w:rPr>
        <w:t>При всяко групиране в зависимост от честотата нежеланите лекарствени реакции се изброяват в низходящ ред по отношение на тяхната сериозност.</w:t>
      </w:r>
    </w:p>
    <w:p w14:paraId="26E0ED07" w14:textId="77777777" w:rsidR="00667ED5" w:rsidRDefault="00667ED5" w:rsidP="00667ED5">
      <w:pPr>
        <w:rPr>
          <w:lang w:eastAsia="bg-BG"/>
        </w:rPr>
      </w:pPr>
    </w:p>
    <w:p w14:paraId="701E67C7" w14:textId="46E3ED72" w:rsidR="00667ED5" w:rsidRDefault="00667ED5" w:rsidP="00667ED5">
      <w:pPr>
        <w:rPr>
          <w:lang w:eastAsia="bg-BG"/>
        </w:rPr>
      </w:pPr>
      <w:r w:rsidRPr="00667ED5">
        <w:rPr>
          <w:lang w:eastAsia="bg-BG"/>
        </w:rPr>
        <w:t>Нежелани лекарствени реакции при приложението на зопиклон:</w:t>
      </w:r>
    </w:p>
    <w:tbl>
      <w:tblPr>
        <w:tblStyle w:val="TableGrid"/>
        <w:tblW w:w="0" w:type="auto"/>
        <w:tblLayout w:type="fixed"/>
        <w:tblLook w:val="04A0" w:firstRow="1" w:lastRow="0" w:firstColumn="1" w:lastColumn="0" w:noHBand="0" w:noVBand="1"/>
      </w:tblPr>
      <w:tblGrid>
        <w:gridCol w:w="1242"/>
        <w:gridCol w:w="1334"/>
        <w:gridCol w:w="1368"/>
        <w:gridCol w:w="1368"/>
        <w:gridCol w:w="1368"/>
        <w:gridCol w:w="1368"/>
        <w:gridCol w:w="1368"/>
      </w:tblGrid>
      <w:tr w:rsidR="00667ED5" w14:paraId="3323C6CD" w14:textId="77777777" w:rsidTr="00667ED5">
        <w:tc>
          <w:tcPr>
            <w:tcW w:w="1242" w:type="dxa"/>
          </w:tcPr>
          <w:p w14:paraId="680CA14C" w14:textId="77777777" w:rsidR="00667ED5" w:rsidRDefault="00667ED5" w:rsidP="00667ED5">
            <w:pPr>
              <w:spacing w:line="240" w:lineRule="auto"/>
              <w:rPr>
                <w:b/>
                <w:bCs/>
                <w:szCs w:val="14"/>
              </w:rPr>
            </w:pPr>
            <w:r w:rsidRPr="00667ED5">
              <w:rPr>
                <w:b/>
                <w:bCs/>
                <w:szCs w:val="14"/>
              </w:rPr>
              <w:t>Честота</w:t>
            </w:r>
          </w:p>
          <w:p w14:paraId="313A2E82" w14:textId="77777777" w:rsidR="00667ED5" w:rsidRDefault="00667ED5" w:rsidP="00667ED5">
            <w:pPr>
              <w:spacing w:line="240" w:lineRule="auto"/>
              <w:rPr>
                <w:b/>
                <w:bCs/>
                <w:szCs w:val="14"/>
              </w:rPr>
            </w:pPr>
          </w:p>
          <w:p w14:paraId="3F3381BA" w14:textId="3BBF7F2E" w:rsidR="00667ED5" w:rsidRDefault="00667ED5" w:rsidP="00667ED5">
            <w:pPr>
              <w:rPr>
                <w:rFonts w:ascii="Times New Roman" w:eastAsia="Times New Roman" w:hAnsi="Times New Roman" w:cs="Times New Roman"/>
                <w:sz w:val="24"/>
                <w:szCs w:val="24"/>
              </w:rPr>
            </w:pPr>
            <w:r>
              <w:t>Органна класификация</w:t>
            </w:r>
          </w:p>
        </w:tc>
        <w:tc>
          <w:tcPr>
            <w:tcW w:w="1334" w:type="dxa"/>
          </w:tcPr>
          <w:p w14:paraId="36049596" w14:textId="44F0557A" w:rsidR="00667ED5" w:rsidRPr="00667ED5" w:rsidRDefault="00667ED5" w:rsidP="00667ED5">
            <w:pPr>
              <w:spacing w:line="240" w:lineRule="auto"/>
              <w:rPr>
                <w:rFonts w:ascii="Times New Roman" w:eastAsia="Times New Roman" w:hAnsi="Times New Roman" w:cs="Times New Roman"/>
                <w:szCs w:val="24"/>
              </w:rPr>
            </w:pPr>
            <w:r w:rsidRPr="00667ED5">
              <w:rPr>
                <w:b/>
                <w:bCs/>
                <w:szCs w:val="14"/>
              </w:rPr>
              <w:t>Много чести</w:t>
            </w:r>
          </w:p>
        </w:tc>
        <w:tc>
          <w:tcPr>
            <w:tcW w:w="1368" w:type="dxa"/>
          </w:tcPr>
          <w:p w14:paraId="68EB6D3D" w14:textId="530BFAD7" w:rsidR="00667ED5" w:rsidRPr="00667ED5" w:rsidRDefault="00667ED5" w:rsidP="00667ED5">
            <w:pPr>
              <w:spacing w:line="240" w:lineRule="auto"/>
              <w:rPr>
                <w:rFonts w:ascii="Times New Roman" w:eastAsia="Times New Roman" w:hAnsi="Times New Roman" w:cs="Times New Roman"/>
                <w:szCs w:val="24"/>
              </w:rPr>
            </w:pPr>
            <w:r w:rsidRPr="00667ED5">
              <w:rPr>
                <w:b/>
                <w:bCs/>
                <w:szCs w:val="14"/>
              </w:rPr>
              <w:t>Чести</w:t>
            </w:r>
          </w:p>
        </w:tc>
        <w:tc>
          <w:tcPr>
            <w:tcW w:w="1368" w:type="dxa"/>
          </w:tcPr>
          <w:p w14:paraId="2ACA9D85" w14:textId="0DA2FBED" w:rsidR="00667ED5" w:rsidRPr="00667ED5" w:rsidRDefault="00667ED5" w:rsidP="00667ED5">
            <w:pPr>
              <w:spacing w:line="240" w:lineRule="auto"/>
              <w:rPr>
                <w:rFonts w:ascii="Times New Roman" w:eastAsia="Times New Roman" w:hAnsi="Times New Roman" w:cs="Times New Roman"/>
                <w:szCs w:val="24"/>
              </w:rPr>
            </w:pPr>
            <w:r w:rsidRPr="00667ED5">
              <w:rPr>
                <w:b/>
                <w:bCs/>
                <w:szCs w:val="14"/>
              </w:rPr>
              <w:t>Нечести</w:t>
            </w:r>
          </w:p>
        </w:tc>
        <w:tc>
          <w:tcPr>
            <w:tcW w:w="1368" w:type="dxa"/>
          </w:tcPr>
          <w:p w14:paraId="3A09C16C" w14:textId="40A76334" w:rsidR="00667ED5" w:rsidRPr="00667ED5" w:rsidRDefault="00667ED5" w:rsidP="00667ED5">
            <w:pPr>
              <w:spacing w:line="240" w:lineRule="auto"/>
              <w:rPr>
                <w:rFonts w:ascii="Times New Roman" w:eastAsia="Times New Roman" w:hAnsi="Times New Roman" w:cs="Times New Roman"/>
                <w:szCs w:val="24"/>
              </w:rPr>
            </w:pPr>
            <w:r w:rsidRPr="00667ED5">
              <w:rPr>
                <w:b/>
                <w:bCs/>
                <w:szCs w:val="14"/>
              </w:rPr>
              <w:t>Редки</w:t>
            </w:r>
          </w:p>
        </w:tc>
        <w:tc>
          <w:tcPr>
            <w:tcW w:w="1368" w:type="dxa"/>
          </w:tcPr>
          <w:p w14:paraId="234E185D" w14:textId="70958CE4" w:rsidR="00667ED5" w:rsidRPr="00667ED5" w:rsidRDefault="00667ED5" w:rsidP="00667ED5">
            <w:pPr>
              <w:spacing w:line="240" w:lineRule="auto"/>
              <w:rPr>
                <w:rFonts w:ascii="Times New Roman" w:eastAsia="Times New Roman" w:hAnsi="Times New Roman" w:cs="Times New Roman"/>
                <w:szCs w:val="24"/>
              </w:rPr>
            </w:pPr>
            <w:r w:rsidRPr="00667ED5">
              <w:rPr>
                <w:b/>
                <w:bCs/>
                <w:szCs w:val="14"/>
              </w:rPr>
              <w:t>Много редки</w:t>
            </w:r>
          </w:p>
        </w:tc>
        <w:tc>
          <w:tcPr>
            <w:tcW w:w="1368" w:type="dxa"/>
          </w:tcPr>
          <w:p w14:paraId="0609703F" w14:textId="344B0037" w:rsidR="00667ED5" w:rsidRPr="00667ED5" w:rsidRDefault="00667ED5" w:rsidP="00667ED5">
            <w:pPr>
              <w:spacing w:line="240" w:lineRule="auto"/>
              <w:rPr>
                <w:rFonts w:ascii="Times New Roman" w:eastAsia="Times New Roman" w:hAnsi="Times New Roman" w:cs="Times New Roman"/>
                <w:szCs w:val="24"/>
              </w:rPr>
            </w:pPr>
            <w:r w:rsidRPr="00667ED5">
              <w:rPr>
                <w:b/>
                <w:bCs/>
                <w:szCs w:val="14"/>
              </w:rPr>
              <w:t>с нензвест на честота</w:t>
            </w:r>
          </w:p>
        </w:tc>
      </w:tr>
      <w:tr w:rsidR="00667ED5" w14:paraId="30685182" w14:textId="77777777" w:rsidTr="00667ED5">
        <w:tc>
          <w:tcPr>
            <w:tcW w:w="1242" w:type="dxa"/>
          </w:tcPr>
          <w:p w14:paraId="7E8E7CDD" w14:textId="0D8FDD0C" w:rsidR="00667ED5" w:rsidRPr="00667ED5" w:rsidRDefault="00667ED5" w:rsidP="00667ED5">
            <w:pPr>
              <w:spacing w:line="240" w:lineRule="auto"/>
              <w:rPr>
                <w:rFonts w:ascii="Times New Roman" w:eastAsia="Times New Roman" w:hAnsi="Times New Roman" w:cs="Times New Roman"/>
                <w:szCs w:val="24"/>
              </w:rPr>
            </w:pPr>
            <w:r w:rsidRPr="00667ED5">
              <w:rPr>
                <w:bCs/>
                <w:szCs w:val="14"/>
              </w:rPr>
              <w:t>Нарушения на нерената система</w:t>
            </w:r>
          </w:p>
        </w:tc>
        <w:tc>
          <w:tcPr>
            <w:tcW w:w="1334" w:type="dxa"/>
          </w:tcPr>
          <w:p w14:paraId="3B5914AF" w14:textId="77777777" w:rsidR="00667ED5" w:rsidRPr="00667ED5" w:rsidRDefault="00667ED5" w:rsidP="00667ED5">
            <w:pPr>
              <w:spacing w:line="240" w:lineRule="auto"/>
              <w:rPr>
                <w:rFonts w:ascii="Times New Roman" w:eastAsia="Times New Roman" w:hAnsi="Times New Roman" w:cs="Times New Roman"/>
                <w:szCs w:val="24"/>
              </w:rPr>
            </w:pPr>
          </w:p>
        </w:tc>
        <w:tc>
          <w:tcPr>
            <w:tcW w:w="1368" w:type="dxa"/>
          </w:tcPr>
          <w:p w14:paraId="637B54B7" w14:textId="631FBE0B" w:rsidR="00667ED5" w:rsidRPr="00667ED5" w:rsidRDefault="00667ED5" w:rsidP="00667ED5">
            <w:pPr>
              <w:spacing w:line="240" w:lineRule="auto"/>
              <w:rPr>
                <w:rFonts w:ascii="Times New Roman" w:eastAsia="Times New Roman" w:hAnsi="Times New Roman" w:cs="Times New Roman"/>
                <w:szCs w:val="24"/>
              </w:rPr>
            </w:pPr>
            <w:r w:rsidRPr="00667ED5">
              <w:rPr>
                <w:bCs/>
                <w:szCs w:val="14"/>
              </w:rPr>
              <w:t>Замайване, главоболие и сънливост</w:t>
            </w:r>
          </w:p>
        </w:tc>
        <w:tc>
          <w:tcPr>
            <w:tcW w:w="1368" w:type="dxa"/>
          </w:tcPr>
          <w:p w14:paraId="0D6DD3D7" w14:textId="53CA9E09" w:rsidR="00667ED5" w:rsidRPr="00667ED5" w:rsidRDefault="00667ED5" w:rsidP="00667ED5">
            <w:pPr>
              <w:spacing w:line="240" w:lineRule="auto"/>
              <w:rPr>
                <w:rFonts w:ascii="Times New Roman" w:eastAsia="Times New Roman" w:hAnsi="Times New Roman" w:cs="Times New Roman"/>
                <w:szCs w:val="24"/>
              </w:rPr>
            </w:pPr>
            <w:r w:rsidRPr="00667ED5">
              <w:rPr>
                <w:bCs/>
                <w:szCs w:val="14"/>
              </w:rPr>
              <w:t>Леко опиянение и нарушение в координацията.</w:t>
            </w:r>
          </w:p>
        </w:tc>
        <w:tc>
          <w:tcPr>
            <w:tcW w:w="1368" w:type="dxa"/>
          </w:tcPr>
          <w:p w14:paraId="3FCA9AD7" w14:textId="77777777" w:rsidR="00667ED5" w:rsidRPr="00667ED5" w:rsidRDefault="00667ED5" w:rsidP="00667ED5">
            <w:pPr>
              <w:rPr>
                <w:rFonts w:ascii="Times New Roman" w:eastAsia="Times New Roman" w:hAnsi="Times New Roman" w:cs="Times New Roman"/>
                <w:sz w:val="24"/>
                <w:szCs w:val="24"/>
              </w:rPr>
            </w:pPr>
            <w:r w:rsidRPr="00667ED5">
              <w:rPr>
                <w:bCs/>
                <w:szCs w:val="14"/>
              </w:rPr>
              <w:t xml:space="preserve">Псичически и поведенчески разстройства, като раздразнителност, </w:t>
            </w:r>
            <w:r w:rsidRPr="00667ED5">
              <w:rPr>
                <w:bCs/>
                <w:szCs w:val="14"/>
              </w:rPr>
              <w:lastRenderedPageBreak/>
              <w:t>агресивност, объркване, депресия след събуждане антероградна амнезия, халюцинации и кошмарии</w:t>
            </w:r>
            <w:r>
              <w:rPr>
                <w:bCs/>
                <w:szCs w:val="14"/>
              </w:rPr>
              <w:t xml:space="preserve"> </w:t>
            </w:r>
            <w:r w:rsidRPr="00667ED5">
              <w:rPr>
                <w:lang w:eastAsia="bg-BG"/>
              </w:rPr>
              <w:t>сънища. Тези реакции може да бъдат сериозни и може да настъпят по-често при пациенти в напреднала възраст.</w:t>
            </w:r>
          </w:p>
          <w:p w14:paraId="49648D09" w14:textId="50283A95" w:rsidR="00667ED5" w:rsidRPr="00667ED5" w:rsidRDefault="00667ED5" w:rsidP="00667ED5">
            <w:pPr>
              <w:spacing w:line="240" w:lineRule="auto"/>
              <w:rPr>
                <w:rFonts w:ascii="Times New Roman" w:eastAsia="Times New Roman" w:hAnsi="Times New Roman" w:cs="Times New Roman"/>
                <w:szCs w:val="24"/>
              </w:rPr>
            </w:pPr>
          </w:p>
        </w:tc>
        <w:tc>
          <w:tcPr>
            <w:tcW w:w="1368" w:type="dxa"/>
          </w:tcPr>
          <w:p w14:paraId="3183795F" w14:textId="77777777" w:rsidR="00667ED5" w:rsidRDefault="00667ED5" w:rsidP="00667ED5">
            <w:pPr>
              <w:spacing w:line="240" w:lineRule="auto"/>
              <w:rPr>
                <w:rFonts w:ascii="Times New Roman" w:eastAsia="Times New Roman" w:hAnsi="Times New Roman" w:cs="Times New Roman"/>
                <w:sz w:val="24"/>
                <w:szCs w:val="24"/>
              </w:rPr>
            </w:pPr>
          </w:p>
        </w:tc>
        <w:tc>
          <w:tcPr>
            <w:tcW w:w="1368" w:type="dxa"/>
          </w:tcPr>
          <w:p w14:paraId="1BD408F5" w14:textId="77777777" w:rsidR="00667ED5" w:rsidRDefault="00667ED5" w:rsidP="00667ED5">
            <w:pPr>
              <w:spacing w:line="240" w:lineRule="auto"/>
              <w:rPr>
                <w:rFonts w:ascii="Times New Roman" w:eastAsia="Times New Roman" w:hAnsi="Times New Roman" w:cs="Times New Roman"/>
                <w:sz w:val="24"/>
                <w:szCs w:val="24"/>
              </w:rPr>
            </w:pPr>
          </w:p>
        </w:tc>
      </w:tr>
      <w:tr w:rsidR="00667ED5" w14:paraId="3A49C069" w14:textId="77777777" w:rsidTr="00667ED5">
        <w:tc>
          <w:tcPr>
            <w:tcW w:w="1242" w:type="dxa"/>
          </w:tcPr>
          <w:p w14:paraId="2D0BAC0A" w14:textId="621219CE" w:rsidR="00667ED5" w:rsidRPr="00667ED5" w:rsidRDefault="00667ED5" w:rsidP="00667ED5">
            <w:pPr>
              <w:spacing w:line="240" w:lineRule="auto"/>
              <w:rPr>
                <w:rFonts w:ascii="Times New Roman" w:eastAsia="Times New Roman" w:hAnsi="Times New Roman" w:cs="Times New Roman"/>
                <w:szCs w:val="24"/>
              </w:rPr>
            </w:pPr>
            <w:r w:rsidRPr="00667ED5">
              <w:rPr>
                <w:bCs/>
                <w:szCs w:val="14"/>
              </w:rPr>
              <w:t>Стомашно- чревни нарушения</w:t>
            </w:r>
          </w:p>
        </w:tc>
        <w:tc>
          <w:tcPr>
            <w:tcW w:w="1334" w:type="dxa"/>
          </w:tcPr>
          <w:p w14:paraId="33D3BDDF" w14:textId="77777777" w:rsidR="00667ED5" w:rsidRPr="00667ED5" w:rsidRDefault="00667ED5" w:rsidP="00667ED5">
            <w:pPr>
              <w:spacing w:line="240" w:lineRule="auto"/>
              <w:rPr>
                <w:rFonts w:ascii="Times New Roman" w:eastAsia="Times New Roman" w:hAnsi="Times New Roman" w:cs="Times New Roman"/>
                <w:szCs w:val="24"/>
              </w:rPr>
            </w:pPr>
          </w:p>
        </w:tc>
        <w:tc>
          <w:tcPr>
            <w:tcW w:w="1368" w:type="dxa"/>
          </w:tcPr>
          <w:p w14:paraId="5D27DD5D" w14:textId="77777777" w:rsidR="00667ED5" w:rsidRPr="00667ED5" w:rsidRDefault="00667ED5" w:rsidP="00667ED5">
            <w:pPr>
              <w:spacing w:line="240" w:lineRule="auto"/>
              <w:rPr>
                <w:rFonts w:ascii="Times New Roman" w:eastAsia="Times New Roman" w:hAnsi="Times New Roman" w:cs="Times New Roman"/>
                <w:szCs w:val="24"/>
              </w:rPr>
            </w:pPr>
          </w:p>
        </w:tc>
        <w:tc>
          <w:tcPr>
            <w:tcW w:w="1368" w:type="dxa"/>
          </w:tcPr>
          <w:p w14:paraId="5D643251" w14:textId="6B74E3C7" w:rsidR="00667ED5" w:rsidRPr="00667ED5" w:rsidRDefault="00667ED5" w:rsidP="00667ED5">
            <w:pPr>
              <w:spacing w:line="240" w:lineRule="auto"/>
              <w:rPr>
                <w:rFonts w:ascii="Times New Roman" w:eastAsia="Times New Roman" w:hAnsi="Times New Roman" w:cs="Times New Roman"/>
                <w:szCs w:val="24"/>
              </w:rPr>
            </w:pPr>
            <w:r w:rsidRPr="00667ED5">
              <w:rPr>
                <w:bCs/>
                <w:szCs w:val="14"/>
              </w:rPr>
              <w:t>Леки стомашно- чревни нарушения, включващи гадене и повръщане.</w:t>
            </w:r>
          </w:p>
        </w:tc>
        <w:tc>
          <w:tcPr>
            <w:tcW w:w="1368" w:type="dxa"/>
          </w:tcPr>
          <w:p w14:paraId="67EB3F17" w14:textId="77777777" w:rsidR="00667ED5" w:rsidRPr="00667ED5" w:rsidRDefault="00667ED5" w:rsidP="00667ED5">
            <w:pPr>
              <w:spacing w:line="240" w:lineRule="auto"/>
              <w:rPr>
                <w:rFonts w:ascii="Times New Roman" w:eastAsia="Times New Roman" w:hAnsi="Times New Roman" w:cs="Times New Roman"/>
                <w:szCs w:val="24"/>
              </w:rPr>
            </w:pPr>
          </w:p>
        </w:tc>
        <w:tc>
          <w:tcPr>
            <w:tcW w:w="1368" w:type="dxa"/>
          </w:tcPr>
          <w:p w14:paraId="46E04440" w14:textId="77777777" w:rsidR="00667ED5" w:rsidRPr="00667ED5" w:rsidRDefault="00667ED5" w:rsidP="00667ED5">
            <w:pPr>
              <w:spacing w:line="240" w:lineRule="auto"/>
              <w:rPr>
                <w:rFonts w:ascii="Times New Roman" w:eastAsia="Times New Roman" w:hAnsi="Times New Roman" w:cs="Times New Roman"/>
                <w:szCs w:val="24"/>
              </w:rPr>
            </w:pPr>
          </w:p>
        </w:tc>
        <w:tc>
          <w:tcPr>
            <w:tcW w:w="1368" w:type="dxa"/>
          </w:tcPr>
          <w:p w14:paraId="24A71E7F" w14:textId="77777777" w:rsidR="00667ED5" w:rsidRPr="00667ED5" w:rsidRDefault="00667ED5" w:rsidP="00667ED5">
            <w:pPr>
              <w:spacing w:line="240" w:lineRule="auto"/>
              <w:rPr>
                <w:rFonts w:ascii="Times New Roman" w:eastAsia="Times New Roman" w:hAnsi="Times New Roman" w:cs="Times New Roman"/>
                <w:szCs w:val="24"/>
              </w:rPr>
            </w:pPr>
          </w:p>
        </w:tc>
      </w:tr>
      <w:tr w:rsidR="00667ED5" w14:paraId="066FCF13" w14:textId="77777777" w:rsidTr="00667ED5">
        <w:tc>
          <w:tcPr>
            <w:tcW w:w="1242" w:type="dxa"/>
          </w:tcPr>
          <w:p w14:paraId="3A67408E" w14:textId="7E53315D" w:rsidR="00667ED5" w:rsidRPr="00667ED5" w:rsidRDefault="00667ED5" w:rsidP="00667ED5">
            <w:pPr>
              <w:spacing w:line="240" w:lineRule="auto"/>
              <w:rPr>
                <w:rFonts w:ascii="Times New Roman" w:eastAsia="Times New Roman" w:hAnsi="Times New Roman" w:cs="Times New Roman"/>
                <w:szCs w:val="24"/>
              </w:rPr>
            </w:pPr>
            <w:r w:rsidRPr="00667ED5">
              <w:rPr>
                <w:bCs/>
                <w:szCs w:val="14"/>
              </w:rPr>
              <w:t>Нарушения на кожата и подкожната тъкан</w:t>
            </w:r>
          </w:p>
        </w:tc>
        <w:tc>
          <w:tcPr>
            <w:tcW w:w="1334" w:type="dxa"/>
          </w:tcPr>
          <w:p w14:paraId="26245B35" w14:textId="77777777" w:rsidR="00667ED5" w:rsidRPr="00667ED5" w:rsidRDefault="00667ED5" w:rsidP="00667ED5">
            <w:pPr>
              <w:spacing w:line="240" w:lineRule="auto"/>
              <w:rPr>
                <w:rFonts w:ascii="Times New Roman" w:eastAsia="Times New Roman" w:hAnsi="Times New Roman" w:cs="Times New Roman"/>
                <w:szCs w:val="24"/>
              </w:rPr>
            </w:pPr>
          </w:p>
        </w:tc>
        <w:tc>
          <w:tcPr>
            <w:tcW w:w="1368" w:type="dxa"/>
          </w:tcPr>
          <w:p w14:paraId="5BCBCF01" w14:textId="77777777" w:rsidR="00667ED5" w:rsidRPr="00667ED5" w:rsidRDefault="00667ED5" w:rsidP="00667ED5">
            <w:pPr>
              <w:spacing w:line="240" w:lineRule="auto"/>
              <w:rPr>
                <w:rFonts w:ascii="Times New Roman" w:eastAsia="Times New Roman" w:hAnsi="Times New Roman" w:cs="Times New Roman"/>
                <w:szCs w:val="24"/>
              </w:rPr>
            </w:pPr>
          </w:p>
        </w:tc>
        <w:tc>
          <w:tcPr>
            <w:tcW w:w="1368" w:type="dxa"/>
          </w:tcPr>
          <w:p w14:paraId="34D12F88" w14:textId="77777777" w:rsidR="00667ED5" w:rsidRPr="00667ED5" w:rsidRDefault="00667ED5" w:rsidP="00667ED5">
            <w:pPr>
              <w:spacing w:line="240" w:lineRule="auto"/>
              <w:rPr>
                <w:rFonts w:ascii="Times New Roman" w:eastAsia="Times New Roman" w:hAnsi="Times New Roman" w:cs="Times New Roman"/>
                <w:szCs w:val="24"/>
              </w:rPr>
            </w:pPr>
          </w:p>
        </w:tc>
        <w:tc>
          <w:tcPr>
            <w:tcW w:w="1368" w:type="dxa"/>
          </w:tcPr>
          <w:p w14:paraId="581949E6" w14:textId="5899C886" w:rsidR="00667ED5" w:rsidRPr="00667ED5" w:rsidRDefault="00667ED5" w:rsidP="00667ED5">
            <w:pPr>
              <w:spacing w:line="240" w:lineRule="auto"/>
              <w:rPr>
                <w:rFonts w:ascii="Times New Roman" w:eastAsia="Times New Roman" w:hAnsi="Times New Roman" w:cs="Times New Roman"/>
                <w:szCs w:val="24"/>
              </w:rPr>
            </w:pPr>
            <w:r w:rsidRPr="00667ED5">
              <w:rPr>
                <w:bCs/>
                <w:szCs w:val="14"/>
              </w:rPr>
              <w:t>Алергични прояви като уртикария или обрив.</w:t>
            </w:r>
          </w:p>
        </w:tc>
        <w:tc>
          <w:tcPr>
            <w:tcW w:w="1368" w:type="dxa"/>
          </w:tcPr>
          <w:p w14:paraId="5D34E00F" w14:textId="77777777" w:rsidR="00667ED5" w:rsidRPr="00667ED5" w:rsidRDefault="00667ED5" w:rsidP="00667ED5">
            <w:pPr>
              <w:spacing w:line="240" w:lineRule="auto"/>
              <w:rPr>
                <w:rFonts w:ascii="Times New Roman" w:eastAsia="Times New Roman" w:hAnsi="Times New Roman" w:cs="Times New Roman"/>
                <w:szCs w:val="24"/>
              </w:rPr>
            </w:pPr>
          </w:p>
        </w:tc>
        <w:tc>
          <w:tcPr>
            <w:tcW w:w="1368" w:type="dxa"/>
          </w:tcPr>
          <w:p w14:paraId="508481AE" w14:textId="77777777" w:rsidR="00667ED5" w:rsidRPr="00667ED5" w:rsidRDefault="00667ED5" w:rsidP="00667ED5">
            <w:pPr>
              <w:spacing w:line="240" w:lineRule="auto"/>
              <w:rPr>
                <w:rFonts w:ascii="Times New Roman" w:eastAsia="Times New Roman" w:hAnsi="Times New Roman" w:cs="Times New Roman"/>
                <w:szCs w:val="24"/>
              </w:rPr>
            </w:pPr>
          </w:p>
        </w:tc>
      </w:tr>
      <w:tr w:rsidR="00667ED5" w14:paraId="7EA8F30D" w14:textId="77777777" w:rsidTr="00667ED5">
        <w:tc>
          <w:tcPr>
            <w:tcW w:w="1242" w:type="dxa"/>
          </w:tcPr>
          <w:p w14:paraId="0A67BDBC" w14:textId="1EAEB3BE" w:rsidR="00667ED5" w:rsidRPr="00667ED5" w:rsidRDefault="00667ED5" w:rsidP="00667ED5">
            <w:pPr>
              <w:spacing w:line="240" w:lineRule="auto"/>
              <w:rPr>
                <w:rFonts w:ascii="Times New Roman" w:eastAsia="Times New Roman" w:hAnsi="Times New Roman" w:cs="Times New Roman"/>
                <w:szCs w:val="24"/>
              </w:rPr>
            </w:pPr>
            <w:r w:rsidRPr="00667ED5">
              <w:rPr>
                <w:bCs/>
                <w:szCs w:val="14"/>
              </w:rPr>
              <w:t>Общи нарушения и ефекти на мястото на приложение</w:t>
            </w:r>
          </w:p>
        </w:tc>
        <w:tc>
          <w:tcPr>
            <w:tcW w:w="1334" w:type="dxa"/>
          </w:tcPr>
          <w:p w14:paraId="48E680C1" w14:textId="77777777" w:rsidR="00667ED5" w:rsidRPr="00667ED5" w:rsidRDefault="00667ED5" w:rsidP="00667ED5">
            <w:pPr>
              <w:spacing w:line="240" w:lineRule="auto"/>
              <w:rPr>
                <w:rFonts w:ascii="Times New Roman" w:eastAsia="Times New Roman" w:hAnsi="Times New Roman" w:cs="Times New Roman"/>
                <w:szCs w:val="24"/>
              </w:rPr>
            </w:pPr>
          </w:p>
        </w:tc>
        <w:tc>
          <w:tcPr>
            <w:tcW w:w="1368" w:type="dxa"/>
          </w:tcPr>
          <w:p w14:paraId="4DE65370" w14:textId="2F324B8D" w:rsidR="00667ED5" w:rsidRPr="00667ED5" w:rsidRDefault="00667ED5" w:rsidP="00667ED5">
            <w:pPr>
              <w:spacing w:line="240" w:lineRule="auto"/>
              <w:rPr>
                <w:rFonts w:ascii="Times New Roman" w:eastAsia="Times New Roman" w:hAnsi="Times New Roman" w:cs="Times New Roman"/>
                <w:szCs w:val="24"/>
              </w:rPr>
            </w:pPr>
            <w:r w:rsidRPr="00667ED5">
              <w:rPr>
                <w:bCs/>
                <w:szCs w:val="14"/>
              </w:rPr>
              <w:t>Лек горчив или метален вкус в устата.</w:t>
            </w:r>
          </w:p>
        </w:tc>
        <w:tc>
          <w:tcPr>
            <w:tcW w:w="1368" w:type="dxa"/>
          </w:tcPr>
          <w:p w14:paraId="181BDC09" w14:textId="37893DA9" w:rsidR="00667ED5" w:rsidRPr="00667ED5" w:rsidRDefault="00667ED5" w:rsidP="00667ED5">
            <w:pPr>
              <w:spacing w:line="240" w:lineRule="auto"/>
              <w:rPr>
                <w:rFonts w:ascii="Times New Roman" w:eastAsia="Times New Roman" w:hAnsi="Times New Roman" w:cs="Times New Roman"/>
                <w:szCs w:val="24"/>
              </w:rPr>
            </w:pPr>
            <w:r w:rsidRPr="00667ED5">
              <w:rPr>
                <w:bCs/>
                <w:szCs w:val="14"/>
              </w:rPr>
              <w:t>Сухота в устата.</w:t>
            </w:r>
          </w:p>
        </w:tc>
        <w:tc>
          <w:tcPr>
            <w:tcW w:w="1368" w:type="dxa"/>
          </w:tcPr>
          <w:p w14:paraId="7FD511C5" w14:textId="77777777" w:rsidR="00667ED5" w:rsidRPr="00667ED5" w:rsidRDefault="00667ED5" w:rsidP="00667ED5">
            <w:pPr>
              <w:spacing w:line="240" w:lineRule="auto"/>
              <w:rPr>
                <w:rFonts w:ascii="Times New Roman" w:eastAsia="Times New Roman" w:hAnsi="Times New Roman" w:cs="Times New Roman"/>
                <w:szCs w:val="24"/>
              </w:rPr>
            </w:pPr>
          </w:p>
        </w:tc>
        <w:tc>
          <w:tcPr>
            <w:tcW w:w="1368" w:type="dxa"/>
          </w:tcPr>
          <w:p w14:paraId="2C179DDE" w14:textId="77777777" w:rsidR="00667ED5" w:rsidRPr="00667ED5" w:rsidRDefault="00667ED5" w:rsidP="00667ED5">
            <w:pPr>
              <w:spacing w:line="240" w:lineRule="auto"/>
              <w:rPr>
                <w:rFonts w:ascii="Times New Roman" w:eastAsia="Times New Roman" w:hAnsi="Times New Roman" w:cs="Times New Roman"/>
                <w:szCs w:val="24"/>
              </w:rPr>
            </w:pPr>
          </w:p>
        </w:tc>
        <w:tc>
          <w:tcPr>
            <w:tcW w:w="1368" w:type="dxa"/>
          </w:tcPr>
          <w:p w14:paraId="21100553" w14:textId="77777777" w:rsidR="00667ED5" w:rsidRPr="00667ED5" w:rsidRDefault="00667ED5" w:rsidP="00667ED5">
            <w:pPr>
              <w:spacing w:line="240" w:lineRule="auto"/>
              <w:rPr>
                <w:rFonts w:ascii="Times New Roman" w:eastAsia="Times New Roman" w:hAnsi="Times New Roman" w:cs="Times New Roman"/>
                <w:szCs w:val="24"/>
              </w:rPr>
            </w:pPr>
          </w:p>
        </w:tc>
      </w:tr>
    </w:tbl>
    <w:p w14:paraId="3BEB9E99" w14:textId="77777777" w:rsidR="00667ED5" w:rsidRPr="00667ED5" w:rsidRDefault="00667ED5" w:rsidP="00667ED5">
      <w:pPr>
        <w:rPr>
          <w:sz w:val="24"/>
          <w:szCs w:val="24"/>
        </w:rPr>
      </w:pPr>
      <w:r w:rsidRPr="00667ED5">
        <w:rPr>
          <w:lang w:eastAsia="bg-BG"/>
        </w:rPr>
        <w:lastRenderedPageBreak/>
        <w:t xml:space="preserve">Има риск от развитие на лекарствена зависимост и възстановявяане на безсънието, т. нар. </w:t>
      </w:r>
      <w:proofErr w:type="gramStart"/>
      <w:r w:rsidRPr="00667ED5">
        <w:rPr>
          <w:lang w:val="en-US"/>
        </w:rPr>
        <w:t>rebound</w:t>
      </w:r>
      <w:proofErr w:type="gramEnd"/>
      <w:r w:rsidRPr="00667ED5">
        <w:rPr>
          <w:lang w:val="ru-RU"/>
        </w:rPr>
        <w:t xml:space="preserve"> </w:t>
      </w:r>
      <w:r w:rsidRPr="00667ED5">
        <w:rPr>
          <w:lang w:val="en-US"/>
        </w:rPr>
        <w:t>insomnia</w:t>
      </w:r>
      <w:r w:rsidRPr="00667ED5">
        <w:rPr>
          <w:lang w:val="ru-RU"/>
        </w:rPr>
        <w:t xml:space="preserve"> </w:t>
      </w:r>
      <w:r w:rsidRPr="00667ED5">
        <w:rPr>
          <w:lang w:eastAsia="bg-BG"/>
        </w:rPr>
        <w:t>(вижте точка 4.4.)</w:t>
      </w:r>
    </w:p>
    <w:p w14:paraId="2B0D75CF" w14:textId="77777777" w:rsidR="00667ED5" w:rsidRDefault="00667ED5" w:rsidP="00667ED5">
      <w:pPr>
        <w:rPr>
          <w:u w:val="single"/>
          <w:lang w:eastAsia="bg-BG"/>
        </w:rPr>
      </w:pPr>
    </w:p>
    <w:p w14:paraId="5930300B" w14:textId="01656CD9" w:rsidR="00667ED5" w:rsidRPr="00667ED5" w:rsidRDefault="00667ED5" w:rsidP="00667ED5">
      <w:pPr>
        <w:rPr>
          <w:sz w:val="24"/>
          <w:szCs w:val="24"/>
        </w:rPr>
      </w:pPr>
      <w:r w:rsidRPr="00667ED5">
        <w:rPr>
          <w:u w:val="single"/>
          <w:lang w:eastAsia="bg-BG"/>
        </w:rPr>
        <w:t>Съобщаване на подозирани нежелани реакции</w:t>
      </w:r>
    </w:p>
    <w:p w14:paraId="28AFF562" w14:textId="77777777" w:rsidR="00667ED5" w:rsidRPr="00667ED5" w:rsidRDefault="00667ED5" w:rsidP="00667ED5">
      <w:pPr>
        <w:rPr>
          <w:sz w:val="24"/>
          <w:szCs w:val="24"/>
        </w:rPr>
      </w:pPr>
      <w:r w:rsidRPr="00667ED5">
        <w:rPr>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в Изпълнителна агенция по лекарствата ул. „Дамян Груев” № 8, 1303 София, Тел.: +35 928903417, уебсайт: </w:t>
      </w:r>
      <w:r w:rsidRPr="00667ED5">
        <w:rPr>
          <w:sz w:val="24"/>
          <w:szCs w:val="24"/>
        </w:rPr>
        <w:fldChar w:fldCharType="begin"/>
      </w:r>
      <w:r w:rsidRPr="00667ED5">
        <w:rPr>
          <w:sz w:val="24"/>
          <w:szCs w:val="24"/>
        </w:rPr>
        <w:instrText xml:space="preserve"> HYPERLINK "http://www.bda.bg" </w:instrText>
      </w:r>
      <w:r w:rsidRPr="00667ED5">
        <w:rPr>
          <w:sz w:val="24"/>
          <w:szCs w:val="24"/>
        </w:rPr>
      </w:r>
      <w:r w:rsidRPr="00667ED5">
        <w:rPr>
          <w:sz w:val="24"/>
          <w:szCs w:val="24"/>
        </w:rPr>
        <w:fldChar w:fldCharType="separate"/>
      </w:r>
      <w:r w:rsidRPr="00667ED5">
        <w:rPr>
          <w:u w:val="single"/>
          <w:lang w:val="en-US"/>
        </w:rPr>
        <w:t>www.bda.bg</w:t>
      </w:r>
      <w:r w:rsidRPr="00667ED5">
        <w:rPr>
          <w:sz w:val="24"/>
          <w:szCs w:val="24"/>
        </w:rPr>
        <w:fldChar w:fldCharType="end"/>
      </w:r>
    </w:p>
    <w:p w14:paraId="192FDC74" w14:textId="3E6D49C9" w:rsidR="00667ED5" w:rsidRPr="00667ED5" w:rsidRDefault="00667ED5" w:rsidP="00667ED5"/>
    <w:p w14:paraId="4ED30546" w14:textId="01B48338" w:rsidR="007C605B" w:rsidRDefault="002C50EE" w:rsidP="009F1313">
      <w:pPr>
        <w:pStyle w:val="Heading2"/>
      </w:pPr>
      <w:r>
        <w:t>4.9. Предозиране</w:t>
      </w:r>
    </w:p>
    <w:p w14:paraId="051AB963" w14:textId="6D46CDBA" w:rsidR="00667ED5" w:rsidRDefault="00667ED5" w:rsidP="00667ED5"/>
    <w:p w14:paraId="05BAA8D9" w14:textId="77777777" w:rsidR="00667ED5" w:rsidRPr="00667ED5" w:rsidRDefault="00667ED5" w:rsidP="00667ED5">
      <w:pPr>
        <w:rPr>
          <w:sz w:val="24"/>
          <w:szCs w:val="24"/>
        </w:rPr>
      </w:pPr>
      <w:r w:rsidRPr="00667ED5">
        <w:rPr>
          <w:lang w:eastAsia="bg-BG"/>
        </w:rPr>
        <w:t>Както при другите бензодиазепини и бензодиазепино-подобни продукти предозирането не представлява опасност за живота, освен ако не е комбинирано с други вещества, депресиращи централната нервна система (включително алкохол). При поведението при предозиране на някое лекарство трябва да се има предвид, че обикновено са приети множество вещества.</w:t>
      </w:r>
    </w:p>
    <w:p w14:paraId="375CD957" w14:textId="77777777" w:rsidR="00667ED5" w:rsidRDefault="00667ED5" w:rsidP="00667ED5">
      <w:pPr>
        <w:rPr>
          <w:lang w:eastAsia="bg-BG"/>
        </w:rPr>
      </w:pPr>
    </w:p>
    <w:p w14:paraId="64EC3D29" w14:textId="0DB01686" w:rsidR="00667ED5" w:rsidRPr="00667ED5" w:rsidRDefault="00667ED5" w:rsidP="00667ED5">
      <w:pPr>
        <w:rPr>
          <w:sz w:val="24"/>
          <w:szCs w:val="24"/>
        </w:rPr>
      </w:pPr>
      <w:r w:rsidRPr="00667ED5">
        <w:rPr>
          <w:lang w:eastAsia="bg-BG"/>
        </w:rPr>
        <w:t>След предозиране на лекарствен продукт трябва да се предивика повръщане (в рамките на 1 час), ако пациентът е в съзнание или да се направи стомашна промивка при предпазване на дихателните пътища, ако пациентът не е в съзнание. Ако няма полза от изпразване на стомаха, трябва да се даде активен въглен за намаляване на абсорбцията. Хемодиализата не е полезна поради големия обем на разпределение на зопиклон. Трябва да се обърне специално внимание на сърдечно</w:t>
      </w:r>
      <w:r w:rsidRPr="00667ED5">
        <w:rPr>
          <w:lang w:eastAsia="bg-BG"/>
        </w:rPr>
        <w:softHyphen/>
        <w:t>съдовата и дихателната функция в интензивно отделение.</w:t>
      </w:r>
    </w:p>
    <w:p w14:paraId="0355CD42" w14:textId="77777777" w:rsidR="00667ED5" w:rsidRDefault="00667ED5" w:rsidP="00667ED5">
      <w:pPr>
        <w:rPr>
          <w:lang w:eastAsia="bg-BG"/>
        </w:rPr>
      </w:pPr>
    </w:p>
    <w:p w14:paraId="55F32DCD" w14:textId="2F3E47D0" w:rsidR="00667ED5" w:rsidRPr="00667ED5" w:rsidRDefault="00667ED5" w:rsidP="00667ED5">
      <w:pPr>
        <w:rPr>
          <w:sz w:val="24"/>
          <w:szCs w:val="24"/>
        </w:rPr>
      </w:pPr>
      <w:r w:rsidRPr="00667ED5">
        <w:rPr>
          <w:lang w:eastAsia="bg-BG"/>
        </w:rPr>
        <w:t>Предозирането обичайно се проявява с различна степен депресия на централната нервна система от сънливост до кома. В леките случаи симптомите включват сънливост, мисловно объркване и летаргия. При по-сериозните случаи симптомите може да включват атаксия, хипотония, хипотензия, дихателна депресия или кома.</w:t>
      </w:r>
    </w:p>
    <w:p w14:paraId="161142D9" w14:textId="77777777" w:rsidR="00667ED5" w:rsidRDefault="00667ED5" w:rsidP="00667ED5">
      <w:pPr>
        <w:rPr>
          <w:lang w:eastAsia="bg-BG"/>
        </w:rPr>
      </w:pPr>
    </w:p>
    <w:p w14:paraId="504F4355" w14:textId="000A9D1A" w:rsidR="00667ED5" w:rsidRDefault="00667ED5" w:rsidP="00667ED5">
      <w:pPr>
        <w:rPr>
          <w:lang w:eastAsia="bg-BG"/>
        </w:rPr>
      </w:pPr>
      <w:r w:rsidRPr="00667ED5">
        <w:rPr>
          <w:lang w:eastAsia="bg-BG"/>
        </w:rPr>
        <w:t xml:space="preserve">Предозирането не трябва да се лекува, освен ако не е комбинирано с други вещества депресиращи централната нервна система (включително алкохол). Други рискови фактори, като придружаващо заболяване </w:t>
      </w:r>
      <w:r w:rsidRPr="00667ED5">
        <w:rPr>
          <w:i/>
          <w:iCs/>
          <w:lang w:eastAsia="bg-BG"/>
        </w:rPr>
        <w:t>и</w:t>
      </w:r>
      <w:r w:rsidRPr="00667ED5">
        <w:rPr>
          <w:lang w:eastAsia="bg-BG"/>
        </w:rPr>
        <w:t xml:space="preserve"> увредено общо състояние на пациента може да доведат до утежняване на симптомите и много рядко до фатален изход.</w:t>
      </w:r>
    </w:p>
    <w:p w14:paraId="32398E4A" w14:textId="65148E4A" w:rsidR="00667ED5" w:rsidRDefault="00667ED5" w:rsidP="00667ED5">
      <w:pPr>
        <w:rPr>
          <w:lang w:eastAsia="bg-BG"/>
        </w:rPr>
      </w:pPr>
    </w:p>
    <w:p w14:paraId="326E378B" w14:textId="77777777" w:rsidR="00667ED5" w:rsidRPr="00667ED5" w:rsidRDefault="00667ED5" w:rsidP="00667ED5">
      <w:pPr>
        <w:rPr>
          <w:sz w:val="24"/>
          <w:szCs w:val="24"/>
        </w:rPr>
      </w:pPr>
      <w:r w:rsidRPr="00667ED5">
        <w:rPr>
          <w:lang w:eastAsia="bg-BG"/>
        </w:rPr>
        <w:t>Препоръчва се симптоматично и поддържащо лечение в адекватни клинични условия, като трябва да се обърне внимание на дихателните и сърдечно-съдовите функции. Стомашната промивка е полезна само когато се провежда скоро след приема. Хемодиализата не е полезна поради големия обем на разпределение на зопиклон.</w:t>
      </w:r>
    </w:p>
    <w:p w14:paraId="5C9DF86D" w14:textId="77777777" w:rsidR="00667ED5" w:rsidRDefault="00667ED5" w:rsidP="00667ED5">
      <w:pPr>
        <w:rPr>
          <w:lang w:eastAsia="bg-BG"/>
        </w:rPr>
      </w:pPr>
    </w:p>
    <w:p w14:paraId="4955A5E3" w14:textId="75C9DFDC" w:rsidR="00667ED5" w:rsidRPr="00667ED5" w:rsidRDefault="00667ED5" w:rsidP="00667ED5">
      <w:pPr>
        <w:rPr>
          <w:sz w:val="24"/>
          <w:szCs w:val="24"/>
        </w:rPr>
      </w:pPr>
      <w:r w:rsidRPr="00667ED5">
        <w:rPr>
          <w:lang w:eastAsia="bg-BG"/>
        </w:rPr>
        <w:t>Флумазенил може да бъде полезен като антидот.</w:t>
      </w:r>
    </w:p>
    <w:p w14:paraId="60A39974" w14:textId="77777777" w:rsidR="00667ED5" w:rsidRPr="00667ED5" w:rsidRDefault="00667ED5" w:rsidP="00667ED5"/>
    <w:p w14:paraId="02081B24" w14:textId="1F46E296" w:rsidR="00395555" w:rsidRPr="00395555" w:rsidRDefault="002C50EE" w:rsidP="008A6AF2">
      <w:pPr>
        <w:pStyle w:val="Heading1"/>
      </w:pPr>
      <w:r>
        <w:lastRenderedPageBreak/>
        <w:t>5. ФАРМАКОЛОГИЧНИ СВОЙСТВА</w:t>
      </w:r>
    </w:p>
    <w:p w14:paraId="5350637D" w14:textId="33505107" w:rsidR="00395555" w:rsidRDefault="002C50EE" w:rsidP="008A6AF2">
      <w:pPr>
        <w:pStyle w:val="Heading2"/>
      </w:pPr>
      <w:r>
        <w:t>5.1. Фармакодинамични свойства</w:t>
      </w:r>
    </w:p>
    <w:p w14:paraId="2B4154CF" w14:textId="045F45D2" w:rsidR="00667ED5" w:rsidRDefault="00667ED5" w:rsidP="00667ED5"/>
    <w:p w14:paraId="1D3837CE" w14:textId="77777777" w:rsidR="00667ED5" w:rsidRPr="00667ED5" w:rsidRDefault="00667ED5" w:rsidP="00667ED5">
      <w:pPr>
        <w:rPr>
          <w:sz w:val="24"/>
          <w:szCs w:val="24"/>
        </w:rPr>
      </w:pPr>
      <w:r w:rsidRPr="00667ED5">
        <w:rPr>
          <w:lang w:eastAsia="bg-BG"/>
        </w:rPr>
        <w:t xml:space="preserve">Фармакотерапевтична група: Бензодиазепиноподобни продукти. АТС код: </w:t>
      </w:r>
      <w:r w:rsidRPr="00667ED5">
        <w:rPr>
          <w:lang w:val="en-US"/>
        </w:rPr>
        <w:t>N</w:t>
      </w:r>
      <w:r w:rsidRPr="00667ED5">
        <w:rPr>
          <w:lang w:val="ru-RU"/>
        </w:rPr>
        <w:t>05</w:t>
      </w:r>
      <w:r w:rsidRPr="00667ED5">
        <w:rPr>
          <w:lang w:val="en-US"/>
        </w:rPr>
        <w:t>CF</w:t>
      </w:r>
      <w:r w:rsidRPr="00667ED5">
        <w:rPr>
          <w:lang w:val="ru-RU"/>
        </w:rPr>
        <w:t>01</w:t>
      </w:r>
    </w:p>
    <w:p w14:paraId="5ECE1E39" w14:textId="77777777" w:rsidR="00667ED5" w:rsidRDefault="00667ED5" w:rsidP="00667ED5">
      <w:pPr>
        <w:rPr>
          <w:u w:val="single"/>
          <w:lang w:eastAsia="bg-BG"/>
        </w:rPr>
      </w:pPr>
    </w:p>
    <w:p w14:paraId="10C1A4FE" w14:textId="2D2425E2" w:rsidR="00667ED5" w:rsidRPr="00667ED5" w:rsidRDefault="00667ED5" w:rsidP="00667ED5">
      <w:pPr>
        <w:rPr>
          <w:sz w:val="24"/>
          <w:szCs w:val="24"/>
        </w:rPr>
      </w:pPr>
      <w:r w:rsidRPr="00667ED5">
        <w:rPr>
          <w:u w:val="single"/>
          <w:lang w:eastAsia="bg-BG"/>
        </w:rPr>
        <w:t>Механизъм на действие:</w:t>
      </w:r>
    </w:p>
    <w:p w14:paraId="6FE35EDD" w14:textId="77777777" w:rsidR="00667ED5" w:rsidRPr="00667ED5" w:rsidRDefault="00667ED5" w:rsidP="00667ED5">
      <w:pPr>
        <w:rPr>
          <w:sz w:val="24"/>
          <w:szCs w:val="24"/>
        </w:rPr>
      </w:pPr>
      <w:r w:rsidRPr="00667ED5">
        <w:rPr>
          <w:lang w:eastAsia="bg-BG"/>
        </w:rPr>
        <w:t xml:space="preserve">Зопиклон принадлежи към една нова група </w:t>
      </w:r>
      <w:r w:rsidRPr="00667ED5">
        <w:rPr>
          <w:i/>
          <w:iCs/>
          <w:lang w:eastAsia="bg-BG"/>
        </w:rPr>
        <w:t>сънотворни</w:t>
      </w:r>
      <w:r w:rsidRPr="00667ED5">
        <w:rPr>
          <w:lang w:eastAsia="bg-BG"/>
        </w:rPr>
        <w:t xml:space="preserve"> средства (циклопиролонова група). Отличава се с бързо начало на действие, дължащо се на свързването към бензодиазепиновите рецептори, обаче, неговият механизъм на действие е различен от този на бензодиазепините. Подобно на диазепам, действието на зопиклон се медиира от увеличената активност на гама- аминомаслената киселина </w:t>
      </w:r>
      <w:r w:rsidRPr="00667ED5">
        <w:rPr>
          <w:lang w:val="ru-RU"/>
        </w:rPr>
        <w:t>(</w:t>
      </w:r>
      <w:r w:rsidRPr="00667ED5">
        <w:rPr>
          <w:lang w:val="en-US"/>
        </w:rPr>
        <w:t>GABA</w:t>
      </w:r>
      <w:r w:rsidRPr="00667ED5">
        <w:rPr>
          <w:lang w:val="ru-RU"/>
        </w:rPr>
        <w:t xml:space="preserve">) </w:t>
      </w:r>
      <w:r w:rsidRPr="00667ED5">
        <w:rPr>
          <w:lang w:eastAsia="bg-BG"/>
        </w:rPr>
        <w:t>в мозъка.</w:t>
      </w:r>
    </w:p>
    <w:p w14:paraId="399F3E41" w14:textId="77777777" w:rsidR="00667ED5" w:rsidRDefault="00667ED5" w:rsidP="00667ED5">
      <w:pPr>
        <w:rPr>
          <w:lang w:eastAsia="bg-BG"/>
        </w:rPr>
      </w:pPr>
    </w:p>
    <w:p w14:paraId="00BB4624" w14:textId="2EBD9238" w:rsidR="00667ED5" w:rsidRPr="00667ED5" w:rsidRDefault="00667ED5" w:rsidP="00667ED5">
      <w:pPr>
        <w:rPr>
          <w:sz w:val="24"/>
          <w:szCs w:val="24"/>
        </w:rPr>
      </w:pPr>
      <w:r w:rsidRPr="00667ED5">
        <w:rPr>
          <w:lang w:eastAsia="bg-BG"/>
        </w:rPr>
        <w:t>В терапевтични дози зопиклон скъсява времето за заспиване, намалява броя на събужданията през нощта и подобрява продължителността и качеството на съня.</w:t>
      </w:r>
    </w:p>
    <w:p w14:paraId="2D3393E5" w14:textId="77777777" w:rsidR="00667ED5" w:rsidRDefault="00667ED5" w:rsidP="00667ED5">
      <w:pPr>
        <w:rPr>
          <w:lang w:eastAsia="bg-BG"/>
        </w:rPr>
      </w:pPr>
    </w:p>
    <w:p w14:paraId="2B7E7E50" w14:textId="2EC0957C" w:rsidR="00667ED5" w:rsidRPr="00667ED5" w:rsidRDefault="00667ED5" w:rsidP="00667ED5">
      <w:pPr>
        <w:rPr>
          <w:sz w:val="24"/>
          <w:szCs w:val="24"/>
        </w:rPr>
      </w:pPr>
      <w:r w:rsidRPr="00667ED5">
        <w:rPr>
          <w:lang w:eastAsia="bg-BG"/>
        </w:rPr>
        <w:t>Освен сънотворното действие, зопиклон има също така и успокоително, антиконвулсивно и слабо миорелаксантно действие.</w:t>
      </w:r>
    </w:p>
    <w:p w14:paraId="56063ABE" w14:textId="77777777" w:rsidR="00667ED5" w:rsidRPr="00667ED5" w:rsidRDefault="00667ED5" w:rsidP="00667ED5"/>
    <w:p w14:paraId="26535098" w14:textId="246A69B8" w:rsidR="00395555" w:rsidRDefault="002C50EE" w:rsidP="008A6AF2">
      <w:pPr>
        <w:pStyle w:val="Heading2"/>
      </w:pPr>
      <w:r>
        <w:t>5.2. Фармакокинетични свойства</w:t>
      </w:r>
    </w:p>
    <w:p w14:paraId="216678BC" w14:textId="7332834F" w:rsidR="00667ED5" w:rsidRDefault="00667ED5" w:rsidP="00667ED5"/>
    <w:p w14:paraId="1F20975E" w14:textId="77777777" w:rsidR="00667ED5" w:rsidRPr="00667ED5" w:rsidRDefault="00667ED5" w:rsidP="00667ED5">
      <w:pPr>
        <w:rPr>
          <w:sz w:val="24"/>
          <w:szCs w:val="24"/>
        </w:rPr>
      </w:pPr>
      <w:r w:rsidRPr="00667ED5">
        <w:rPr>
          <w:lang w:eastAsia="bg-BG"/>
        </w:rPr>
        <w:t>Зопиклон се резорбира бързо след перорален прием. Максимални плазмени концентрации се достигат след 1 до 1,5 часа след приема. Серумните концентрации и резорбцията не са дозо- зависими. Свързването с плазмените протеини е около 45 %, а рискът от взаимодействия поради изместване от местата на свързване с протеините е клинично незначителен. Бионаличността на зопиклон е 75 - 94 %.</w:t>
      </w:r>
    </w:p>
    <w:p w14:paraId="405BC3A5" w14:textId="77777777" w:rsidR="00667ED5" w:rsidRPr="00667ED5" w:rsidRDefault="00667ED5" w:rsidP="00667ED5">
      <w:pPr>
        <w:rPr>
          <w:sz w:val="24"/>
          <w:szCs w:val="24"/>
        </w:rPr>
      </w:pPr>
      <w:r w:rsidRPr="00667ED5">
        <w:rPr>
          <w:lang w:eastAsia="bg-BG"/>
        </w:rPr>
        <w:t xml:space="preserve">Зопиклон се метаболизира до два основни метаболита: </w:t>
      </w:r>
      <w:r w:rsidRPr="00667ED5">
        <w:rPr>
          <w:lang w:val="en-US"/>
        </w:rPr>
        <w:t>N</w:t>
      </w:r>
      <w:r w:rsidRPr="00667ED5">
        <w:rPr>
          <w:lang w:eastAsia="bg-BG"/>
        </w:rPr>
        <w:t>-деметил зопиклон (биологично неактивен) и зопиклон-</w:t>
      </w:r>
      <w:r w:rsidRPr="00667ED5">
        <w:rPr>
          <w:lang w:val="en-US"/>
        </w:rPr>
        <w:t>N</w:t>
      </w:r>
      <w:r w:rsidRPr="00667ED5">
        <w:rPr>
          <w:lang w:eastAsia="bg-BG"/>
        </w:rPr>
        <w:t xml:space="preserve">-оксид (биологично активен). Биологичният полуживот на </w:t>
      </w:r>
      <w:r w:rsidRPr="00667ED5">
        <w:rPr>
          <w:lang w:val="en-US"/>
        </w:rPr>
        <w:t>N</w:t>
      </w:r>
      <w:r w:rsidRPr="00667ED5">
        <w:rPr>
          <w:lang w:eastAsia="bg-BG"/>
        </w:rPr>
        <w:t>-деметил зопиклон и зопиклон-</w:t>
      </w:r>
      <w:r w:rsidRPr="00667ED5">
        <w:rPr>
          <w:lang w:val="en-US"/>
        </w:rPr>
        <w:t>N</w:t>
      </w:r>
      <w:r w:rsidRPr="00667ED5">
        <w:rPr>
          <w:lang w:eastAsia="bg-BG"/>
        </w:rPr>
        <w:t>-оксид е съответно 7,4 часа и 4,5 часа. Дълготрайната употреба на лекарствения продукт не води до натрупване на Зопиклон или неговите метаболити, нито до ензимна индукция.</w:t>
      </w:r>
    </w:p>
    <w:p w14:paraId="1B6D6A42" w14:textId="77777777" w:rsidR="00667ED5" w:rsidRPr="00667ED5" w:rsidRDefault="00667ED5" w:rsidP="00667ED5">
      <w:pPr>
        <w:rPr>
          <w:sz w:val="24"/>
          <w:szCs w:val="24"/>
        </w:rPr>
      </w:pPr>
      <w:r w:rsidRPr="00667ED5">
        <w:rPr>
          <w:lang w:eastAsia="bg-BG"/>
        </w:rPr>
        <w:t xml:space="preserve">При приемане в терапевтични дози, времето на полуживот на Зопиклон е около 5 часа (3,5 - 6 часа). Сравнението между ниския бъбречен клирънс на непромененото активно вещество (8,4 </w:t>
      </w:r>
      <w:r w:rsidRPr="00667ED5">
        <w:rPr>
          <w:lang w:val="en-US"/>
        </w:rPr>
        <w:t>ml</w:t>
      </w:r>
      <w:r w:rsidRPr="00667ED5">
        <w:rPr>
          <w:lang w:val="ru-RU"/>
        </w:rPr>
        <w:t>/</w:t>
      </w:r>
      <w:r w:rsidRPr="00667ED5">
        <w:rPr>
          <w:lang w:val="en-US"/>
        </w:rPr>
        <w:t>min</w:t>
      </w:r>
      <w:r w:rsidRPr="00667ED5">
        <w:rPr>
          <w:lang w:val="ru-RU"/>
        </w:rPr>
        <w:t xml:space="preserve">) </w:t>
      </w:r>
      <w:r w:rsidRPr="00667ED5">
        <w:rPr>
          <w:lang w:eastAsia="bg-BG"/>
        </w:rPr>
        <w:t xml:space="preserve">и плазмения клирънс (232 </w:t>
      </w:r>
      <w:r w:rsidRPr="00667ED5">
        <w:rPr>
          <w:lang w:val="en-US"/>
        </w:rPr>
        <w:t>ml</w:t>
      </w:r>
      <w:r w:rsidRPr="00667ED5">
        <w:rPr>
          <w:lang w:val="ru-RU"/>
        </w:rPr>
        <w:t>/</w:t>
      </w:r>
      <w:r w:rsidRPr="00667ED5">
        <w:rPr>
          <w:lang w:val="en-US"/>
        </w:rPr>
        <w:t>min</w:t>
      </w:r>
      <w:r w:rsidRPr="00667ED5">
        <w:rPr>
          <w:lang w:val="ru-RU"/>
        </w:rPr>
        <w:t xml:space="preserve">) </w:t>
      </w:r>
      <w:r w:rsidRPr="00667ED5">
        <w:rPr>
          <w:lang w:eastAsia="bg-BG"/>
        </w:rPr>
        <w:t>показва, че метаболитният клирънс на зопиклон е доминиращ. Обемът на разпределение на Зопиклон е около 1001. 80% от приетата доза се елиминира под формата на двата основни метаболита в урината, докато 16% се екскретира във фекалите. Около 4-5% от приетата доза се екскретира в непроменена форма в урината.</w:t>
      </w:r>
    </w:p>
    <w:p w14:paraId="4F922D3C" w14:textId="77777777" w:rsidR="00667ED5" w:rsidRPr="00667ED5" w:rsidRDefault="00667ED5" w:rsidP="00667ED5">
      <w:pPr>
        <w:rPr>
          <w:sz w:val="24"/>
          <w:szCs w:val="24"/>
        </w:rPr>
      </w:pPr>
      <w:r w:rsidRPr="00667ED5">
        <w:rPr>
          <w:lang w:eastAsia="bg-BG"/>
        </w:rPr>
        <w:t>В продължение на 24 до 48 часа след приема на последната доза, зопиклон и неговите два основни метаболита се елиминират 100%.</w:t>
      </w:r>
    </w:p>
    <w:p w14:paraId="3C6FED80" w14:textId="77777777" w:rsidR="00667ED5" w:rsidRDefault="00667ED5" w:rsidP="00667ED5">
      <w:pPr>
        <w:rPr>
          <w:lang w:eastAsia="bg-BG"/>
        </w:rPr>
      </w:pPr>
    </w:p>
    <w:p w14:paraId="35DE26AC" w14:textId="3C9BB4B2" w:rsidR="00667ED5" w:rsidRPr="00667ED5" w:rsidRDefault="00667ED5" w:rsidP="00667ED5">
      <w:pPr>
        <w:rPr>
          <w:sz w:val="24"/>
          <w:szCs w:val="24"/>
        </w:rPr>
      </w:pPr>
      <w:r w:rsidRPr="00667ED5">
        <w:rPr>
          <w:lang w:eastAsia="bg-BG"/>
        </w:rPr>
        <w:t>Чернодробният метаболизъм на зопиклон е слабо понижен при пациенти в напреднала възраст, което удължава времето на полуживот до приблизително 7 часа. При пациенти с бъбречна недостатъчност не е потвърдено натрупване на зопиклон и неговите метаболити.</w:t>
      </w:r>
    </w:p>
    <w:p w14:paraId="267E6017" w14:textId="77777777" w:rsidR="00667ED5" w:rsidRPr="00667ED5" w:rsidRDefault="00667ED5" w:rsidP="00667ED5">
      <w:pPr>
        <w:rPr>
          <w:sz w:val="24"/>
          <w:szCs w:val="24"/>
        </w:rPr>
      </w:pPr>
      <w:r w:rsidRPr="00667ED5">
        <w:rPr>
          <w:lang w:eastAsia="bg-BG"/>
        </w:rPr>
        <w:t>При пациенти с чернодробна цироза плазменият клирънс на зопиклон е понижен приблизително с</w:t>
      </w:r>
    </w:p>
    <w:p w14:paraId="59391065" w14:textId="77777777" w:rsidR="00667ED5" w:rsidRPr="00667ED5" w:rsidRDefault="00667ED5" w:rsidP="00667ED5">
      <w:pPr>
        <w:rPr>
          <w:sz w:val="24"/>
          <w:szCs w:val="24"/>
        </w:rPr>
      </w:pPr>
      <w:r w:rsidRPr="00667ED5">
        <w:rPr>
          <w:lang w:eastAsia="bg-BG"/>
        </w:rPr>
        <w:lastRenderedPageBreak/>
        <w:t>40%, в зависимост от степента на понижаване на способността за деметилиране. При тези</w:t>
      </w:r>
    </w:p>
    <w:p w14:paraId="73E464AF" w14:textId="2CF7235D" w:rsidR="00667ED5" w:rsidRDefault="00667ED5" w:rsidP="00667ED5">
      <w:pPr>
        <w:rPr>
          <w:lang w:eastAsia="bg-BG"/>
        </w:rPr>
      </w:pPr>
      <w:r w:rsidRPr="00667ED5">
        <w:rPr>
          <w:lang w:eastAsia="bg-BG"/>
        </w:rPr>
        <w:t>пациенти е необходимо дозировката да бъде намалена.</w:t>
      </w:r>
    </w:p>
    <w:p w14:paraId="201474CA" w14:textId="77777777" w:rsidR="00667ED5" w:rsidRPr="00667ED5" w:rsidRDefault="00667ED5" w:rsidP="00667ED5"/>
    <w:p w14:paraId="028E658A" w14:textId="4BD1203B" w:rsidR="00395555" w:rsidRDefault="002C50EE" w:rsidP="008A6AF2">
      <w:pPr>
        <w:pStyle w:val="Heading2"/>
      </w:pPr>
      <w:r>
        <w:t>5.3. Предклинични данни за безопасност</w:t>
      </w:r>
    </w:p>
    <w:p w14:paraId="30CE4FC6" w14:textId="75D73EAF" w:rsidR="00667ED5" w:rsidRDefault="00667ED5" w:rsidP="00667ED5"/>
    <w:p w14:paraId="79F3B175" w14:textId="77777777" w:rsidR="00667ED5" w:rsidRPr="00667ED5" w:rsidRDefault="00667ED5" w:rsidP="00667ED5">
      <w:pPr>
        <w:rPr>
          <w:sz w:val="24"/>
          <w:szCs w:val="24"/>
        </w:rPr>
      </w:pPr>
      <w:r w:rsidRPr="00667ED5">
        <w:rPr>
          <w:lang w:eastAsia="bg-BG"/>
        </w:rPr>
        <w:t>Няма данни, от направените до момента токсикологични изследвания върху животни, които да са потенциално клинично важни или значими, Зопиклон няма, както мутагенен, така и тератогенен потенциал. Изследванията за канцерогенност не показват канцерогенен потенциал на зопиклон при продължителна употреба в препоръчваните дози.</w:t>
      </w:r>
    </w:p>
    <w:p w14:paraId="72613843" w14:textId="77777777" w:rsidR="00667ED5" w:rsidRDefault="00667ED5" w:rsidP="00667ED5">
      <w:pPr>
        <w:rPr>
          <w:lang w:val="en-US"/>
        </w:rPr>
      </w:pPr>
    </w:p>
    <w:p w14:paraId="14EBD8DB" w14:textId="36EB0D12" w:rsidR="00667ED5" w:rsidRPr="00667ED5" w:rsidRDefault="00667ED5" w:rsidP="00667ED5">
      <w:pPr>
        <w:rPr>
          <w:sz w:val="24"/>
          <w:szCs w:val="24"/>
        </w:rPr>
      </w:pPr>
      <w:r w:rsidRPr="00667ED5">
        <w:rPr>
          <w:lang w:val="en-US"/>
        </w:rPr>
        <w:t>LD</w:t>
      </w:r>
      <w:r w:rsidRPr="00667ED5">
        <w:rPr>
          <w:vertAlign w:val="subscript"/>
          <w:lang w:val="ru-RU"/>
        </w:rPr>
        <w:t>50</w:t>
      </w:r>
      <w:r w:rsidRPr="00667ED5">
        <w:rPr>
          <w:lang w:val="ru-RU"/>
        </w:rPr>
        <w:t xml:space="preserve"> </w:t>
      </w:r>
      <w:r w:rsidRPr="00667ED5">
        <w:rPr>
          <w:lang w:eastAsia="bg-BG"/>
        </w:rPr>
        <w:t xml:space="preserve">при плъхове и мишки след перорално приложение е съответно 827 </w:t>
      </w:r>
      <w:r w:rsidRPr="00667ED5">
        <w:rPr>
          <w:lang w:val="en-US"/>
        </w:rPr>
        <w:t>mg</w:t>
      </w:r>
      <w:r w:rsidRPr="00667ED5">
        <w:rPr>
          <w:lang w:val="ru-RU"/>
        </w:rPr>
        <w:t>/</w:t>
      </w:r>
      <w:r w:rsidRPr="00667ED5">
        <w:rPr>
          <w:lang w:val="en-US"/>
        </w:rPr>
        <w:t>kg</w:t>
      </w:r>
      <w:r w:rsidRPr="00667ED5">
        <w:rPr>
          <w:lang w:val="ru-RU"/>
        </w:rPr>
        <w:t xml:space="preserve"> </w:t>
      </w:r>
      <w:r w:rsidRPr="00667ED5">
        <w:rPr>
          <w:lang w:eastAsia="bg-BG"/>
        </w:rPr>
        <w:t xml:space="preserve">и 2174 </w:t>
      </w:r>
      <w:r w:rsidRPr="00667ED5">
        <w:rPr>
          <w:lang w:val="en-US"/>
        </w:rPr>
        <w:t>mg</w:t>
      </w:r>
      <w:r w:rsidRPr="00667ED5">
        <w:rPr>
          <w:lang w:val="ru-RU"/>
        </w:rPr>
        <w:t>/</w:t>
      </w:r>
      <w:r w:rsidRPr="00667ED5">
        <w:rPr>
          <w:lang w:val="en-US"/>
        </w:rPr>
        <w:t>kg</w:t>
      </w:r>
      <w:r w:rsidRPr="00667ED5">
        <w:rPr>
          <w:lang w:val="ru-RU"/>
        </w:rPr>
        <w:t xml:space="preserve"> </w:t>
      </w:r>
      <w:r w:rsidRPr="00667ED5">
        <w:rPr>
          <w:lang w:eastAsia="bg-BG"/>
        </w:rPr>
        <w:t>т.т.</w:t>
      </w:r>
    </w:p>
    <w:p w14:paraId="5D8CC505" w14:textId="77777777" w:rsidR="00667ED5" w:rsidRPr="00667ED5" w:rsidRDefault="00667ED5" w:rsidP="00667ED5"/>
    <w:p w14:paraId="6A7820AB" w14:textId="16B8628C" w:rsidR="008A6AF2" w:rsidRDefault="002C50EE" w:rsidP="00395555">
      <w:pPr>
        <w:pStyle w:val="Heading1"/>
      </w:pPr>
      <w:r>
        <w:t>7. ПРИТЕЖАТЕЛ НА РАЗРЕШЕНИЕТО ЗА УПОТРЕБА</w:t>
      </w:r>
    </w:p>
    <w:p w14:paraId="3AA9403E" w14:textId="0A126AE3" w:rsidR="00667ED5" w:rsidRDefault="00667ED5" w:rsidP="00667ED5"/>
    <w:p w14:paraId="7775066D" w14:textId="77777777" w:rsidR="00667ED5" w:rsidRPr="00667ED5" w:rsidRDefault="00667ED5" w:rsidP="00667ED5">
      <w:pPr>
        <w:rPr>
          <w:sz w:val="24"/>
          <w:szCs w:val="24"/>
        </w:rPr>
      </w:pPr>
      <w:r w:rsidRPr="00667ED5">
        <w:rPr>
          <w:lang w:val="en-US"/>
        </w:rPr>
        <w:t>CHEPLAPHARM</w:t>
      </w:r>
      <w:r w:rsidRPr="00667ED5">
        <w:t xml:space="preserve"> </w:t>
      </w:r>
      <w:proofErr w:type="spellStart"/>
      <w:r w:rsidRPr="00667ED5">
        <w:rPr>
          <w:lang w:val="en-US"/>
        </w:rPr>
        <w:t>Arzneimittel</w:t>
      </w:r>
      <w:proofErr w:type="spellEnd"/>
      <w:r w:rsidRPr="00667ED5">
        <w:t xml:space="preserve"> </w:t>
      </w:r>
      <w:r w:rsidRPr="00667ED5">
        <w:rPr>
          <w:lang w:val="en-US"/>
        </w:rPr>
        <w:t>GmbH</w:t>
      </w:r>
    </w:p>
    <w:p w14:paraId="5F84715E" w14:textId="77777777" w:rsidR="00667ED5" w:rsidRPr="00667ED5" w:rsidRDefault="00667ED5" w:rsidP="00667ED5">
      <w:pPr>
        <w:rPr>
          <w:sz w:val="24"/>
          <w:szCs w:val="24"/>
        </w:rPr>
      </w:pPr>
      <w:proofErr w:type="spellStart"/>
      <w:r w:rsidRPr="00667ED5">
        <w:rPr>
          <w:lang w:val="en-US"/>
        </w:rPr>
        <w:t>Ziegelhof</w:t>
      </w:r>
      <w:proofErr w:type="spellEnd"/>
      <w:r w:rsidRPr="00667ED5">
        <w:t xml:space="preserve"> </w:t>
      </w:r>
      <w:r w:rsidRPr="00667ED5">
        <w:rPr>
          <w:lang w:eastAsia="bg-BG"/>
        </w:rPr>
        <w:t>24</w:t>
      </w:r>
      <w:proofErr w:type="gramStart"/>
      <w:r w:rsidRPr="00667ED5">
        <w:rPr>
          <w:lang w:eastAsia="bg-BG"/>
        </w:rPr>
        <w:t>,17489</w:t>
      </w:r>
      <w:proofErr w:type="gramEnd"/>
      <w:r w:rsidRPr="00667ED5">
        <w:rPr>
          <w:lang w:eastAsia="bg-BG"/>
        </w:rPr>
        <w:t xml:space="preserve"> </w:t>
      </w:r>
      <w:r w:rsidRPr="00667ED5">
        <w:rPr>
          <w:lang w:val="en-US"/>
        </w:rPr>
        <w:t>Greifswald</w:t>
      </w:r>
    </w:p>
    <w:p w14:paraId="7F9B2A34" w14:textId="76FE0108" w:rsidR="00667ED5" w:rsidRPr="00667ED5" w:rsidRDefault="00667ED5" w:rsidP="00667ED5">
      <w:r w:rsidRPr="00667ED5">
        <w:rPr>
          <w:lang w:eastAsia="bg-BG"/>
        </w:rPr>
        <w:t>Германия</w:t>
      </w:r>
    </w:p>
    <w:p w14:paraId="04840D59" w14:textId="097A809A" w:rsidR="002C50EE" w:rsidRDefault="002C50EE" w:rsidP="00395555">
      <w:pPr>
        <w:pStyle w:val="Heading1"/>
      </w:pPr>
      <w:r>
        <w:t>8. НОМЕР НА РАЗРЕШЕНИЕТО ЗА УПОТРЕБА</w:t>
      </w:r>
    </w:p>
    <w:p w14:paraId="3BA44E9D" w14:textId="2968BF7E" w:rsidR="00667ED5" w:rsidRDefault="00667ED5" w:rsidP="00667ED5"/>
    <w:p w14:paraId="3287122D" w14:textId="5D546B62" w:rsidR="00667ED5" w:rsidRPr="00667ED5" w:rsidRDefault="00667ED5" w:rsidP="00667ED5">
      <w:r>
        <w:t>20010133</w:t>
      </w:r>
    </w:p>
    <w:p w14:paraId="2CCB5832" w14:textId="0AA872EF" w:rsidR="007C605B" w:rsidRDefault="002C50EE" w:rsidP="007C605B">
      <w:pPr>
        <w:pStyle w:val="Heading1"/>
      </w:pPr>
      <w:r>
        <w:t>9. ДАТА НА ПЪРВО РАЗРЕШАВАНЕ/ПОДНОВЯВАНЕ НА РАЗРЕШЕНИЕТО ЗА УПОТРЕБА</w:t>
      </w:r>
    </w:p>
    <w:p w14:paraId="7B4DF69D" w14:textId="78FAE349" w:rsidR="00667ED5" w:rsidRDefault="00667ED5" w:rsidP="00667ED5"/>
    <w:p w14:paraId="4BEE6A45" w14:textId="00B02913" w:rsidR="00667ED5" w:rsidRPr="00667ED5" w:rsidRDefault="00667ED5" w:rsidP="00667ED5">
      <w:r>
        <w:t>18.01.2001</w:t>
      </w:r>
    </w:p>
    <w:p w14:paraId="0E9D0119" w14:textId="0245C6D7" w:rsidR="002C50EE" w:rsidRDefault="002C50EE" w:rsidP="002C50EE">
      <w:pPr>
        <w:pStyle w:val="Heading1"/>
      </w:pPr>
      <w:r>
        <w:t>10. ДАТА НА АКТУАЛИЗИРАНЕ НА ТЕКСТА</w:t>
      </w:r>
    </w:p>
    <w:bookmarkEnd w:id="0"/>
    <w:p w14:paraId="43FB38A2" w14:textId="02B1693B" w:rsidR="007C605B" w:rsidRPr="003E3126" w:rsidRDefault="00667ED5" w:rsidP="00667ED5">
      <w:r>
        <w:t>06.2021 год.</w:t>
      </w:r>
      <w:bookmarkStart w:id="6" w:name="_GoBack"/>
      <w:bookmarkEnd w:id="6"/>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993596"/>
    <w:multiLevelType w:val="hybridMultilevel"/>
    <w:tmpl w:val="1876C70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6"/>
  </w:num>
  <w:num w:numId="2">
    <w:abstractNumId w:val="0"/>
  </w:num>
  <w:num w:numId="3">
    <w:abstractNumId w:val="12"/>
  </w:num>
  <w:num w:numId="4">
    <w:abstractNumId w:val="3"/>
  </w:num>
  <w:num w:numId="5">
    <w:abstractNumId w:val="1"/>
  </w:num>
  <w:num w:numId="6">
    <w:abstractNumId w:val="15"/>
  </w:num>
  <w:num w:numId="7">
    <w:abstractNumId w:val="10"/>
  </w:num>
  <w:num w:numId="8">
    <w:abstractNumId w:val="14"/>
  </w:num>
  <w:num w:numId="9">
    <w:abstractNumId w:val="2"/>
  </w:num>
  <w:num w:numId="10">
    <w:abstractNumId w:val="4"/>
  </w:num>
  <w:num w:numId="11">
    <w:abstractNumId w:val="28"/>
  </w:num>
  <w:num w:numId="12">
    <w:abstractNumId w:val="13"/>
  </w:num>
  <w:num w:numId="13">
    <w:abstractNumId w:val="18"/>
  </w:num>
  <w:num w:numId="14">
    <w:abstractNumId w:val="11"/>
  </w:num>
  <w:num w:numId="15">
    <w:abstractNumId w:val="27"/>
  </w:num>
  <w:num w:numId="16">
    <w:abstractNumId w:val="9"/>
  </w:num>
  <w:num w:numId="17">
    <w:abstractNumId w:val="23"/>
  </w:num>
  <w:num w:numId="18">
    <w:abstractNumId w:val="7"/>
  </w:num>
  <w:num w:numId="19">
    <w:abstractNumId w:val="25"/>
  </w:num>
  <w:num w:numId="20">
    <w:abstractNumId w:val="22"/>
  </w:num>
  <w:num w:numId="21">
    <w:abstractNumId w:val="16"/>
  </w:num>
  <w:num w:numId="22">
    <w:abstractNumId w:val="24"/>
  </w:num>
  <w:num w:numId="23">
    <w:abstractNumId w:val="17"/>
  </w:num>
  <w:num w:numId="24">
    <w:abstractNumId w:val="8"/>
  </w:num>
  <w:num w:numId="25">
    <w:abstractNumId w:val="21"/>
  </w:num>
  <w:num w:numId="26">
    <w:abstractNumId w:val="20"/>
  </w:num>
  <w:num w:numId="27">
    <w:abstractNumId w:val="29"/>
  </w:num>
  <w:num w:numId="28">
    <w:abstractNumId w:val="6"/>
  </w:num>
  <w:num w:numId="29">
    <w:abstractNumId w:val="19"/>
  </w:num>
  <w:num w:numId="30">
    <w:abstractNumId w:val="31"/>
  </w:num>
  <w:num w:numId="31">
    <w:abstractNumId w:val="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D4D6B"/>
    <w:rsid w:val="00517A5B"/>
    <w:rsid w:val="00593A00"/>
    <w:rsid w:val="005A66D9"/>
    <w:rsid w:val="00605BCA"/>
    <w:rsid w:val="006158A1"/>
    <w:rsid w:val="00617B1F"/>
    <w:rsid w:val="00667ED5"/>
    <w:rsid w:val="00672487"/>
    <w:rsid w:val="00672600"/>
    <w:rsid w:val="00681D4A"/>
    <w:rsid w:val="00685882"/>
    <w:rsid w:val="0075649D"/>
    <w:rsid w:val="007C605B"/>
    <w:rsid w:val="00814073"/>
    <w:rsid w:val="00826F0D"/>
    <w:rsid w:val="00893B92"/>
    <w:rsid w:val="008A6AF2"/>
    <w:rsid w:val="008C70A2"/>
    <w:rsid w:val="009773E4"/>
    <w:rsid w:val="009B171C"/>
    <w:rsid w:val="009F1313"/>
    <w:rsid w:val="00A20351"/>
    <w:rsid w:val="00AA23EC"/>
    <w:rsid w:val="00AC63CE"/>
    <w:rsid w:val="00AE2107"/>
    <w:rsid w:val="00B275A8"/>
    <w:rsid w:val="00BF2600"/>
    <w:rsid w:val="00C0049F"/>
    <w:rsid w:val="00C07B84"/>
    <w:rsid w:val="00C33464"/>
    <w:rsid w:val="00C809A7"/>
    <w:rsid w:val="00C83063"/>
    <w:rsid w:val="00C87E90"/>
    <w:rsid w:val="00CA1B5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CA17D-C5EB-49C9-9611-C4F1312F9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2593</Words>
  <Characters>14783</Characters>
  <Application>Microsoft Office Word</Application>
  <DocSecurity>0</DocSecurity>
  <Lines>123</Lines>
  <Paragraphs>34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2022-01-16T23:09:00Z</dcterms:created>
  <dcterms:modified xsi:type="dcterms:W3CDTF">2022-01-16T23:09:00Z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