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A328C" w14:textId="16329281" w:rsidR="002C50EE" w:rsidRDefault="002C50EE" w:rsidP="002C50EE">
      <w:pPr>
        <w:pStyle w:val="Heading1"/>
        <w:jc w:val="center"/>
      </w:pPr>
      <w:bookmarkStart w:id="0" w:name="_Hlk63124480"/>
      <w:r>
        <w:t>КРАТКА ХАРАКТЕРИСТИКА НА ПРОДУКТА</w:t>
      </w:r>
    </w:p>
    <w:p w14:paraId="482ED0D3" w14:textId="32E05C82" w:rsidR="00F53FB7" w:rsidRDefault="00DD466D" w:rsidP="00A93499">
      <w:pPr>
        <w:pStyle w:val="Heading1"/>
      </w:pPr>
      <w:r>
        <w:t>1.ИМЕ НА ЛЕКАРСТВЕНИЯ ПРОДУКТ</w:t>
      </w:r>
    </w:p>
    <w:p w14:paraId="6449B0BB" w14:textId="7A0DD70A" w:rsidR="0047771A" w:rsidRDefault="0047771A" w:rsidP="0047771A"/>
    <w:p w14:paraId="132C2045" w14:textId="77777777" w:rsidR="0047771A" w:rsidRPr="0047771A" w:rsidRDefault="0047771A" w:rsidP="0047771A">
      <w:pPr>
        <w:rPr>
          <w:sz w:val="24"/>
          <w:szCs w:val="24"/>
          <w:lang w:eastAsia="bg-BG"/>
        </w:rPr>
      </w:pPr>
      <w:r w:rsidRPr="0047771A">
        <w:rPr>
          <w:lang w:eastAsia="bg-BG"/>
        </w:rPr>
        <w:t xml:space="preserve">ЗИКАЛОР 10 </w:t>
      </w:r>
      <w:r w:rsidRPr="0047771A">
        <w:rPr>
          <w:lang w:val="en-US"/>
        </w:rPr>
        <w:t xml:space="preserve">mg </w:t>
      </w:r>
      <w:r w:rsidRPr="0047771A">
        <w:rPr>
          <w:lang w:eastAsia="bg-BG"/>
        </w:rPr>
        <w:t>таблетки</w:t>
      </w:r>
    </w:p>
    <w:p w14:paraId="1EDEC3DF" w14:textId="77777777" w:rsidR="0047771A" w:rsidRPr="0047771A" w:rsidRDefault="0047771A" w:rsidP="0047771A">
      <w:pPr>
        <w:rPr>
          <w:sz w:val="24"/>
          <w:szCs w:val="24"/>
          <w:lang w:eastAsia="bg-BG"/>
        </w:rPr>
      </w:pPr>
      <w:r w:rsidRPr="0047771A">
        <w:rPr>
          <w:lang w:val="en-US"/>
        </w:rPr>
        <w:t xml:space="preserve">ZYKALOR </w:t>
      </w:r>
      <w:r w:rsidRPr="0047771A">
        <w:rPr>
          <w:lang w:eastAsia="bg-BG"/>
        </w:rPr>
        <w:t xml:space="preserve">10 </w:t>
      </w:r>
      <w:r w:rsidRPr="0047771A">
        <w:rPr>
          <w:lang w:val="en-US"/>
        </w:rPr>
        <w:t>mg tablets</w:t>
      </w:r>
    </w:p>
    <w:p w14:paraId="3A8B305A" w14:textId="77777777" w:rsidR="0047771A" w:rsidRDefault="0047771A" w:rsidP="0047771A">
      <w:pPr>
        <w:rPr>
          <w:lang w:eastAsia="bg-BG"/>
        </w:rPr>
      </w:pPr>
    </w:p>
    <w:p w14:paraId="630CFC74" w14:textId="0B5798BD" w:rsidR="0047771A" w:rsidRPr="0047771A" w:rsidRDefault="0047771A" w:rsidP="0047771A">
      <w:pPr>
        <w:rPr>
          <w:sz w:val="24"/>
          <w:szCs w:val="24"/>
          <w:lang w:eastAsia="bg-BG"/>
        </w:rPr>
      </w:pPr>
      <w:r w:rsidRPr="0047771A">
        <w:rPr>
          <w:lang w:eastAsia="bg-BG"/>
        </w:rPr>
        <w:t xml:space="preserve">ЗИКАЛОР 15 </w:t>
      </w:r>
      <w:r w:rsidRPr="0047771A">
        <w:rPr>
          <w:lang w:val="en-US"/>
        </w:rPr>
        <w:t xml:space="preserve">mg </w:t>
      </w:r>
      <w:r w:rsidRPr="0047771A">
        <w:rPr>
          <w:lang w:eastAsia="bg-BG"/>
        </w:rPr>
        <w:t>таблетки</w:t>
      </w:r>
    </w:p>
    <w:p w14:paraId="7FFF840E" w14:textId="043DE20F" w:rsidR="0047771A" w:rsidRPr="0047771A" w:rsidRDefault="0047771A" w:rsidP="0047771A">
      <w:r w:rsidRPr="0047771A">
        <w:rPr>
          <w:lang w:val="en-US"/>
        </w:rPr>
        <w:t xml:space="preserve">ZYKALOR </w:t>
      </w:r>
      <w:r w:rsidRPr="0047771A">
        <w:rPr>
          <w:lang w:eastAsia="bg-BG"/>
        </w:rPr>
        <w:t xml:space="preserve">15 </w:t>
      </w:r>
      <w:r w:rsidRPr="0047771A">
        <w:rPr>
          <w:lang w:val="en-US"/>
        </w:rPr>
        <w:t>mg tablets</w:t>
      </w:r>
    </w:p>
    <w:p w14:paraId="0DF202EC" w14:textId="4E61A734" w:rsidR="00F53FB7" w:rsidRDefault="00DD466D" w:rsidP="00A93499">
      <w:pPr>
        <w:pStyle w:val="Heading1"/>
      </w:pPr>
      <w:r>
        <w:t>2. КАЧЕСТВЕН И КОЛИЧЕСТВЕН СЪСТАВ</w:t>
      </w:r>
    </w:p>
    <w:p w14:paraId="13585E45" w14:textId="40253184" w:rsidR="0047771A" w:rsidRDefault="0047771A" w:rsidP="0047771A"/>
    <w:p w14:paraId="0C275372" w14:textId="77777777" w:rsidR="0047771A" w:rsidRPr="0047771A" w:rsidRDefault="0047771A" w:rsidP="0047771A">
      <w:pPr>
        <w:rPr>
          <w:sz w:val="24"/>
          <w:szCs w:val="24"/>
          <w:lang w:eastAsia="bg-BG"/>
        </w:rPr>
      </w:pPr>
      <w:r w:rsidRPr="0047771A">
        <w:rPr>
          <w:lang w:eastAsia="bg-BG"/>
        </w:rPr>
        <w:t xml:space="preserve">Всяка таблетка ЗИКАЛОР 10 </w:t>
      </w:r>
      <w:r w:rsidRPr="0047771A">
        <w:rPr>
          <w:lang w:val="en-US"/>
        </w:rPr>
        <w:t xml:space="preserve">mg </w:t>
      </w:r>
      <w:r w:rsidRPr="0047771A">
        <w:rPr>
          <w:lang w:eastAsia="bg-BG"/>
        </w:rPr>
        <w:t xml:space="preserve">съдържа 10 </w:t>
      </w:r>
      <w:r w:rsidRPr="0047771A">
        <w:rPr>
          <w:lang w:val="en-US"/>
        </w:rPr>
        <w:t xml:space="preserve">mg </w:t>
      </w:r>
      <w:r w:rsidRPr="0047771A">
        <w:rPr>
          <w:lang w:eastAsia="bg-BG"/>
        </w:rPr>
        <w:t xml:space="preserve">арипипразол </w:t>
      </w:r>
      <w:r w:rsidRPr="0047771A">
        <w:rPr>
          <w:lang w:val="en-US"/>
        </w:rPr>
        <w:t>(aripiprazole).</w:t>
      </w:r>
    </w:p>
    <w:p w14:paraId="5BB901B9" w14:textId="77777777" w:rsidR="0047771A" w:rsidRPr="0047771A" w:rsidRDefault="0047771A" w:rsidP="0047771A">
      <w:pPr>
        <w:rPr>
          <w:sz w:val="24"/>
          <w:szCs w:val="24"/>
          <w:lang w:eastAsia="bg-BG"/>
        </w:rPr>
      </w:pPr>
      <w:r w:rsidRPr="0047771A">
        <w:rPr>
          <w:lang w:eastAsia="bg-BG"/>
        </w:rPr>
        <w:t xml:space="preserve">Всяка таблетка ЗИКАЛОР 15 </w:t>
      </w:r>
      <w:r w:rsidRPr="0047771A">
        <w:rPr>
          <w:lang w:val="en-US"/>
        </w:rPr>
        <w:t xml:space="preserve">mg </w:t>
      </w:r>
      <w:r w:rsidRPr="0047771A">
        <w:rPr>
          <w:lang w:eastAsia="bg-BG"/>
        </w:rPr>
        <w:t xml:space="preserve">съдържа 15 </w:t>
      </w:r>
      <w:r w:rsidRPr="0047771A">
        <w:rPr>
          <w:lang w:val="en-US"/>
        </w:rPr>
        <w:t xml:space="preserve">mg </w:t>
      </w:r>
      <w:r w:rsidRPr="0047771A">
        <w:rPr>
          <w:lang w:eastAsia="bg-BG"/>
        </w:rPr>
        <w:t xml:space="preserve">арипипразол </w:t>
      </w:r>
      <w:r w:rsidRPr="0047771A">
        <w:rPr>
          <w:lang w:val="en-US"/>
        </w:rPr>
        <w:t>(aripiprazole).</w:t>
      </w:r>
    </w:p>
    <w:p w14:paraId="12B22A08" w14:textId="77777777" w:rsidR="0047771A" w:rsidRDefault="0047771A" w:rsidP="0047771A">
      <w:pPr>
        <w:rPr>
          <w:lang w:eastAsia="bg-BG"/>
        </w:rPr>
      </w:pPr>
    </w:p>
    <w:p w14:paraId="6383F0B8" w14:textId="70449918" w:rsidR="0047771A" w:rsidRPr="0047771A" w:rsidRDefault="0047771A" w:rsidP="0047771A">
      <w:pPr>
        <w:rPr>
          <w:sz w:val="24"/>
          <w:szCs w:val="24"/>
          <w:lang w:eastAsia="bg-BG"/>
        </w:rPr>
      </w:pPr>
      <w:r w:rsidRPr="0047771A">
        <w:rPr>
          <w:lang w:eastAsia="bg-BG"/>
        </w:rPr>
        <w:t>Помощно вещество с известно действие: лактоза монохидрат.</w:t>
      </w:r>
    </w:p>
    <w:p w14:paraId="57B6ACDE" w14:textId="77777777" w:rsidR="0047771A" w:rsidRPr="0047771A" w:rsidRDefault="0047771A" w:rsidP="0047771A">
      <w:pPr>
        <w:rPr>
          <w:sz w:val="24"/>
          <w:szCs w:val="24"/>
          <w:lang w:eastAsia="bg-BG"/>
        </w:rPr>
      </w:pPr>
      <w:r w:rsidRPr="0047771A">
        <w:rPr>
          <w:lang w:eastAsia="bg-BG"/>
        </w:rPr>
        <w:t xml:space="preserve">Всяка таблетка ЗИКАЛОР 10 </w:t>
      </w:r>
      <w:r w:rsidRPr="0047771A">
        <w:rPr>
          <w:lang w:val="en-US"/>
        </w:rPr>
        <w:t xml:space="preserve">mg </w:t>
      </w:r>
      <w:r w:rsidRPr="0047771A">
        <w:rPr>
          <w:lang w:eastAsia="bg-BG"/>
        </w:rPr>
        <w:t xml:space="preserve">съдържа 62.33 </w:t>
      </w:r>
      <w:r w:rsidRPr="0047771A">
        <w:rPr>
          <w:lang w:val="en-US"/>
        </w:rPr>
        <w:t xml:space="preserve">mg </w:t>
      </w:r>
      <w:r w:rsidRPr="0047771A">
        <w:rPr>
          <w:lang w:eastAsia="bg-BG"/>
        </w:rPr>
        <w:t>лактоза.</w:t>
      </w:r>
    </w:p>
    <w:p w14:paraId="16129B51" w14:textId="77777777" w:rsidR="0047771A" w:rsidRPr="0047771A" w:rsidRDefault="0047771A" w:rsidP="0047771A">
      <w:pPr>
        <w:rPr>
          <w:sz w:val="24"/>
          <w:szCs w:val="24"/>
          <w:lang w:eastAsia="bg-BG"/>
        </w:rPr>
      </w:pPr>
      <w:r w:rsidRPr="0047771A">
        <w:rPr>
          <w:lang w:eastAsia="bg-BG"/>
        </w:rPr>
        <w:t xml:space="preserve">Всяка таблетка ЗИКАЛОР 15 </w:t>
      </w:r>
      <w:r w:rsidRPr="0047771A">
        <w:rPr>
          <w:lang w:val="en-US"/>
        </w:rPr>
        <w:t xml:space="preserve">mg </w:t>
      </w:r>
      <w:r w:rsidRPr="0047771A">
        <w:rPr>
          <w:lang w:eastAsia="bg-BG"/>
        </w:rPr>
        <w:t xml:space="preserve">съдържа 93.42 </w:t>
      </w:r>
      <w:r w:rsidRPr="0047771A">
        <w:rPr>
          <w:lang w:val="en-US"/>
        </w:rPr>
        <w:t xml:space="preserve">mg </w:t>
      </w:r>
      <w:r w:rsidRPr="0047771A">
        <w:rPr>
          <w:lang w:eastAsia="bg-BG"/>
        </w:rPr>
        <w:t>лактоза.</w:t>
      </w:r>
    </w:p>
    <w:p w14:paraId="6DE9747C" w14:textId="77777777" w:rsidR="0047771A" w:rsidRPr="0047771A" w:rsidRDefault="0047771A" w:rsidP="0047771A"/>
    <w:p w14:paraId="4CABB9ED" w14:textId="08BE243F" w:rsidR="00F53FB7" w:rsidRDefault="00DD466D" w:rsidP="00A93499">
      <w:pPr>
        <w:pStyle w:val="Heading1"/>
      </w:pPr>
      <w:r>
        <w:t>3. ЛЕКАРСТВЕНА ФОРМА</w:t>
      </w:r>
    </w:p>
    <w:p w14:paraId="01814674" w14:textId="57788125" w:rsidR="0047771A" w:rsidRDefault="0047771A" w:rsidP="0047771A"/>
    <w:p w14:paraId="470E978B"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Таблетка.</w:t>
      </w:r>
    </w:p>
    <w:p w14:paraId="15D88ECC"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u w:val="single"/>
          <w:lang w:eastAsia="bg-BG"/>
        </w:rPr>
        <w:t>Зикалор 10</w:t>
      </w:r>
      <w:r w:rsidRPr="0047771A">
        <w:rPr>
          <w:rFonts w:eastAsia="Times New Roman" w:cs="Arial"/>
          <w:color w:val="000000"/>
          <w:lang w:eastAsia="bg-BG"/>
        </w:rPr>
        <w:t xml:space="preserve"> </w:t>
      </w:r>
      <w:r w:rsidRPr="0047771A">
        <w:rPr>
          <w:rFonts w:eastAsia="Times New Roman" w:cs="Arial"/>
          <w:color w:val="000000"/>
          <w:lang w:val="en-US"/>
        </w:rPr>
        <w:t xml:space="preserve">mg: </w:t>
      </w:r>
      <w:r w:rsidRPr="0047771A">
        <w:rPr>
          <w:rFonts w:eastAsia="Times New Roman" w:cs="Arial"/>
          <w:color w:val="000000"/>
          <w:lang w:eastAsia="bg-BG"/>
        </w:rPr>
        <w:t xml:space="preserve">Розови, правоъгълни таблетки с приблизителен размер 8.5 х 4.0 </w:t>
      </w:r>
      <w:r w:rsidRPr="0047771A">
        <w:rPr>
          <w:rFonts w:eastAsia="Times New Roman" w:cs="Arial"/>
          <w:color w:val="000000"/>
          <w:lang w:val="en-US"/>
        </w:rPr>
        <w:t xml:space="preserve">mm </w:t>
      </w:r>
      <w:r w:rsidRPr="0047771A">
        <w:rPr>
          <w:rFonts w:eastAsia="Times New Roman" w:cs="Arial"/>
          <w:color w:val="000000"/>
          <w:lang w:eastAsia="bg-BG"/>
        </w:rPr>
        <w:t>и делител на черта от едната страна. Таблетката може да бъде разделена на две равни дози.</w:t>
      </w:r>
    </w:p>
    <w:p w14:paraId="2FEAF476" w14:textId="77777777" w:rsidR="0047771A" w:rsidRPr="0047771A" w:rsidRDefault="0047771A" w:rsidP="0047771A">
      <w:pPr>
        <w:spacing w:line="240" w:lineRule="auto"/>
        <w:rPr>
          <w:rFonts w:ascii="Times New Roman" w:eastAsia="Times New Roman" w:hAnsi="Times New Roman" w:cs="Times New Roman"/>
          <w:sz w:val="24"/>
          <w:szCs w:val="24"/>
          <w:lang w:eastAsia="bg-BG"/>
        </w:rPr>
      </w:pPr>
      <w:r w:rsidRPr="0047771A">
        <w:rPr>
          <w:rFonts w:eastAsia="Times New Roman" w:cs="Arial"/>
          <w:color w:val="000000"/>
          <w:u w:val="single"/>
          <w:lang w:eastAsia="bg-BG"/>
        </w:rPr>
        <w:t>Зикалор 15</w:t>
      </w:r>
      <w:r w:rsidRPr="0047771A">
        <w:rPr>
          <w:rFonts w:eastAsia="Times New Roman" w:cs="Arial"/>
          <w:color w:val="000000"/>
          <w:lang w:eastAsia="bg-BG"/>
        </w:rPr>
        <w:t xml:space="preserve"> </w:t>
      </w:r>
      <w:r w:rsidRPr="0047771A">
        <w:rPr>
          <w:rFonts w:eastAsia="Times New Roman" w:cs="Arial"/>
          <w:color w:val="000000"/>
          <w:lang w:val="en-US"/>
        </w:rPr>
        <w:t xml:space="preserve">mg: </w:t>
      </w:r>
      <w:r w:rsidRPr="0047771A">
        <w:rPr>
          <w:rFonts w:eastAsia="Times New Roman" w:cs="Arial"/>
          <w:color w:val="000000"/>
          <w:lang w:eastAsia="bg-BG"/>
        </w:rPr>
        <w:t xml:space="preserve">Светложълти, кръгли таблетки с </w:t>
      </w:r>
      <w:r w:rsidRPr="0047771A">
        <w:rPr>
          <w:rFonts w:eastAsia="Times New Roman" w:cs="Arial"/>
          <w:i/>
          <w:iCs/>
          <w:color w:val="000000"/>
          <w:lang w:eastAsia="bg-BG"/>
        </w:rPr>
        <w:t>приблизителен</w:t>
      </w:r>
      <w:r w:rsidRPr="0047771A">
        <w:rPr>
          <w:rFonts w:eastAsia="Times New Roman" w:cs="Arial"/>
          <w:color w:val="000000"/>
          <w:lang w:eastAsia="bg-BG"/>
        </w:rPr>
        <w:t xml:space="preserve"> диаметър </w:t>
      </w:r>
      <w:r w:rsidRPr="0047771A">
        <w:rPr>
          <w:rFonts w:eastAsia="Times New Roman" w:cs="Arial"/>
          <w:i/>
          <w:iCs/>
          <w:color w:val="000000"/>
          <w:lang w:eastAsia="bg-BG"/>
        </w:rPr>
        <w:t xml:space="preserve">7.0 </w:t>
      </w:r>
      <w:r w:rsidRPr="0047771A">
        <w:rPr>
          <w:rFonts w:eastAsia="Times New Roman" w:cs="Arial"/>
          <w:i/>
          <w:iCs/>
          <w:color w:val="000000"/>
          <w:lang w:val="en-US"/>
        </w:rPr>
        <w:t>mm</w:t>
      </w:r>
      <w:r w:rsidRPr="0047771A">
        <w:rPr>
          <w:rFonts w:ascii="Times New Roman" w:eastAsia="Times New Roman" w:hAnsi="Times New Roman" w:cs="Times New Roman"/>
          <w:i/>
          <w:iCs/>
          <w:color w:val="000000"/>
          <w:sz w:val="20"/>
          <w:szCs w:val="20"/>
          <w:lang w:val="en-US"/>
        </w:rPr>
        <w:t>.</w:t>
      </w:r>
    </w:p>
    <w:p w14:paraId="44FF3A57" w14:textId="77777777" w:rsidR="0047771A" w:rsidRPr="0047771A" w:rsidRDefault="0047771A" w:rsidP="0047771A"/>
    <w:p w14:paraId="490FC2C4" w14:textId="6899DE43" w:rsidR="002C50EE" w:rsidRDefault="002C50EE" w:rsidP="002C50EE">
      <w:pPr>
        <w:pStyle w:val="Heading1"/>
      </w:pPr>
      <w:r>
        <w:t>4. КЛИНИЧНИ ДАННИ</w:t>
      </w:r>
    </w:p>
    <w:p w14:paraId="1A37D275" w14:textId="5BE0ACE6" w:rsidR="00F53FB7" w:rsidRDefault="002C50EE" w:rsidP="00A93499">
      <w:pPr>
        <w:pStyle w:val="Heading2"/>
      </w:pPr>
      <w:r>
        <w:t>4.1. Терапевтични показания</w:t>
      </w:r>
    </w:p>
    <w:p w14:paraId="5555E55F" w14:textId="5B4D43FA" w:rsidR="0047771A" w:rsidRDefault="0047771A" w:rsidP="0047771A"/>
    <w:p w14:paraId="3C00D8B2" w14:textId="77777777" w:rsidR="0047771A" w:rsidRPr="0047771A" w:rsidRDefault="0047771A" w:rsidP="0047771A">
      <w:pPr>
        <w:rPr>
          <w:sz w:val="24"/>
          <w:szCs w:val="24"/>
          <w:lang w:eastAsia="bg-BG"/>
        </w:rPr>
      </w:pPr>
      <w:r w:rsidRPr="0047771A">
        <w:rPr>
          <w:lang w:eastAsia="bg-BG"/>
        </w:rPr>
        <w:t>ЗИКАЛОР е показан за лечение на шизофрения при възрастни и юноши на и над 15 години.</w:t>
      </w:r>
    </w:p>
    <w:p w14:paraId="0785F1C5" w14:textId="77777777" w:rsidR="0047771A" w:rsidRPr="0047771A" w:rsidRDefault="0047771A" w:rsidP="0047771A">
      <w:pPr>
        <w:rPr>
          <w:sz w:val="24"/>
          <w:szCs w:val="24"/>
          <w:lang w:eastAsia="bg-BG"/>
        </w:rPr>
      </w:pPr>
      <w:r w:rsidRPr="0047771A">
        <w:rPr>
          <w:lang w:eastAsia="bg-BG"/>
        </w:rPr>
        <w:t>ЗИКАЛОР е показан за лечение на умерени до тежки манийни епизоди при биполярно разстройство тип I и за превенция на нови манийни епизоди при възрастни, които страдат предимно от манийни епизоди и чиито манийни епизоди се повлияват от лечение с арипипразол (вижте точка 5.1).</w:t>
      </w:r>
    </w:p>
    <w:p w14:paraId="3898C285" w14:textId="759FE41B" w:rsidR="0047771A" w:rsidRPr="0047771A" w:rsidRDefault="0047771A" w:rsidP="0047771A">
      <w:pPr>
        <w:rPr>
          <w:sz w:val="24"/>
          <w:szCs w:val="24"/>
          <w:lang w:eastAsia="bg-BG"/>
        </w:rPr>
      </w:pPr>
      <w:r w:rsidRPr="0047771A">
        <w:rPr>
          <w:lang w:eastAsia="bg-BG"/>
        </w:rPr>
        <w:t>ЗИКАЛОР е показан за лечение до 12 седмици на умерени до тежки манийни епизоди при биполярно разстройство тип I при юноши на и над 13 години (вижте точка 5.1)</w:t>
      </w:r>
      <w:r>
        <w:rPr>
          <w:lang w:eastAsia="bg-BG"/>
        </w:rPr>
        <w:t>.</w:t>
      </w:r>
    </w:p>
    <w:p w14:paraId="3E35BF30" w14:textId="77777777" w:rsidR="0047771A" w:rsidRPr="0047771A" w:rsidRDefault="0047771A" w:rsidP="0047771A"/>
    <w:p w14:paraId="05D17336" w14:textId="142BC647" w:rsidR="00F53FB7" w:rsidRDefault="002C50EE" w:rsidP="00A93499">
      <w:pPr>
        <w:pStyle w:val="Heading2"/>
      </w:pPr>
      <w:r>
        <w:t>4.2. Дозировка и начин на приложение</w:t>
      </w:r>
    </w:p>
    <w:p w14:paraId="6E624677" w14:textId="4B3637AB" w:rsidR="0047771A" w:rsidRDefault="0047771A" w:rsidP="0047771A"/>
    <w:p w14:paraId="18FD08CB" w14:textId="77777777" w:rsidR="0047771A" w:rsidRPr="0047771A" w:rsidRDefault="0047771A" w:rsidP="0047771A">
      <w:pPr>
        <w:pStyle w:val="Heading3"/>
        <w:rPr>
          <w:rFonts w:eastAsia="Times New Roman"/>
          <w:sz w:val="28"/>
          <w:szCs w:val="28"/>
          <w:u w:val="single"/>
          <w:lang w:eastAsia="bg-BG"/>
        </w:rPr>
      </w:pPr>
      <w:r w:rsidRPr="0047771A">
        <w:rPr>
          <w:rFonts w:eastAsia="Times New Roman"/>
          <w:u w:val="single"/>
          <w:lang w:eastAsia="bg-BG"/>
        </w:rPr>
        <w:lastRenderedPageBreak/>
        <w:t>Дозировка</w:t>
      </w:r>
    </w:p>
    <w:p w14:paraId="3E4704E6"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u w:val="single"/>
          <w:lang w:eastAsia="bg-BG"/>
        </w:rPr>
        <w:t>Възрастни</w:t>
      </w:r>
    </w:p>
    <w:p w14:paraId="4593CB63"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Шизофрения:</w:t>
      </w:r>
      <w:r w:rsidRPr="0047771A">
        <w:rPr>
          <w:rFonts w:eastAsia="Times New Roman" w:cs="Arial"/>
          <w:color w:val="000000"/>
          <w:lang w:eastAsia="bg-BG"/>
        </w:rPr>
        <w:t xml:space="preserve"> препоръчаната начална доза ЗИКАЛОР е 10 </w:t>
      </w:r>
      <w:r w:rsidRPr="0047771A">
        <w:rPr>
          <w:rFonts w:eastAsia="Times New Roman" w:cs="Arial"/>
          <w:color w:val="000000"/>
          <w:lang w:val="en-US"/>
        </w:rPr>
        <w:t xml:space="preserve">mg </w:t>
      </w:r>
      <w:r w:rsidRPr="0047771A">
        <w:rPr>
          <w:rFonts w:eastAsia="Times New Roman" w:cs="Arial"/>
          <w:color w:val="000000"/>
          <w:lang w:eastAsia="bg-BG"/>
        </w:rPr>
        <w:t xml:space="preserve">или 15 </w:t>
      </w:r>
      <w:r w:rsidRPr="0047771A">
        <w:rPr>
          <w:rFonts w:eastAsia="Times New Roman" w:cs="Arial"/>
          <w:color w:val="000000"/>
          <w:lang w:val="en-US"/>
        </w:rPr>
        <w:t xml:space="preserve">mg </w:t>
      </w:r>
      <w:r w:rsidRPr="0047771A">
        <w:rPr>
          <w:rFonts w:eastAsia="Times New Roman" w:cs="Arial"/>
          <w:color w:val="000000"/>
          <w:lang w:eastAsia="bg-BG"/>
        </w:rPr>
        <w:t xml:space="preserve">дневно, с поддържаща дневна доза </w:t>
      </w:r>
      <w:r w:rsidRPr="0047771A">
        <w:rPr>
          <w:rFonts w:eastAsia="Times New Roman" w:cs="Arial"/>
          <w:i/>
          <w:iCs/>
          <w:color w:val="000000"/>
          <w:lang w:eastAsia="bg-BG"/>
        </w:rPr>
        <w:t>15</w:t>
      </w:r>
      <w:r w:rsidRPr="0047771A">
        <w:rPr>
          <w:rFonts w:eastAsia="Times New Roman" w:cs="Arial"/>
          <w:color w:val="000000"/>
          <w:lang w:eastAsia="bg-BG"/>
        </w:rPr>
        <w:t xml:space="preserve"> </w:t>
      </w:r>
      <w:r w:rsidRPr="0047771A">
        <w:rPr>
          <w:rFonts w:eastAsia="Times New Roman" w:cs="Arial"/>
          <w:color w:val="000000"/>
          <w:lang w:val="en-US"/>
        </w:rPr>
        <w:t xml:space="preserve">mg, </w:t>
      </w:r>
      <w:r w:rsidRPr="0047771A">
        <w:rPr>
          <w:rFonts w:eastAsia="Times New Roman" w:cs="Arial"/>
          <w:color w:val="000000"/>
          <w:lang w:eastAsia="bg-BG"/>
        </w:rPr>
        <w:t xml:space="preserve">приемана веднъж дневно, независимо от храненето. ЗИКАЛОР е ефикасен в дозов интервал 10 </w:t>
      </w:r>
      <w:r w:rsidRPr="0047771A">
        <w:rPr>
          <w:rFonts w:eastAsia="Times New Roman" w:cs="Arial"/>
          <w:color w:val="000000"/>
          <w:lang w:val="en-US"/>
        </w:rPr>
        <w:t xml:space="preserve">mg </w:t>
      </w:r>
      <w:r w:rsidRPr="0047771A">
        <w:rPr>
          <w:rFonts w:eastAsia="Times New Roman" w:cs="Arial"/>
          <w:color w:val="000000"/>
          <w:lang w:eastAsia="bg-BG"/>
        </w:rPr>
        <w:t xml:space="preserve">до 30 </w:t>
      </w:r>
      <w:r w:rsidRPr="0047771A">
        <w:rPr>
          <w:rFonts w:eastAsia="Times New Roman" w:cs="Arial"/>
          <w:color w:val="000000"/>
          <w:lang w:val="en-US"/>
        </w:rPr>
        <w:t xml:space="preserve">mg </w:t>
      </w:r>
      <w:r w:rsidRPr="0047771A">
        <w:rPr>
          <w:rFonts w:eastAsia="Times New Roman" w:cs="Arial"/>
          <w:color w:val="000000"/>
          <w:lang w:eastAsia="bg-BG"/>
        </w:rPr>
        <w:t xml:space="preserve">дневно. Не е наблюдавана повишена ефикасност при дневни дози по-високи от 15 </w:t>
      </w:r>
      <w:r w:rsidRPr="0047771A">
        <w:rPr>
          <w:rFonts w:eastAsia="Times New Roman" w:cs="Arial"/>
          <w:color w:val="000000"/>
          <w:lang w:val="en-US"/>
        </w:rPr>
        <w:t xml:space="preserve">mg, </w:t>
      </w:r>
      <w:r w:rsidRPr="0047771A">
        <w:rPr>
          <w:rFonts w:eastAsia="Times New Roman" w:cs="Arial"/>
          <w:color w:val="000000"/>
          <w:lang w:eastAsia="bg-BG"/>
        </w:rPr>
        <w:t xml:space="preserve">въпреки че при отделни пациенти по-високи дози може да са от полза. Максималната дневна доза не трябва да превишава 30 </w:t>
      </w:r>
      <w:r w:rsidRPr="0047771A">
        <w:rPr>
          <w:rFonts w:eastAsia="Times New Roman" w:cs="Arial"/>
          <w:color w:val="000000"/>
          <w:lang w:val="en-US"/>
        </w:rPr>
        <w:t>mg.</w:t>
      </w:r>
    </w:p>
    <w:p w14:paraId="500D906D" w14:textId="77777777" w:rsidR="0047771A" w:rsidRPr="0047771A" w:rsidRDefault="0047771A" w:rsidP="0047771A">
      <w:pPr>
        <w:spacing w:line="240" w:lineRule="auto"/>
        <w:rPr>
          <w:rFonts w:eastAsia="Times New Roman" w:cs="Arial"/>
          <w:i/>
          <w:iCs/>
          <w:color w:val="000000"/>
          <w:lang w:eastAsia="bg-BG"/>
        </w:rPr>
      </w:pPr>
    </w:p>
    <w:p w14:paraId="51EE7B04" w14:textId="09A668C2"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Манийни епизоди при биполярно разстройство тип I:</w:t>
      </w:r>
      <w:r w:rsidRPr="0047771A">
        <w:rPr>
          <w:rFonts w:eastAsia="Times New Roman" w:cs="Arial"/>
          <w:color w:val="000000"/>
          <w:lang w:eastAsia="bg-BG"/>
        </w:rPr>
        <w:t xml:space="preserve"> препоръчаната начална доза ЗИ</w:t>
      </w:r>
      <w:r w:rsidRPr="0047771A">
        <w:rPr>
          <w:rFonts w:eastAsia="Times New Roman" w:cs="Arial"/>
          <w:color w:val="000000"/>
          <w:lang w:val="en-US"/>
        </w:rPr>
        <w:t>K</w:t>
      </w:r>
      <w:r w:rsidRPr="0047771A">
        <w:rPr>
          <w:rFonts w:eastAsia="Times New Roman" w:cs="Arial"/>
          <w:color w:val="000000"/>
          <w:lang w:eastAsia="bg-BG"/>
        </w:rPr>
        <w:t xml:space="preserve">АЛОР е 15 </w:t>
      </w:r>
      <w:r w:rsidRPr="0047771A">
        <w:rPr>
          <w:rFonts w:eastAsia="Times New Roman" w:cs="Arial"/>
          <w:color w:val="000000"/>
          <w:lang w:val="en-US"/>
        </w:rPr>
        <w:t xml:space="preserve">mg, </w:t>
      </w:r>
      <w:r w:rsidRPr="0047771A">
        <w:rPr>
          <w:rFonts w:eastAsia="Times New Roman" w:cs="Arial"/>
          <w:color w:val="000000"/>
          <w:lang w:eastAsia="bg-BG"/>
        </w:rPr>
        <w:t>приемана веднъж дневно, независимо от храненето, като монотерапия или комбинирана терапия</w:t>
      </w:r>
    </w:p>
    <w:p w14:paraId="7A027F72" w14:textId="336A770C" w:rsidR="0047771A" w:rsidRPr="0047771A" w:rsidRDefault="0047771A" w:rsidP="0047771A">
      <w:pPr>
        <w:rPr>
          <w:rFonts w:eastAsia="Times New Roman" w:cs="Arial"/>
          <w:color w:val="000000"/>
          <w:lang w:val="en-US"/>
        </w:rPr>
      </w:pPr>
      <w:r w:rsidRPr="0047771A">
        <w:rPr>
          <w:rFonts w:eastAsia="Times New Roman" w:cs="Arial"/>
          <w:color w:val="000000"/>
          <w:lang w:eastAsia="bg-BG"/>
        </w:rPr>
        <w:t xml:space="preserve">(вижте точка 5.1). При някои пациенти по-високи дози може да са от полза. Максималната дневна доза не трябва да превишава 30 </w:t>
      </w:r>
      <w:r w:rsidRPr="0047771A">
        <w:rPr>
          <w:rFonts w:eastAsia="Times New Roman" w:cs="Arial"/>
          <w:color w:val="000000"/>
          <w:lang w:val="en-US"/>
        </w:rPr>
        <w:t>mg.</w:t>
      </w:r>
    </w:p>
    <w:p w14:paraId="1665CBD9" w14:textId="5A49F80E" w:rsidR="0047771A" w:rsidRPr="0047771A" w:rsidRDefault="0047771A" w:rsidP="0047771A">
      <w:pPr>
        <w:rPr>
          <w:rFonts w:eastAsia="Times New Roman" w:cs="Arial"/>
          <w:color w:val="000000"/>
          <w:lang w:val="en-US"/>
        </w:rPr>
      </w:pPr>
    </w:p>
    <w:p w14:paraId="1BEF01D4"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Превенция на рецидиви на манийни епизоди при биполярно разстройство тип I:</w:t>
      </w:r>
      <w:r w:rsidRPr="0047771A">
        <w:rPr>
          <w:rFonts w:eastAsia="Times New Roman" w:cs="Arial"/>
          <w:color w:val="000000"/>
          <w:lang w:eastAsia="bg-BG"/>
        </w:rPr>
        <w:t xml:space="preserve"> за превенция на рецидиви на манийни епизоди при пациенти, които са лекувани с арипипразол като монотерапия или комбинирана терапия, терапията трябва да продължи със същата доза. Промени в дневната доза, включително понижаване на дозата, трябва да се обмислят в зависимост от клиничното състояние.</w:t>
      </w:r>
    </w:p>
    <w:p w14:paraId="46137F86" w14:textId="77777777" w:rsidR="0047771A" w:rsidRPr="0047771A" w:rsidRDefault="0047771A" w:rsidP="0047771A">
      <w:pPr>
        <w:spacing w:line="240" w:lineRule="auto"/>
        <w:rPr>
          <w:rFonts w:eastAsia="Times New Roman" w:cs="Arial"/>
          <w:i/>
          <w:iCs/>
          <w:color w:val="000000"/>
          <w:u w:val="single"/>
          <w:lang w:eastAsia="bg-BG"/>
        </w:rPr>
      </w:pPr>
    </w:p>
    <w:p w14:paraId="3B25D917" w14:textId="79FEFBEC"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u w:val="single"/>
          <w:lang w:eastAsia="bg-BG"/>
        </w:rPr>
        <w:t>Педиатрична популация</w:t>
      </w:r>
    </w:p>
    <w:p w14:paraId="36060E3D"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Шизофрения при юноши на и над 15 години:</w:t>
      </w:r>
      <w:r w:rsidRPr="0047771A">
        <w:rPr>
          <w:rFonts w:eastAsia="Times New Roman" w:cs="Arial"/>
          <w:color w:val="000000"/>
          <w:lang w:eastAsia="bg-BG"/>
        </w:rPr>
        <w:t xml:space="preserve"> препоръчаната доза ЗИКАЛОР е 10 </w:t>
      </w:r>
      <w:r w:rsidRPr="0047771A">
        <w:rPr>
          <w:rFonts w:eastAsia="Times New Roman" w:cs="Arial"/>
          <w:color w:val="000000"/>
          <w:lang w:val="en-US"/>
        </w:rPr>
        <w:t xml:space="preserve">mg, </w:t>
      </w:r>
      <w:r w:rsidRPr="0047771A">
        <w:rPr>
          <w:rFonts w:eastAsia="Times New Roman" w:cs="Arial"/>
          <w:color w:val="000000"/>
          <w:lang w:eastAsia="bg-BG"/>
        </w:rPr>
        <w:t xml:space="preserve">приложена веднъж дневно, незивисимо от храненето. Лечението трябва да започне с доза от 2 </w:t>
      </w:r>
      <w:r w:rsidRPr="0047771A">
        <w:rPr>
          <w:rFonts w:eastAsia="Times New Roman" w:cs="Arial"/>
          <w:color w:val="000000"/>
          <w:lang w:val="en-US"/>
        </w:rPr>
        <w:t xml:space="preserve">mg </w:t>
      </w:r>
      <w:r w:rsidRPr="0047771A">
        <w:rPr>
          <w:rFonts w:eastAsia="Times New Roman" w:cs="Arial"/>
          <w:color w:val="000000"/>
          <w:lang w:eastAsia="bg-BG"/>
        </w:rPr>
        <w:t xml:space="preserve">(като се използва арипипразол перорален разтвор 1 </w:t>
      </w:r>
      <w:r w:rsidRPr="0047771A">
        <w:rPr>
          <w:rFonts w:eastAsia="Times New Roman" w:cs="Arial"/>
          <w:color w:val="000000"/>
          <w:lang w:val="en-US"/>
        </w:rPr>
        <w:t xml:space="preserve">mg/ml) </w:t>
      </w:r>
      <w:r w:rsidRPr="0047771A">
        <w:rPr>
          <w:rFonts w:eastAsia="Times New Roman" w:cs="Arial"/>
          <w:color w:val="000000"/>
          <w:lang w:eastAsia="bg-BG"/>
        </w:rPr>
        <w:t xml:space="preserve">в продължение на 2 дни, титрирана до 5 </w:t>
      </w:r>
      <w:r w:rsidRPr="0047771A">
        <w:rPr>
          <w:rFonts w:eastAsia="Times New Roman" w:cs="Arial"/>
          <w:color w:val="000000"/>
          <w:lang w:val="en-US"/>
        </w:rPr>
        <w:t xml:space="preserve">mg </w:t>
      </w:r>
      <w:r w:rsidRPr="0047771A">
        <w:rPr>
          <w:rFonts w:eastAsia="Times New Roman" w:cs="Arial"/>
          <w:color w:val="000000"/>
          <w:lang w:eastAsia="bg-BG"/>
        </w:rPr>
        <w:t xml:space="preserve">в продължение на още 2 дни за достигане на препоръчителната дневна доза от 10 </w:t>
      </w:r>
      <w:r w:rsidRPr="0047771A">
        <w:rPr>
          <w:rFonts w:eastAsia="Times New Roman" w:cs="Arial"/>
          <w:color w:val="000000"/>
          <w:lang w:val="en-US"/>
        </w:rPr>
        <w:t xml:space="preserve">mg. </w:t>
      </w:r>
      <w:r w:rsidRPr="0047771A">
        <w:rPr>
          <w:rFonts w:eastAsia="Times New Roman" w:cs="Arial"/>
          <w:color w:val="000000"/>
          <w:lang w:eastAsia="bg-BG"/>
        </w:rPr>
        <w:t xml:space="preserve">Постигане на доза от 2 </w:t>
      </w:r>
      <w:r w:rsidRPr="0047771A">
        <w:rPr>
          <w:rFonts w:eastAsia="Times New Roman" w:cs="Arial"/>
          <w:color w:val="000000"/>
          <w:lang w:val="en-US"/>
        </w:rPr>
        <w:t xml:space="preserve">mg </w:t>
      </w:r>
      <w:r w:rsidRPr="0047771A">
        <w:rPr>
          <w:rFonts w:eastAsia="Times New Roman" w:cs="Arial"/>
          <w:color w:val="000000"/>
          <w:lang w:eastAsia="bg-BG"/>
        </w:rPr>
        <w:t xml:space="preserve">дневно за два дни не е възможно със ЗИКАЛОР. Трябва да се използва друг подходящ продукт при дозиране 2 </w:t>
      </w:r>
      <w:r w:rsidRPr="0047771A">
        <w:rPr>
          <w:rFonts w:eastAsia="Times New Roman" w:cs="Arial"/>
          <w:color w:val="000000"/>
          <w:lang w:val="en-US"/>
        </w:rPr>
        <w:t xml:space="preserve">mg </w:t>
      </w:r>
      <w:r w:rsidRPr="0047771A">
        <w:rPr>
          <w:rFonts w:eastAsia="Times New Roman" w:cs="Arial"/>
          <w:color w:val="000000"/>
          <w:lang w:eastAsia="bg-BG"/>
        </w:rPr>
        <w:t xml:space="preserve">дневно. При необходимост, последващо титриране на дозата трябва да се извършва с интервали на увеличение от 5 </w:t>
      </w:r>
      <w:r w:rsidRPr="0047771A">
        <w:rPr>
          <w:rFonts w:eastAsia="Times New Roman" w:cs="Arial"/>
          <w:color w:val="000000"/>
          <w:lang w:val="en-US"/>
        </w:rPr>
        <w:t xml:space="preserve">mg, </w:t>
      </w:r>
      <w:r w:rsidRPr="0047771A">
        <w:rPr>
          <w:rFonts w:eastAsia="Times New Roman" w:cs="Arial"/>
          <w:color w:val="000000"/>
          <w:lang w:eastAsia="bg-BG"/>
        </w:rPr>
        <w:t xml:space="preserve">като не се превишава препоръчителната максимална дневна доза от 30 </w:t>
      </w:r>
      <w:r w:rsidRPr="0047771A">
        <w:rPr>
          <w:rFonts w:eastAsia="Times New Roman" w:cs="Arial"/>
          <w:color w:val="000000"/>
          <w:lang w:val="en-US"/>
        </w:rPr>
        <w:t xml:space="preserve">mg </w:t>
      </w:r>
      <w:r w:rsidRPr="0047771A">
        <w:rPr>
          <w:rFonts w:eastAsia="Times New Roman" w:cs="Arial"/>
          <w:color w:val="000000"/>
          <w:lang w:eastAsia="bg-BG"/>
        </w:rPr>
        <w:t xml:space="preserve">(вижте точка 5.1). ЗИКАЛОР е ефикасен в дозов интервал 10 </w:t>
      </w:r>
      <w:r w:rsidRPr="0047771A">
        <w:rPr>
          <w:rFonts w:eastAsia="Times New Roman" w:cs="Arial"/>
          <w:color w:val="000000"/>
          <w:lang w:val="en-US"/>
        </w:rPr>
        <w:t xml:space="preserve">mg </w:t>
      </w:r>
      <w:r w:rsidRPr="0047771A">
        <w:rPr>
          <w:rFonts w:eastAsia="Times New Roman" w:cs="Arial"/>
          <w:color w:val="000000"/>
          <w:lang w:eastAsia="bg-BG"/>
        </w:rPr>
        <w:t xml:space="preserve">до 30 </w:t>
      </w:r>
      <w:r w:rsidRPr="0047771A">
        <w:rPr>
          <w:rFonts w:eastAsia="Times New Roman" w:cs="Arial"/>
          <w:color w:val="000000"/>
          <w:lang w:val="en-US"/>
        </w:rPr>
        <w:t xml:space="preserve">mg </w:t>
      </w:r>
      <w:r w:rsidRPr="0047771A">
        <w:rPr>
          <w:rFonts w:eastAsia="Times New Roman" w:cs="Arial"/>
          <w:color w:val="000000"/>
          <w:lang w:eastAsia="bg-BG"/>
        </w:rPr>
        <w:t xml:space="preserve">дневно. Не е наблюдавана повишена ефикасност при дневни дози по-високи от 10 </w:t>
      </w:r>
      <w:r w:rsidRPr="0047771A">
        <w:rPr>
          <w:rFonts w:eastAsia="Times New Roman" w:cs="Arial"/>
          <w:color w:val="000000"/>
          <w:lang w:val="en-US"/>
        </w:rPr>
        <w:t xml:space="preserve">mg, </w:t>
      </w:r>
      <w:r w:rsidRPr="0047771A">
        <w:rPr>
          <w:rFonts w:eastAsia="Times New Roman" w:cs="Arial"/>
          <w:color w:val="000000"/>
          <w:lang w:eastAsia="bg-BG"/>
        </w:rPr>
        <w:t>въпреки че при отделни пациенти по-високи дози може да са от полза.ЗИКАЛОР не се препоръчва за лечение на пациенти с шизофрения под 15-годишна възраст поради липса на достатъчно данни за безопасност и ефикасност (вижте точки 4.8 и 5.1).</w:t>
      </w:r>
    </w:p>
    <w:p w14:paraId="060F5AE3" w14:textId="77777777" w:rsidR="0047771A" w:rsidRPr="0047771A" w:rsidRDefault="0047771A" w:rsidP="0047771A">
      <w:pPr>
        <w:spacing w:line="240" w:lineRule="auto"/>
        <w:rPr>
          <w:rFonts w:eastAsia="Times New Roman" w:cs="Arial"/>
          <w:i/>
          <w:iCs/>
          <w:color w:val="000000"/>
          <w:lang w:eastAsia="bg-BG"/>
        </w:rPr>
      </w:pPr>
    </w:p>
    <w:p w14:paraId="215D0D8F" w14:textId="75101C01"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Манийни епизоди при биполярно разстройство тип I при юноши на и над 13 години:</w:t>
      </w:r>
      <w:r w:rsidRPr="0047771A">
        <w:rPr>
          <w:rFonts w:eastAsia="Times New Roman" w:cs="Arial"/>
          <w:color w:val="000000"/>
          <w:lang w:eastAsia="bg-BG"/>
        </w:rPr>
        <w:t xml:space="preserve"> препоръчаната доза ЗИКАЛОР е 10 </w:t>
      </w:r>
      <w:r w:rsidRPr="0047771A">
        <w:rPr>
          <w:rFonts w:eastAsia="Times New Roman" w:cs="Arial"/>
          <w:color w:val="000000"/>
          <w:lang w:val="en-US"/>
        </w:rPr>
        <w:t xml:space="preserve">mg, </w:t>
      </w:r>
      <w:r w:rsidRPr="0047771A">
        <w:rPr>
          <w:rFonts w:eastAsia="Times New Roman" w:cs="Arial"/>
          <w:color w:val="000000"/>
          <w:lang w:eastAsia="bg-BG"/>
        </w:rPr>
        <w:t xml:space="preserve">приемана веднъж дневно, независимо от храненето. Лечението трябва да започне с доза от 2 </w:t>
      </w:r>
      <w:r w:rsidRPr="0047771A">
        <w:rPr>
          <w:rFonts w:eastAsia="Times New Roman" w:cs="Arial"/>
          <w:color w:val="000000"/>
          <w:lang w:val="en-US"/>
        </w:rPr>
        <w:t xml:space="preserve">mg </w:t>
      </w:r>
      <w:r w:rsidRPr="0047771A">
        <w:rPr>
          <w:rFonts w:eastAsia="Times New Roman" w:cs="Arial"/>
          <w:color w:val="000000"/>
          <w:lang w:eastAsia="bg-BG"/>
        </w:rPr>
        <w:t xml:space="preserve">(като се използва арипипразол перорален разтвор 1 </w:t>
      </w:r>
      <w:r w:rsidRPr="0047771A">
        <w:rPr>
          <w:rFonts w:eastAsia="Times New Roman" w:cs="Arial"/>
          <w:color w:val="000000"/>
          <w:lang w:val="en-US"/>
        </w:rPr>
        <w:t xml:space="preserve">mg/ ml) </w:t>
      </w:r>
      <w:r w:rsidRPr="0047771A">
        <w:rPr>
          <w:rFonts w:eastAsia="Times New Roman" w:cs="Arial"/>
          <w:color w:val="000000"/>
          <w:lang w:eastAsia="bg-BG"/>
        </w:rPr>
        <w:t xml:space="preserve">в продължение на 2 дни, титрирана до 5 </w:t>
      </w:r>
      <w:r w:rsidRPr="0047771A">
        <w:rPr>
          <w:rFonts w:eastAsia="Times New Roman" w:cs="Arial"/>
          <w:color w:val="000000"/>
          <w:lang w:val="en-US"/>
        </w:rPr>
        <w:t xml:space="preserve">mg </w:t>
      </w:r>
      <w:r w:rsidRPr="0047771A">
        <w:rPr>
          <w:rFonts w:eastAsia="Times New Roman" w:cs="Arial"/>
          <w:color w:val="000000"/>
          <w:lang w:eastAsia="bg-BG"/>
        </w:rPr>
        <w:t xml:space="preserve">в продължение на още 2 дни за достигане на препоръчителната дневна доза от 10 </w:t>
      </w:r>
      <w:r w:rsidRPr="0047771A">
        <w:rPr>
          <w:rFonts w:eastAsia="Times New Roman" w:cs="Arial"/>
          <w:color w:val="000000"/>
          <w:lang w:val="en-US"/>
        </w:rPr>
        <w:t xml:space="preserve">mg. </w:t>
      </w:r>
      <w:r w:rsidRPr="0047771A">
        <w:rPr>
          <w:rFonts w:eastAsia="Times New Roman" w:cs="Arial"/>
          <w:color w:val="000000"/>
          <w:lang w:eastAsia="bg-BG"/>
        </w:rPr>
        <w:t xml:space="preserve">Постигане на доза от 2 </w:t>
      </w:r>
      <w:r w:rsidRPr="0047771A">
        <w:rPr>
          <w:rFonts w:eastAsia="Times New Roman" w:cs="Arial"/>
          <w:color w:val="000000"/>
          <w:lang w:val="en-US"/>
        </w:rPr>
        <w:t xml:space="preserve">mg </w:t>
      </w:r>
      <w:r w:rsidRPr="0047771A">
        <w:rPr>
          <w:rFonts w:eastAsia="Times New Roman" w:cs="Arial"/>
          <w:color w:val="000000"/>
          <w:lang w:eastAsia="bg-BG"/>
        </w:rPr>
        <w:t xml:space="preserve">дневно за два дни не е възможно със ЗИКАЛОР. Трябва да се използва друг подходящ продукт при дозиране 2 </w:t>
      </w:r>
      <w:r w:rsidRPr="0047771A">
        <w:rPr>
          <w:rFonts w:eastAsia="Times New Roman" w:cs="Arial"/>
          <w:color w:val="000000"/>
          <w:lang w:val="en-US"/>
        </w:rPr>
        <w:t xml:space="preserve">mg </w:t>
      </w:r>
      <w:r w:rsidRPr="0047771A">
        <w:rPr>
          <w:rFonts w:eastAsia="Times New Roman" w:cs="Arial"/>
          <w:color w:val="000000"/>
          <w:lang w:eastAsia="bg-BG"/>
        </w:rPr>
        <w:t xml:space="preserve">дневно. Продължителността на лечението трябва да е минималната необходима за контролиране на симптомите и не трябва да превишава 12 седмици. Не е наблюдавана повишена ефикасност при дневни дози по-високи от 10 </w:t>
      </w:r>
      <w:r w:rsidRPr="0047771A">
        <w:rPr>
          <w:rFonts w:eastAsia="Times New Roman" w:cs="Arial"/>
          <w:color w:val="000000"/>
          <w:lang w:val="en-US"/>
        </w:rPr>
        <w:t xml:space="preserve">mg, </w:t>
      </w:r>
      <w:r w:rsidRPr="0047771A">
        <w:rPr>
          <w:rFonts w:eastAsia="Times New Roman" w:cs="Arial"/>
          <w:color w:val="000000"/>
          <w:lang w:eastAsia="bg-BG"/>
        </w:rPr>
        <w:t xml:space="preserve">а дневна доза от 30 </w:t>
      </w:r>
      <w:r w:rsidRPr="0047771A">
        <w:rPr>
          <w:rFonts w:eastAsia="Times New Roman" w:cs="Arial"/>
          <w:color w:val="000000"/>
          <w:lang w:val="en-US"/>
        </w:rPr>
        <w:t xml:space="preserve">mg </w:t>
      </w:r>
      <w:r w:rsidRPr="0047771A">
        <w:rPr>
          <w:rFonts w:eastAsia="Times New Roman" w:cs="Arial"/>
          <w:color w:val="000000"/>
          <w:lang w:eastAsia="bg-BG"/>
        </w:rPr>
        <w:t xml:space="preserve">се асоциира със значително повишен риск от сериозни нежелани реакции като екстрапирамидни събития, сънливост, отпадналост и повишаване на теглото (вижте точка 4.8). Поради тази причина дози по-високи от 10 </w:t>
      </w:r>
      <w:r w:rsidRPr="0047771A">
        <w:rPr>
          <w:rFonts w:eastAsia="Times New Roman" w:cs="Arial"/>
          <w:color w:val="000000"/>
          <w:lang w:val="en-US"/>
        </w:rPr>
        <w:t xml:space="preserve">mg </w:t>
      </w:r>
      <w:r w:rsidRPr="0047771A">
        <w:rPr>
          <w:rFonts w:eastAsia="Times New Roman" w:cs="Arial"/>
          <w:color w:val="000000"/>
          <w:lang w:eastAsia="bg-BG"/>
        </w:rPr>
        <w:t xml:space="preserve">дневно трябва да бъдат прилагани само при изключителни случаи и под стриктно клинично мониториране (вижте точки 4.4, 4.8 и 5.1). По- младите пациенти са изложени на риск от </w:t>
      </w:r>
      <w:r w:rsidRPr="0047771A">
        <w:rPr>
          <w:rFonts w:eastAsia="Times New Roman" w:cs="Arial"/>
          <w:color w:val="000000"/>
          <w:lang w:eastAsia="bg-BG"/>
        </w:rPr>
        <w:lastRenderedPageBreak/>
        <w:t>нежелани лекарствени реакции, свързани с арипипразол. Поради тази причина ЗИКАЛОР не се препоръчва за употреба при пациенти под 13-годишна възраст (вижте точки 4.8 и 5.1).</w:t>
      </w:r>
    </w:p>
    <w:p w14:paraId="278E1754" w14:textId="77777777" w:rsidR="0047771A" w:rsidRPr="0047771A" w:rsidRDefault="0047771A" w:rsidP="0047771A">
      <w:pPr>
        <w:spacing w:line="240" w:lineRule="auto"/>
        <w:rPr>
          <w:rFonts w:eastAsia="Times New Roman" w:cs="Arial"/>
          <w:i/>
          <w:iCs/>
          <w:color w:val="000000"/>
          <w:lang w:eastAsia="bg-BG"/>
        </w:rPr>
      </w:pPr>
    </w:p>
    <w:p w14:paraId="09DDE0CC" w14:textId="161E6825"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Раздразнителност, свързана с аутизъм:</w:t>
      </w:r>
      <w:r w:rsidRPr="0047771A">
        <w:rPr>
          <w:rFonts w:eastAsia="Times New Roman" w:cs="Arial"/>
          <w:color w:val="000000"/>
          <w:lang w:eastAsia="bg-BG"/>
        </w:rPr>
        <w:t xml:space="preserve"> безопасността и ефикасността на арипипразол при деца и юноши под 18-годишна възраст не е установена. Наличните към момента данни са описани в точка 5.1, но не може да бъде дадена препоръка по отношение на дозировката.</w:t>
      </w:r>
    </w:p>
    <w:p w14:paraId="56051071" w14:textId="77777777" w:rsidR="0047771A" w:rsidRPr="0047771A" w:rsidRDefault="0047771A" w:rsidP="0047771A">
      <w:pPr>
        <w:spacing w:line="240" w:lineRule="auto"/>
        <w:rPr>
          <w:rFonts w:eastAsia="Times New Roman" w:cs="Arial"/>
          <w:i/>
          <w:iCs/>
          <w:color w:val="000000"/>
          <w:lang w:eastAsia="bg-BG"/>
        </w:rPr>
      </w:pPr>
    </w:p>
    <w:p w14:paraId="2005AE47" w14:textId="1121BAB9"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Тикове, асоциирани със Синдрома на Турет:</w:t>
      </w:r>
      <w:r w:rsidRPr="0047771A">
        <w:rPr>
          <w:rFonts w:eastAsia="Times New Roman" w:cs="Arial"/>
          <w:color w:val="000000"/>
          <w:lang w:eastAsia="bg-BG"/>
        </w:rPr>
        <w:t xml:space="preserve"> безопасността и ефикасността на арипипразол при деца и юноши на възраст от 6 до 18 години не са установени. Наличните към момента данни са описани в точка 5.1, но не може да бъде направена препоръка за дозировка.</w:t>
      </w:r>
    </w:p>
    <w:p w14:paraId="1688BF5E" w14:textId="77777777" w:rsidR="0047771A" w:rsidRPr="0047771A" w:rsidRDefault="0047771A" w:rsidP="0047771A">
      <w:pPr>
        <w:spacing w:line="240" w:lineRule="auto"/>
        <w:rPr>
          <w:rFonts w:eastAsia="Times New Roman" w:cs="Arial"/>
          <w:i/>
          <w:iCs/>
          <w:color w:val="000000"/>
          <w:u w:val="single"/>
          <w:lang w:eastAsia="bg-BG"/>
        </w:rPr>
      </w:pPr>
    </w:p>
    <w:p w14:paraId="14FBAE2A" w14:textId="1B549299"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u w:val="single"/>
          <w:lang w:eastAsia="bg-BG"/>
        </w:rPr>
        <w:t>Спеииални популации</w:t>
      </w:r>
    </w:p>
    <w:p w14:paraId="15280706" w14:textId="77777777" w:rsidR="0047771A" w:rsidRPr="0047771A" w:rsidRDefault="0047771A" w:rsidP="0047771A">
      <w:pPr>
        <w:spacing w:line="240" w:lineRule="auto"/>
        <w:rPr>
          <w:rFonts w:eastAsia="Times New Roman" w:cs="Arial"/>
          <w:i/>
          <w:iCs/>
          <w:color w:val="000000"/>
          <w:lang w:eastAsia="bg-BG"/>
        </w:rPr>
      </w:pPr>
    </w:p>
    <w:p w14:paraId="165548F8" w14:textId="17222D14"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Чернодробно увреждане</w:t>
      </w:r>
    </w:p>
    <w:p w14:paraId="48795CC9" w14:textId="77777777" w:rsidR="0047771A" w:rsidRPr="0047771A" w:rsidRDefault="0047771A" w:rsidP="0047771A">
      <w:pPr>
        <w:rPr>
          <w:rFonts w:eastAsia="Times New Roman" w:cs="Arial"/>
          <w:sz w:val="28"/>
          <w:szCs w:val="28"/>
          <w:lang w:eastAsia="bg-BG"/>
        </w:rPr>
      </w:pPr>
      <w:r w:rsidRPr="0047771A">
        <w:rPr>
          <w:rFonts w:eastAsia="Times New Roman" w:cs="Arial"/>
          <w:color w:val="000000"/>
          <w:lang w:eastAsia="bg-BG"/>
        </w:rPr>
        <w:t>Не е необходимо адаптиране на дозата при пациенти с леко до умерено чернодробно увреждане. При пациенти с тежко чернодробно увреждане не са налични достатъчно данни, за да бъдат дадени препоръки. При тези пациенти дозата трябва да се определя внимателно. Въпреки това, при</w:t>
      </w:r>
      <w:r w:rsidRPr="0047771A">
        <w:rPr>
          <w:rFonts w:eastAsia="Times New Roman" w:cs="Arial"/>
          <w:color w:val="000000"/>
          <w:lang w:eastAsia="bg-BG"/>
        </w:rPr>
        <w:t xml:space="preserve"> </w:t>
      </w:r>
      <w:r w:rsidRPr="0047771A">
        <w:rPr>
          <w:rFonts w:eastAsia="Times New Roman" w:cs="Arial"/>
          <w:color w:val="000000"/>
          <w:lang w:eastAsia="bg-BG"/>
        </w:rPr>
        <w:t xml:space="preserve">пациенти с тежко чернодробно увреждане максималната дневна доза от 30 </w:t>
      </w:r>
      <w:r w:rsidRPr="0047771A">
        <w:rPr>
          <w:rFonts w:eastAsia="Times New Roman" w:cs="Arial"/>
          <w:color w:val="000000"/>
          <w:lang w:val="en-US"/>
        </w:rPr>
        <w:t xml:space="preserve">mg </w:t>
      </w:r>
      <w:r w:rsidRPr="0047771A">
        <w:rPr>
          <w:rFonts w:eastAsia="Times New Roman" w:cs="Arial"/>
          <w:color w:val="000000"/>
          <w:lang w:eastAsia="bg-BG"/>
        </w:rPr>
        <w:t>трябва да се прилага с повишено внимание (вижте точка 5.2).</w:t>
      </w:r>
    </w:p>
    <w:p w14:paraId="0909681F" w14:textId="77777777" w:rsidR="0047771A" w:rsidRPr="0047771A" w:rsidRDefault="0047771A" w:rsidP="0047771A">
      <w:pPr>
        <w:spacing w:line="240" w:lineRule="auto"/>
        <w:rPr>
          <w:rFonts w:eastAsia="Times New Roman" w:cs="Arial"/>
          <w:i/>
          <w:iCs/>
          <w:color w:val="000000"/>
          <w:lang w:eastAsia="bg-BG"/>
        </w:rPr>
      </w:pPr>
    </w:p>
    <w:p w14:paraId="72E95C2A" w14:textId="305A089E"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Бъбречно увреждане</w:t>
      </w:r>
    </w:p>
    <w:p w14:paraId="7D81AC98"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Не е необходимо адаптиране на дозата при пациенти с бъбречно увреждане.</w:t>
      </w:r>
    </w:p>
    <w:p w14:paraId="28BEA128" w14:textId="77777777" w:rsidR="0047771A" w:rsidRPr="0047771A" w:rsidRDefault="0047771A" w:rsidP="0047771A">
      <w:pPr>
        <w:spacing w:line="240" w:lineRule="auto"/>
        <w:rPr>
          <w:rFonts w:eastAsia="Times New Roman" w:cs="Arial"/>
          <w:i/>
          <w:iCs/>
          <w:color w:val="000000"/>
          <w:lang w:eastAsia="bg-BG"/>
        </w:rPr>
      </w:pPr>
    </w:p>
    <w:p w14:paraId="72C72E70" w14:textId="48EC351E"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Пациенти в старческа възраст</w:t>
      </w:r>
    </w:p>
    <w:p w14:paraId="5E4D7C31"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Безопасността и ефикасността на арипипразол за лечение на шизофрения и манийни епизоди при биполярно разстройство тип 1 при пациенти на и над 65 години не е установена. Във връзка с по- голямата чувствителност на тази популация, трябва да се има предвид започване на лечението с по- ниска начална доза, когато това е клинично оправдано (вижте точка 4.4).</w:t>
      </w:r>
    </w:p>
    <w:p w14:paraId="1539BE72" w14:textId="77777777" w:rsidR="0047771A" w:rsidRPr="0047771A" w:rsidRDefault="0047771A" w:rsidP="0047771A">
      <w:pPr>
        <w:spacing w:line="240" w:lineRule="auto"/>
        <w:rPr>
          <w:rFonts w:eastAsia="Times New Roman" w:cs="Arial"/>
          <w:i/>
          <w:iCs/>
          <w:color w:val="000000"/>
          <w:lang w:eastAsia="bg-BG"/>
        </w:rPr>
      </w:pPr>
    </w:p>
    <w:p w14:paraId="5DA2473B" w14:textId="34394C88"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Пол</w:t>
      </w:r>
    </w:p>
    <w:p w14:paraId="35937DB2"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Не е необходимо адаптиране на дозата при жени в сравнение с мъже (вижте точка 5.2).</w:t>
      </w:r>
    </w:p>
    <w:p w14:paraId="721E2687" w14:textId="77777777" w:rsidR="0047771A" w:rsidRPr="0047771A" w:rsidRDefault="0047771A" w:rsidP="0047771A">
      <w:pPr>
        <w:spacing w:line="240" w:lineRule="auto"/>
        <w:rPr>
          <w:rFonts w:eastAsia="Times New Roman" w:cs="Arial"/>
          <w:i/>
          <w:iCs/>
          <w:color w:val="000000"/>
          <w:lang w:eastAsia="bg-BG"/>
        </w:rPr>
      </w:pPr>
    </w:p>
    <w:p w14:paraId="7649F8A4" w14:textId="634BE85D"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Пушене</w:t>
      </w:r>
    </w:p>
    <w:p w14:paraId="0ED4A9C3"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Съобразно метаболитния път на арипипразол не е необходимо адаптиране на дозата при пушачи (вижте точка 4.5).</w:t>
      </w:r>
    </w:p>
    <w:p w14:paraId="1790EB12" w14:textId="77777777" w:rsidR="0047771A" w:rsidRPr="0047771A" w:rsidRDefault="0047771A" w:rsidP="0047771A">
      <w:pPr>
        <w:spacing w:line="240" w:lineRule="auto"/>
        <w:rPr>
          <w:rFonts w:eastAsia="Times New Roman" w:cs="Arial"/>
          <w:i/>
          <w:iCs/>
          <w:color w:val="000000"/>
          <w:lang w:eastAsia="bg-BG"/>
        </w:rPr>
      </w:pPr>
    </w:p>
    <w:p w14:paraId="0F814CD3" w14:textId="09B8F4B8"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Адаптиране на дозата поради взаимодействия</w:t>
      </w:r>
    </w:p>
    <w:p w14:paraId="6E6CE9DB"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 xml:space="preserve">В случай на съвместно приложение на мощни </w:t>
      </w:r>
      <w:r w:rsidRPr="0047771A">
        <w:rPr>
          <w:rFonts w:eastAsia="Times New Roman" w:cs="Arial"/>
          <w:color w:val="000000"/>
          <w:lang w:val="en-US"/>
        </w:rPr>
        <w:t xml:space="preserve">CYP3A4 </w:t>
      </w:r>
      <w:r w:rsidRPr="0047771A">
        <w:rPr>
          <w:rFonts w:eastAsia="Times New Roman" w:cs="Arial"/>
          <w:color w:val="000000"/>
          <w:lang w:eastAsia="bg-BG"/>
        </w:rPr>
        <w:t xml:space="preserve">или </w:t>
      </w:r>
      <w:r w:rsidRPr="0047771A">
        <w:rPr>
          <w:rFonts w:eastAsia="Times New Roman" w:cs="Arial"/>
          <w:color w:val="000000"/>
          <w:lang w:val="en-US"/>
        </w:rPr>
        <w:t xml:space="preserve">CYP2D6 </w:t>
      </w:r>
      <w:r w:rsidRPr="0047771A">
        <w:rPr>
          <w:rFonts w:eastAsia="Times New Roman" w:cs="Arial"/>
          <w:color w:val="000000"/>
          <w:lang w:eastAsia="bg-BG"/>
        </w:rPr>
        <w:t xml:space="preserve">инхибитори и арипипразол, дозата арипипразол трябва да бъде понижена. При преустановяване приема на </w:t>
      </w:r>
      <w:r w:rsidRPr="0047771A">
        <w:rPr>
          <w:rFonts w:eastAsia="Times New Roman" w:cs="Arial"/>
          <w:color w:val="000000"/>
          <w:lang w:val="en-US"/>
        </w:rPr>
        <w:t xml:space="preserve">CYP3A4 </w:t>
      </w:r>
      <w:r w:rsidRPr="0047771A">
        <w:rPr>
          <w:rFonts w:eastAsia="Times New Roman" w:cs="Arial"/>
          <w:color w:val="000000"/>
          <w:lang w:eastAsia="bg-BG"/>
        </w:rPr>
        <w:t xml:space="preserve">или </w:t>
      </w:r>
      <w:r w:rsidRPr="0047771A">
        <w:rPr>
          <w:rFonts w:eastAsia="Times New Roman" w:cs="Arial"/>
          <w:color w:val="000000"/>
          <w:lang w:val="en-US"/>
        </w:rPr>
        <w:t xml:space="preserve">CYP2D6 </w:t>
      </w:r>
      <w:r w:rsidRPr="0047771A">
        <w:rPr>
          <w:rFonts w:eastAsia="Times New Roman" w:cs="Arial"/>
          <w:color w:val="000000"/>
          <w:lang w:eastAsia="bg-BG"/>
        </w:rPr>
        <w:t>инхибитор в комбинираната терапия дозата арипипразол трябва да бъде повишена (вижте точка 4.5).</w:t>
      </w:r>
    </w:p>
    <w:p w14:paraId="0F89342B" w14:textId="77777777" w:rsidR="0047771A" w:rsidRPr="0047771A" w:rsidRDefault="0047771A" w:rsidP="0047771A">
      <w:pPr>
        <w:spacing w:line="240" w:lineRule="auto"/>
        <w:rPr>
          <w:rFonts w:eastAsia="Times New Roman" w:cs="Arial"/>
          <w:color w:val="000000"/>
          <w:lang w:eastAsia="bg-BG"/>
        </w:rPr>
      </w:pPr>
    </w:p>
    <w:p w14:paraId="63546108" w14:textId="2D96DC2B"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 xml:space="preserve">В случай на съвместно приложение на мощни </w:t>
      </w:r>
      <w:r w:rsidRPr="0047771A">
        <w:rPr>
          <w:rFonts w:eastAsia="Times New Roman" w:cs="Arial"/>
          <w:color w:val="000000"/>
          <w:lang w:val="en-US"/>
        </w:rPr>
        <w:t xml:space="preserve">CYP3A4 </w:t>
      </w:r>
      <w:r w:rsidRPr="0047771A">
        <w:rPr>
          <w:rFonts w:eastAsia="Times New Roman" w:cs="Arial"/>
          <w:color w:val="000000"/>
          <w:lang w:eastAsia="bg-BG"/>
        </w:rPr>
        <w:t xml:space="preserve">индуктори и арипипразол, дозата арипипразол трябва да бъде повишена. При преустановяване приема на </w:t>
      </w:r>
      <w:r w:rsidRPr="0047771A">
        <w:rPr>
          <w:rFonts w:eastAsia="Times New Roman" w:cs="Arial"/>
          <w:color w:val="000000"/>
          <w:lang w:val="en-US"/>
        </w:rPr>
        <w:t xml:space="preserve">CYP3A4 </w:t>
      </w:r>
      <w:r w:rsidRPr="0047771A">
        <w:rPr>
          <w:rFonts w:eastAsia="Times New Roman" w:cs="Arial"/>
          <w:color w:val="000000"/>
          <w:lang w:eastAsia="bg-BG"/>
        </w:rPr>
        <w:t>индуктор в комбинираната терапия дозата арипипразол трябва да бъде понижена до препоръчителната доза (вижте точка 4.5).</w:t>
      </w:r>
    </w:p>
    <w:p w14:paraId="11730356" w14:textId="77777777" w:rsidR="0047771A" w:rsidRPr="0047771A" w:rsidRDefault="0047771A" w:rsidP="0047771A">
      <w:pPr>
        <w:spacing w:line="240" w:lineRule="auto"/>
        <w:rPr>
          <w:rFonts w:eastAsia="Times New Roman" w:cs="Arial"/>
          <w:color w:val="000000"/>
          <w:u w:val="single"/>
          <w:lang w:eastAsia="bg-BG"/>
        </w:rPr>
      </w:pPr>
    </w:p>
    <w:p w14:paraId="371B4E18" w14:textId="1DA3013B" w:rsidR="0047771A" w:rsidRPr="0047771A" w:rsidRDefault="0047771A" w:rsidP="0047771A">
      <w:pPr>
        <w:pStyle w:val="Heading3"/>
        <w:rPr>
          <w:rFonts w:eastAsia="Times New Roman"/>
          <w:sz w:val="28"/>
          <w:szCs w:val="28"/>
          <w:u w:val="single"/>
          <w:lang w:eastAsia="bg-BG"/>
        </w:rPr>
      </w:pPr>
      <w:r w:rsidRPr="0047771A">
        <w:rPr>
          <w:rFonts w:eastAsia="Times New Roman"/>
          <w:u w:val="single"/>
          <w:lang w:eastAsia="bg-BG"/>
        </w:rPr>
        <w:t>Начин на приложение</w:t>
      </w:r>
    </w:p>
    <w:p w14:paraId="2D8FAE8F"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ЗИКАЛОР таблетки са за перорално приложение.</w:t>
      </w:r>
    </w:p>
    <w:p w14:paraId="62BE2213" w14:textId="7C28747E" w:rsidR="0047771A" w:rsidRPr="0047771A" w:rsidRDefault="0047771A" w:rsidP="0047771A"/>
    <w:p w14:paraId="1BF2EFF4" w14:textId="61AEB3F8" w:rsidR="001A6EBD" w:rsidRDefault="002C50EE" w:rsidP="00471F10">
      <w:pPr>
        <w:pStyle w:val="Heading2"/>
      </w:pPr>
      <w:r>
        <w:t>4.3. Противопоказания</w:t>
      </w:r>
    </w:p>
    <w:p w14:paraId="063B2323" w14:textId="25BFBABA" w:rsidR="0047771A" w:rsidRDefault="0047771A" w:rsidP="0047771A"/>
    <w:p w14:paraId="476B3036" w14:textId="582CA5F7" w:rsidR="0047771A" w:rsidRDefault="0047771A" w:rsidP="0047771A">
      <w:pPr>
        <w:rPr>
          <w:lang w:eastAsia="bg-BG"/>
        </w:rPr>
      </w:pPr>
      <w:r w:rsidRPr="0047771A">
        <w:rPr>
          <w:lang w:eastAsia="bg-BG"/>
        </w:rPr>
        <w:t>Свръхчувствителност към активното вещество или към някое от помощните вещества, изброени в точка 6.1.</w:t>
      </w:r>
    </w:p>
    <w:p w14:paraId="43E7DE28" w14:textId="77777777" w:rsidR="0047771A" w:rsidRPr="0047771A" w:rsidRDefault="0047771A" w:rsidP="0047771A">
      <w:pPr>
        <w:rPr>
          <w:sz w:val="24"/>
          <w:szCs w:val="24"/>
          <w:lang w:eastAsia="bg-BG"/>
        </w:rPr>
      </w:pPr>
    </w:p>
    <w:p w14:paraId="0C106098" w14:textId="31426DD0" w:rsidR="001A6EBD" w:rsidRDefault="002C50EE" w:rsidP="00471F10">
      <w:pPr>
        <w:pStyle w:val="Heading2"/>
      </w:pPr>
      <w:r>
        <w:t>4.4. Специални предупреждения и предпазни мерки при употреба</w:t>
      </w:r>
    </w:p>
    <w:p w14:paraId="5C7B90C3" w14:textId="0B6D7EA1" w:rsidR="0047771A" w:rsidRDefault="0047771A" w:rsidP="0047771A"/>
    <w:p w14:paraId="6EF93E55"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По време на антипсихотичното лечение, подобряването на клиничното състояние на пациента може да отнеме от няколко дни до няколко седмици, като през този период пациентите трябва да бъдат под постоянно наблюдение.</w:t>
      </w:r>
    </w:p>
    <w:p w14:paraId="45FA6B42" w14:textId="77777777" w:rsidR="0047771A" w:rsidRPr="0047771A" w:rsidRDefault="0047771A" w:rsidP="0047771A">
      <w:pPr>
        <w:spacing w:line="240" w:lineRule="auto"/>
        <w:rPr>
          <w:rFonts w:eastAsia="Times New Roman" w:cs="Arial"/>
          <w:color w:val="000000"/>
          <w:u w:val="single"/>
          <w:lang w:eastAsia="bg-BG"/>
        </w:rPr>
      </w:pPr>
    </w:p>
    <w:p w14:paraId="6AD944BA" w14:textId="43B65C29"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Суицидно поведение</w:t>
      </w:r>
    </w:p>
    <w:p w14:paraId="2C2E8B88"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Появата на суицидно поведение е присъща за психичните заболявания и афективните разстройства и в някои случаи е съобщавано скоро след започване или промяна на антипсихотичната терапия, включително и при лечение с арипипразол (вижте точка 4.8). Антипсихотичната терапия трябва да бъде съпътствана от наблюдение на високорисковите пациенти.</w:t>
      </w:r>
    </w:p>
    <w:p w14:paraId="7A700BB7" w14:textId="77777777" w:rsidR="0047771A" w:rsidRPr="0047771A" w:rsidRDefault="0047771A" w:rsidP="0047771A">
      <w:pPr>
        <w:spacing w:line="240" w:lineRule="auto"/>
        <w:rPr>
          <w:rFonts w:eastAsia="Times New Roman" w:cs="Arial"/>
          <w:color w:val="000000"/>
          <w:u w:val="single"/>
          <w:lang w:eastAsia="bg-BG"/>
        </w:rPr>
      </w:pPr>
    </w:p>
    <w:p w14:paraId="10ABB2E8" w14:textId="32F19F11"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Сърдечно-съдови нарушения</w:t>
      </w:r>
    </w:p>
    <w:p w14:paraId="6F77BC0F" w14:textId="77777777" w:rsidR="0047771A" w:rsidRPr="0047771A" w:rsidRDefault="0047771A" w:rsidP="0047771A">
      <w:pPr>
        <w:rPr>
          <w:rFonts w:eastAsia="Times New Roman" w:cs="Arial"/>
          <w:lang w:eastAsia="bg-BG"/>
        </w:rPr>
      </w:pPr>
      <w:r w:rsidRPr="0047771A">
        <w:rPr>
          <w:rFonts w:eastAsia="Times New Roman" w:cs="Arial"/>
          <w:color w:val="000000"/>
          <w:lang w:eastAsia="bg-BG"/>
        </w:rPr>
        <w:t>Арипипразол трябва да се прилага с внимание при пациенти с установено сърдечно-съдово заболяване (анамнеза за инфаркт на миокарда или исхемична болест на сърцето, сърдечна недостатъчност или нарушения на проводимостта), мозъчно-съдово заболяване, състояния, които</w:t>
      </w:r>
      <w:r w:rsidRPr="0047771A">
        <w:rPr>
          <w:rFonts w:eastAsia="Times New Roman" w:cs="Arial"/>
          <w:color w:val="000000"/>
          <w:lang w:eastAsia="bg-BG"/>
        </w:rPr>
        <w:t xml:space="preserve"> </w:t>
      </w:r>
      <w:r w:rsidRPr="0047771A">
        <w:rPr>
          <w:rFonts w:eastAsia="Times New Roman" w:cs="Arial"/>
          <w:color w:val="000000"/>
          <w:lang w:eastAsia="bg-BG"/>
        </w:rPr>
        <w:t>предразполагат към хипотония (дехидратация, хиповолемия или лечение с антихипертензивни лекарствени продукти) или хипертония, в това число ускорена или злокачествена.</w:t>
      </w:r>
    </w:p>
    <w:p w14:paraId="5F768774"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При употребата на антипсихотични лекарствени продукти са съобщавани случаи на венозен тромбемболизъм (ВТЕ). Тъй като при пациентите, лекувани с антипсихотици, често се наблюдават придобити рискови фактори за ВТЕ, всички рискови фактори за ВТЕ трябва да бъдат установени преди и по време на лечението с арипипразол и да бъдат взети превантивни мерки.</w:t>
      </w:r>
    </w:p>
    <w:p w14:paraId="38E7024E" w14:textId="77777777" w:rsidR="0047771A" w:rsidRPr="0047771A" w:rsidRDefault="0047771A" w:rsidP="0047771A">
      <w:pPr>
        <w:spacing w:line="240" w:lineRule="auto"/>
        <w:rPr>
          <w:rFonts w:eastAsia="Times New Roman" w:cs="Arial"/>
          <w:color w:val="000000"/>
          <w:u w:val="single"/>
          <w:lang w:eastAsia="bg-BG"/>
        </w:rPr>
      </w:pPr>
    </w:p>
    <w:p w14:paraId="61375EA8" w14:textId="715DDCA8"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Удължаване на ОТ интервала</w:t>
      </w:r>
    </w:p>
    <w:p w14:paraId="243733FE"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 xml:space="preserve">При клиничните изпитвания на арипипразол честотата на удължен </w:t>
      </w:r>
      <w:r w:rsidRPr="0047771A">
        <w:rPr>
          <w:rFonts w:eastAsia="Times New Roman" w:cs="Arial"/>
          <w:color w:val="000000"/>
          <w:lang w:val="en-US"/>
        </w:rPr>
        <w:t xml:space="preserve">QT </w:t>
      </w:r>
      <w:r w:rsidRPr="0047771A">
        <w:rPr>
          <w:rFonts w:eastAsia="Times New Roman" w:cs="Arial"/>
          <w:color w:val="000000"/>
          <w:lang w:eastAsia="bg-BG"/>
        </w:rPr>
        <w:t xml:space="preserve">интервал е била сравнима с тази при плацебо. Арипипразол трябва да се прилага с внимание при пациенти с фамилна анамнеза за удължаване на </w:t>
      </w:r>
      <w:r w:rsidRPr="0047771A">
        <w:rPr>
          <w:rFonts w:eastAsia="Times New Roman" w:cs="Arial"/>
          <w:color w:val="000000"/>
          <w:lang w:val="en-US"/>
        </w:rPr>
        <w:t xml:space="preserve">QT </w:t>
      </w:r>
      <w:r w:rsidRPr="0047771A">
        <w:rPr>
          <w:rFonts w:eastAsia="Times New Roman" w:cs="Arial"/>
          <w:color w:val="000000"/>
          <w:lang w:eastAsia="bg-BG"/>
        </w:rPr>
        <w:t>интервала (вижте точка 4.8).</w:t>
      </w:r>
    </w:p>
    <w:p w14:paraId="5084F64F" w14:textId="77777777" w:rsidR="0047771A" w:rsidRPr="0047771A" w:rsidRDefault="0047771A" w:rsidP="0047771A">
      <w:pPr>
        <w:spacing w:line="240" w:lineRule="auto"/>
        <w:rPr>
          <w:rFonts w:eastAsia="Times New Roman" w:cs="Arial"/>
          <w:color w:val="000000"/>
          <w:u w:val="single"/>
          <w:lang w:eastAsia="bg-BG"/>
        </w:rPr>
      </w:pPr>
    </w:p>
    <w:p w14:paraId="74D24C65" w14:textId="11504C1F"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Тардивна дискинезия</w:t>
      </w:r>
    </w:p>
    <w:p w14:paraId="42C9B694"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При клиничните изпитвания с продължителност една година или по-малко нечесто е съобщавано за необходимост от лечение на появила се по време на лечението с арипипразол дискинезия. Ако се появат признаци или симптоми на дискинезия при пациент на лечение с арипипразол, трябва да се обмисли понижаване на дозата или преустановяване на лечението (вижте точка 4.8). Тези симптоми може временно да се влошат и дори да се появят след преустановяване на лечението.</w:t>
      </w:r>
    </w:p>
    <w:p w14:paraId="0CB1EDFA" w14:textId="77777777" w:rsidR="0047771A" w:rsidRPr="0047771A" w:rsidRDefault="0047771A" w:rsidP="0047771A">
      <w:pPr>
        <w:spacing w:line="240" w:lineRule="auto"/>
        <w:rPr>
          <w:rFonts w:eastAsia="Times New Roman" w:cs="Arial"/>
          <w:color w:val="000000"/>
          <w:u w:val="single"/>
          <w:lang w:eastAsia="bg-BG"/>
        </w:rPr>
      </w:pPr>
    </w:p>
    <w:p w14:paraId="4F6E1738" w14:textId="17EA259E"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Други екстрапиоамидни симптоми</w:t>
      </w:r>
    </w:p>
    <w:p w14:paraId="4D7D95CF"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lastRenderedPageBreak/>
        <w:t>При педиатричните клинични изпитвания на арипипразол са наблюдавани акатизия и паркинсонизъм. Ако се появат признаци или симптоми на други ЕПС при пациент на лечение с арипипразол, трябва да се обмисли понижаване на дозата и внимателно клинично проследяване.</w:t>
      </w:r>
    </w:p>
    <w:p w14:paraId="14A9D2C0" w14:textId="77777777" w:rsidR="0047771A" w:rsidRPr="0047771A" w:rsidRDefault="0047771A" w:rsidP="0047771A">
      <w:pPr>
        <w:spacing w:line="240" w:lineRule="auto"/>
        <w:rPr>
          <w:rFonts w:eastAsia="Times New Roman" w:cs="Arial"/>
          <w:color w:val="000000"/>
          <w:u w:val="single"/>
          <w:lang w:eastAsia="bg-BG"/>
        </w:rPr>
      </w:pPr>
    </w:p>
    <w:p w14:paraId="65E91790" w14:textId="21033F8D"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 xml:space="preserve">Невролептичен малигнен синдром (НМС, </w:t>
      </w:r>
      <w:r w:rsidRPr="0047771A">
        <w:rPr>
          <w:rFonts w:eastAsia="Times New Roman" w:cs="Arial"/>
          <w:color w:val="000000"/>
          <w:u w:val="single"/>
          <w:lang w:val="en-US"/>
        </w:rPr>
        <w:t>NMS)</w:t>
      </w:r>
    </w:p>
    <w:p w14:paraId="3A39E8B2"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НМС е потенциално фатален комплекс от симптоми, свързан с антипсихотиците. При клиничните изпитвания са съобщавани редки случаи на НМС по време на лечение с арипипразол. Клиничните прояви на НМС са хиперпирексия, мускулна ригидност, нарушен ментален статус и данни за автономна нестабилност (неравномерен пулс или кръвно налягане, тахикардия, диафореза и сърдечна аритмия). Допълнителните признаци могат да включват повишени стойности на креатинин фосфокиназата, миоглобинурия (рабдомиолиза) и остра бъбречна недостатъчност. Въпреки това са съобщавани също и повишени стойности на кретинин фосфокиназата и рабдомиолиза, които не са непременно свързани с НМС. Ако пациент развие признаци или симптоми, характерни за НМС, или необяснимо висока температура без други клинични прояви на НМС, лечението с всички антипсихотични лекарствени продукти, включително арипипразол, трябва да бъде преустановено.</w:t>
      </w:r>
    </w:p>
    <w:p w14:paraId="6A8D41F2" w14:textId="77777777" w:rsidR="0047771A" w:rsidRPr="0047771A" w:rsidRDefault="0047771A" w:rsidP="0047771A">
      <w:pPr>
        <w:spacing w:line="240" w:lineRule="auto"/>
        <w:rPr>
          <w:rFonts w:eastAsia="Times New Roman" w:cs="Arial"/>
          <w:color w:val="000000"/>
          <w:u w:val="single"/>
          <w:lang w:eastAsia="bg-BG"/>
        </w:rPr>
      </w:pPr>
    </w:p>
    <w:p w14:paraId="5AA0D864" w14:textId="5206D103"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Гърчове</w:t>
      </w:r>
    </w:p>
    <w:p w14:paraId="679A6B76"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При клиничните проучвания нечесто са съобщавани случаи на гърчове по време на лечението с арипипразол.</w:t>
      </w:r>
    </w:p>
    <w:p w14:paraId="2A1986BA"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Поради това, арипипразол трябва да се прилага с внимание при пациенти с анамнеза за гърчове или състояния, свързани с гърчове (вижте точка 4.8).</w:t>
      </w:r>
    </w:p>
    <w:p w14:paraId="387C010B" w14:textId="77777777" w:rsidR="0047771A" w:rsidRPr="0047771A" w:rsidRDefault="0047771A" w:rsidP="0047771A">
      <w:pPr>
        <w:spacing w:line="240" w:lineRule="auto"/>
        <w:rPr>
          <w:rFonts w:eastAsia="Times New Roman" w:cs="Arial"/>
          <w:color w:val="000000"/>
          <w:u w:val="single"/>
          <w:lang w:eastAsia="bg-BG"/>
        </w:rPr>
      </w:pPr>
    </w:p>
    <w:p w14:paraId="305266E3" w14:textId="4827C34B"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Пациенти в старческа възраст с психоза, свързана с деменция</w:t>
      </w:r>
    </w:p>
    <w:p w14:paraId="6441D9B8" w14:textId="77777777" w:rsidR="0047771A" w:rsidRPr="0047771A" w:rsidRDefault="0047771A" w:rsidP="0047771A">
      <w:pPr>
        <w:spacing w:line="240" w:lineRule="auto"/>
        <w:rPr>
          <w:rFonts w:eastAsia="Times New Roman" w:cs="Arial"/>
          <w:lang w:eastAsia="bg-BG"/>
        </w:rPr>
      </w:pPr>
      <w:r w:rsidRPr="0047771A">
        <w:rPr>
          <w:rFonts w:eastAsia="Times New Roman" w:cs="Arial"/>
          <w:i/>
          <w:iCs/>
          <w:color w:val="000000"/>
          <w:lang w:eastAsia="bg-BG"/>
        </w:rPr>
        <w:t>Повишена смъртност</w:t>
      </w:r>
    </w:p>
    <w:p w14:paraId="4D4A5E15"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При три плацебо контролирани проучвания на арипипразол при пациенти в старческа възраст (</w:t>
      </w:r>
      <w:r w:rsidRPr="0047771A">
        <w:rPr>
          <w:rFonts w:eastAsia="Times New Roman" w:cs="Arial"/>
          <w:color w:val="000000"/>
          <w:lang w:val="en-US"/>
        </w:rPr>
        <w:t>n</w:t>
      </w:r>
      <w:r w:rsidRPr="0047771A">
        <w:rPr>
          <w:rFonts w:eastAsia="Times New Roman" w:cs="Arial"/>
          <w:color w:val="000000"/>
          <w:lang w:eastAsia="bg-BG"/>
        </w:rPr>
        <w:t>= 938; средна възраст: 82.4 години; възрастов интервал: 56-99 години) с психоза, свързана с болестта на Алцхаймер, пациентите, лекувани с арипипразол са били изложени на повишен риск смърт в сравнение с плацебо. Смъртността при пациентите, лекувани с арипипразол е 3,5% в сравнение с</w:t>
      </w:r>
    </w:p>
    <w:p w14:paraId="4A1D0D0D" w14:textId="77777777" w:rsidR="0047771A" w:rsidRPr="0047771A" w:rsidRDefault="0047771A" w:rsidP="0047771A">
      <w:pPr>
        <w:rPr>
          <w:rFonts w:eastAsia="Times New Roman" w:cs="Arial"/>
          <w:lang w:eastAsia="bg-BG"/>
        </w:rPr>
      </w:pPr>
      <w:r w:rsidRPr="0047771A">
        <w:rPr>
          <w:rFonts w:eastAsia="Times New Roman" w:cs="Arial"/>
          <w:color w:val="000000"/>
          <w:lang w:eastAsia="bg-BG"/>
        </w:rPr>
        <w:t>1,7% в плацебо групата. Независимо, че причините за смърт са различни, повечето случаи са</w:t>
      </w:r>
      <w:r w:rsidRPr="0047771A">
        <w:rPr>
          <w:rFonts w:eastAsia="Times New Roman" w:cs="Arial"/>
          <w:color w:val="000000"/>
          <w:lang w:eastAsia="bg-BG"/>
        </w:rPr>
        <w:t xml:space="preserve"> </w:t>
      </w:r>
      <w:r w:rsidRPr="0047771A">
        <w:rPr>
          <w:rFonts w:eastAsia="Times New Roman" w:cs="Arial"/>
          <w:color w:val="000000"/>
          <w:lang w:eastAsia="bg-BG"/>
        </w:rPr>
        <w:t>свързани или със сърдечно-съдови инциденти (напр. сърдечна недостатъчност, внезапна смърт), или с инфекции (напр. пневмония) (вижте точка 4.8).</w:t>
      </w:r>
    </w:p>
    <w:p w14:paraId="51A86DF4" w14:textId="77777777" w:rsidR="0047771A" w:rsidRPr="0047771A" w:rsidRDefault="0047771A" w:rsidP="0047771A">
      <w:pPr>
        <w:spacing w:line="240" w:lineRule="auto"/>
        <w:rPr>
          <w:rFonts w:eastAsia="Times New Roman" w:cs="Arial"/>
          <w:i/>
          <w:iCs/>
          <w:color w:val="000000"/>
          <w:lang w:eastAsia="bg-BG"/>
        </w:rPr>
      </w:pPr>
    </w:p>
    <w:p w14:paraId="578A88B5" w14:textId="77DF6EBE" w:rsidR="0047771A" w:rsidRPr="0047771A" w:rsidRDefault="0047771A" w:rsidP="0047771A">
      <w:pPr>
        <w:spacing w:line="240" w:lineRule="auto"/>
        <w:rPr>
          <w:rFonts w:eastAsia="Times New Roman" w:cs="Arial"/>
          <w:lang w:eastAsia="bg-BG"/>
        </w:rPr>
      </w:pPr>
      <w:r w:rsidRPr="0047771A">
        <w:rPr>
          <w:rFonts w:eastAsia="Times New Roman" w:cs="Arial"/>
          <w:i/>
          <w:iCs/>
          <w:color w:val="000000"/>
          <w:lang w:eastAsia="bg-BG"/>
        </w:rPr>
        <w:t>Церебро-васкуларни нежелани реакции</w:t>
      </w:r>
    </w:p>
    <w:p w14:paraId="78AB718D"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При същите проучвания се съобщава за церебро-васкуларни нежелани реакции (напр. инсулт, преходна исхемична атака), включително и фатални случаи (средна възраст: 84 години; възрастов интервал: 78-88 години). Общо при 1,3% от пациентите, лекувани с арипипразол са съобщавани церебро-васкуларни нежелани реакции в сравнение с 0,6% при пациентите, лекувани с плацебо в същите проучвания. Разликата не е статистически значима. Въпреки това, в едно клинично проучване с фиксирана доза се съобщава за значима връзка между дозовия отговор и церебро- васкуларните нежелани реакции при пациенти, лекувани с арипипразол (вижте точка 4.8).</w:t>
      </w:r>
    </w:p>
    <w:p w14:paraId="18D06B04" w14:textId="77777777" w:rsidR="0047771A" w:rsidRPr="0047771A" w:rsidRDefault="0047771A" w:rsidP="0047771A">
      <w:pPr>
        <w:spacing w:line="240" w:lineRule="auto"/>
        <w:rPr>
          <w:rFonts w:eastAsia="Times New Roman" w:cs="Arial"/>
          <w:color w:val="000000"/>
          <w:lang w:eastAsia="bg-BG"/>
        </w:rPr>
      </w:pPr>
    </w:p>
    <w:p w14:paraId="64301A58" w14:textId="458EF81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Арипипразол не е показан за лечение на пациенти с психоза вседствие на деменция.</w:t>
      </w:r>
    </w:p>
    <w:p w14:paraId="19C1C62F" w14:textId="77777777" w:rsidR="0047771A" w:rsidRPr="0047771A" w:rsidRDefault="0047771A" w:rsidP="0047771A">
      <w:pPr>
        <w:spacing w:line="240" w:lineRule="auto"/>
        <w:rPr>
          <w:rFonts w:eastAsia="Times New Roman" w:cs="Arial"/>
          <w:color w:val="000000"/>
          <w:u w:val="single"/>
          <w:lang w:eastAsia="bg-BG"/>
        </w:rPr>
      </w:pPr>
    </w:p>
    <w:p w14:paraId="246F8001" w14:textId="0EA63812"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Хипергликемия и захарен диабет</w:t>
      </w:r>
    </w:p>
    <w:p w14:paraId="648E7EA0"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 xml:space="preserve">При пациенти, лекувани с антипсихотични агенти, включително арипипразол са съобщавани случаи на хипергликемия, в някои случаи тежка и свързана с кетоацидоза </w:t>
      </w:r>
      <w:r w:rsidRPr="0047771A">
        <w:rPr>
          <w:rFonts w:eastAsia="Times New Roman" w:cs="Arial"/>
          <w:color w:val="000000"/>
          <w:lang w:eastAsia="bg-BG"/>
        </w:rPr>
        <w:lastRenderedPageBreak/>
        <w:t>или хиперосмоларна кома или смърт. Рисковите фактори, които могат да доведат до предразположение на пациентите към тежки усложнения, включват затлъстяване и фамилна анамнеза за диабет. В клиничните проучвания на арипипразол не са наблюдавани значими разлики в честотата на нежеланите реакции, свързани с хипергликемия (включително диабет) или по отношение на абнормни лабораторни стойности на гликемия в сравнение с плацебо. Няма точни данни за риска от свързани с хипергликемия нежелани реакции при пациентите, лекувани със арипипразол и с други атипични антипсихотици, за да може да се направи директно сравнение. Пациентите, лекувани с каквито и да е антипсихотици, включително арипипразол, трябва да бъдат проследявани за признаци и симптоми на хипергликемия (като полидипсия, полиурия, полифагия и слабост), като пациентите със захарен диабет или рискови фактори за захарен диабет трябва редовно да бъдат проследявани за влошаване на глюкозния контрол (вижте точка 4.8).</w:t>
      </w:r>
    </w:p>
    <w:p w14:paraId="6532C818" w14:textId="77777777" w:rsidR="0047771A" w:rsidRPr="0047771A" w:rsidRDefault="0047771A" w:rsidP="0047771A">
      <w:pPr>
        <w:spacing w:line="240" w:lineRule="auto"/>
        <w:rPr>
          <w:rFonts w:eastAsia="Times New Roman" w:cs="Arial"/>
          <w:color w:val="000000"/>
          <w:u w:val="single"/>
          <w:lang w:eastAsia="bg-BG"/>
        </w:rPr>
      </w:pPr>
    </w:p>
    <w:p w14:paraId="499CBF47" w14:textId="39DCC307"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Свръхчувствителност</w:t>
      </w:r>
    </w:p>
    <w:p w14:paraId="1D62EA00"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При лечение с арипипразол могат да се появят реакции на свръхчувствителност, характеризиращи се с алергични симптоми (вижте точка 4.8).</w:t>
      </w:r>
    </w:p>
    <w:p w14:paraId="0FEFBF30" w14:textId="77777777" w:rsidR="0047771A" w:rsidRPr="0047771A" w:rsidRDefault="0047771A" w:rsidP="0047771A">
      <w:pPr>
        <w:spacing w:line="240" w:lineRule="auto"/>
        <w:rPr>
          <w:rFonts w:eastAsia="Times New Roman" w:cs="Arial"/>
          <w:color w:val="000000"/>
          <w:u w:val="single"/>
          <w:lang w:eastAsia="bg-BG"/>
        </w:rPr>
      </w:pPr>
    </w:p>
    <w:p w14:paraId="76B7C85B" w14:textId="683337C7"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Повишаване на теглото</w:t>
      </w:r>
    </w:p>
    <w:p w14:paraId="038E3A68"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Увеличаване на теглото се наблюдава често при болни от шизофрения и биполярна мания поради съпътстващи заболявания, употреба на антипсихотици, за които е известно, че причиняват повишение на теглото, нездравословен начин на живот и може да доведе до тежки усложнения. Повишаване на теглото е съобщавано в постмаркетинговия период при пациенти, които приемат арипипразол. Когато има такива случаи, те обикновено са при пациенти със значителни рискови фактори като анамнеза за диабет, нарушения на щитовидната жлеза и аденом на хипофизата. При клиничните проучвания няма данни, че арипипразол предизвиква клинично значимо увеличение на теглото при възрастни (вижте точка 5.1). При клиничните проучвания при юноши с биполярна мания, арипипразол се асоциира с увеличение на теглото след 4-седмично лечение. Юношите с биполярна мания трябва да бъдат проследявани за увеличение на теглото. Ако увеличението на теглото е клинично значимо, трябва да се обмисли понижаване на дозата (вижте точка 4.8).</w:t>
      </w:r>
    </w:p>
    <w:p w14:paraId="6A0BA778" w14:textId="77777777" w:rsidR="0047771A" w:rsidRPr="0047771A" w:rsidRDefault="0047771A" w:rsidP="0047771A">
      <w:pPr>
        <w:spacing w:line="240" w:lineRule="auto"/>
        <w:rPr>
          <w:rFonts w:eastAsia="Times New Roman" w:cs="Arial"/>
          <w:color w:val="000000"/>
          <w:u w:val="single"/>
          <w:lang w:eastAsia="bg-BG"/>
        </w:rPr>
      </w:pPr>
    </w:p>
    <w:p w14:paraId="02635844" w14:textId="7B864B82"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Дисфагия</w:t>
      </w:r>
    </w:p>
    <w:p w14:paraId="25FB213C" w14:textId="5C24A080" w:rsidR="0047771A" w:rsidRPr="0047771A" w:rsidRDefault="0047771A" w:rsidP="0047771A">
      <w:pPr>
        <w:spacing w:line="240" w:lineRule="auto"/>
        <w:rPr>
          <w:rFonts w:eastAsia="Times New Roman" w:cs="Arial"/>
          <w:color w:val="000000"/>
          <w:lang w:eastAsia="bg-BG"/>
        </w:rPr>
      </w:pPr>
      <w:r w:rsidRPr="0047771A">
        <w:rPr>
          <w:rFonts w:eastAsia="Times New Roman" w:cs="Arial"/>
          <w:color w:val="000000"/>
          <w:lang w:eastAsia="bg-BG"/>
        </w:rPr>
        <w:t>Антипсихотичното лечение, включително арипипразол се свързва с езофагеална неподвижност и аспирация. Арипипразол трябва да се прилага с внимание при пациенти с риск от аспирационна пневмония.</w:t>
      </w:r>
    </w:p>
    <w:p w14:paraId="042E3CA6" w14:textId="7CD9603A" w:rsidR="0047771A" w:rsidRPr="0047771A" w:rsidRDefault="0047771A" w:rsidP="0047771A">
      <w:pPr>
        <w:spacing w:line="240" w:lineRule="auto"/>
        <w:rPr>
          <w:rFonts w:eastAsia="Times New Roman" w:cs="Arial"/>
          <w:color w:val="000000"/>
          <w:lang w:eastAsia="bg-BG"/>
        </w:rPr>
      </w:pPr>
    </w:p>
    <w:p w14:paraId="62F77640"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Патологична склонност към хазарт</w:t>
      </w:r>
      <w:r w:rsidRPr="0047771A">
        <w:rPr>
          <w:rFonts w:eastAsia="Times New Roman" w:cs="Arial"/>
          <w:color w:val="000000"/>
          <w:lang w:eastAsia="bg-BG"/>
        </w:rPr>
        <w:t xml:space="preserve"> и други разстройства в контрола на импулсите</w:t>
      </w:r>
    </w:p>
    <w:p w14:paraId="4A806F28"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 xml:space="preserve">Пациентите могат да изпитват повишени влечения, особено към хазарт, какго и невъзможността за контрол на тези влечения, докато приемат арипипразол. Другите съобщени влечения включват: повишени сексуални желания, компулсивно пазаруване, преяждане или компулсивно преяждане и други видове импулсивно и компулсивно поведение. Важно е лекарите, предписващи лекарството, да разпитват пациентите или техните болногледачи специално за развитието на ново или повишено влечение към хазарт, сексуални желания, компулсивно пазаруване, преяждане или компулсивно преяждане или други влечения по време на лечението с арипипразол. Трябва да се отбележи, че симптомите на разстройства в контрола на импулсите, могат да са свързани с основното заболяване; въпреки това, в някои случаи се съобщава за прекратяване на влеченията при намаляване на дозата или спиране на приема на лекарството. Разстройствата в контрола на импулсите могат да навредят на пациента и други хора, ако </w:t>
      </w:r>
      <w:r w:rsidRPr="0047771A">
        <w:rPr>
          <w:rFonts w:eastAsia="Times New Roman" w:cs="Arial"/>
          <w:color w:val="000000"/>
          <w:lang w:eastAsia="bg-BG"/>
        </w:rPr>
        <w:lastRenderedPageBreak/>
        <w:t>не бъдат разпознати. Обмислете намаляване на дозата или спиране на лекарството, ако пациентът развие подобни влечения, докато приема арипипразол (вижте точка 4.8).</w:t>
      </w:r>
    </w:p>
    <w:p w14:paraId="59BD128D" w14:textId="77777777" w:rsidR="0047771A" w:rsidRPr="0047771A" w:rsidRDefault="0047771A" w:rsidP="0047771A">
      <w:pPr>
        <w:spacing w:line="240" w:lineRule="auto"/>
        <w:rPr>
          <w:rFonts w:eastAsia="Times New Roman" w:cs="Arial"/>
          <w:color w:val="000000"/>
          <w:u w:val="single"/>
          <w:lang w:eastAsia="bg-BG"/>
        </w:rPr>
      </w:pPr>
    </w:p>
    <w:p w14:paraId="3C353FAD" w14:textId="210F0EF2"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 xml:space="preserve">Пациенти със съпътстващ синдром на хиперактивност с дефицит на вниманието </w:t>
      </w:r>
      <w:r w:rsidRPr="0047771A">
        <w:rPr>
          <w:rFonts w:eastAsia="Times New Roman" w:cs="Arial"/>
          <w:color w:val="000000"/>
          <w:u w:val="single"/>
          <w:lang w:val="en-US"/>
        </w:rPr>
        <w:t>(ADHD)</w:t>
      </w:r>
    </w:p>
    <w:p w14:paraId="61D8AA22"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Въпреки че биполярното разстройство тип I често се съпътства от СХДВ, данните за съвместно приложение на арипипразол и стимуланти са изключително ограничени; поради тази причина е необходимо повишено внимание, когато тези лекарствени продукти са приемани едновременно.</w:t>
      </w:r>
    </w:p>
    <w:p w14:paraId="7AF4FD8D" w14:textId="77777777" w:rsidR="0047771A" w:rsidRPr="0047771A" w:rsidRDefault="0047771A" w:rsidP="0047771A">
      <w:pPr>
        <w:spacing w:line="240" w:lineRule="auto"/>
        <w:rPr>
          <w:rFonts w:eastAsia="Times New Roman" w:cs="Arial"/>
          <w:color w:val="000000"/>
          <w:u w:val="single"/>
          <w:lang w:eastAsia="bg-BG"/>
        </w:rPr>
      </w:pPr>
    </w:p>
    <w:p w14:paraId="5003D5D5" w14:textId="457D821A"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Падания</w:t>
      </w:r>
    </w:p>
    <w:p w14:paraId="3E2F3368"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Арипипразол може да причини сънливост, постурална хипотония, моторна и сензорна нестабилност, които могат да доведат до падания. Необходимо е внимание, когато се лекуват пациенти с по-висок риск и трябва да се обмисли по-ниска начална доза (напр. пациенти в старческа възраст или изтощени пациенти; вж точка 4.2).</w:t>
      </w:r>
    </w:p>
    <w:p w14:paraId="345BC009" w14:textId="77777777" w:rsidR="0047771A" w:rsidRPr="0047771A" w:rsidRDefault="0047771A" w:rsidP="0047771A">
      <w:pPr>
        <w:spacing w:line="240" w:lineRule="auto"/>
        <w:rPr>
          <w:rFonts w:eastAsia="Times New Roman" w:cs="Arial"/>
          <w:color w:val="000000"/>
          <w:lang w:eastAsia="bg-BG"/>
        </w:rPr>
      </w:pPr>
    </w:p>
    <w:p w14:paraId="33D3ED41" w14:textId="23B00FD2"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 xml:space="preserve">ЗИКАЛОР таблетки съдържат лактоза. Пациентите с редки наследствени проблеми на галактозна непоносимост, </w:t>
      </w:r>
      <w:r w:rsidRPr="0047771A">
        <w:rPr>
          <w:rFonts w:eastAsia="Times New Roman" w:cs="Arial"/>
          <w:color w:val="000000"/>
          <w:lang w:val="en-US"/>
        </w:rPr>
        <w:t xml:space="preserve">Lapp </w:t>
      </w:r>
      <w:r w:rsidRPr="0047771A">
        <w:rPr>
          <w:rFonts w:eastAsia="Times New Roman" w:cs="Arial"/>
          <w:color w:val="000000"/>
          <w:lang w:eastAsia="bg-BG"/>
        </w:rPr>
        <w:t>лактазен дефицит или глюкозо-галактозна малабсорбция не трябва да приемат този лекарствен продукт.</w:t>
      </w:r>
    </w:p>
    <w:p w14:paraId="20569039" w14:textId="77777777" w:rsidR="0047771A" w:rsidRPr="0047771A" w:rsidRDefault="0047771A" w:rsidP="0047771A">
      <w:pPr>
        <w:spacing w:line="240" w:lineRule="auto"/>
        <w:rPr>
          <w:rFonts w:eastAsia="Times New Roman" w:cs="Arial"/>
          <w:b/>
          <w:bCs/>
          <w:color w:val="000000"/>
          <w:lang w:eastAsia="bg-BG"/>
        </w:rPr>
      </w:pPr>
    </w:p>
    <w:p w14:paraId="3A4D8C8E" w14:textId="3EE2DD74" w:rsidR="0047771A" w:rsidRPr="0047771A" w:rsidRDefault="0047771A" w:rsidP="0047771A">
      <w:pPr>
        <w:spacing w:line="240" w:lineRule="auto"/>
        <w:rPr>
          <w:rFonts w:eastAsia="Times New Roman" w:cs="Arial"/>
          <w:lang w:eastAsia="bg-BG"/>
        </w:rPr>
      </w:pPr>
      <w:r w:rsidRPr="0047771A">
        <w:rPr>
          <w:rFonts w:eastAsia="Times New Roman" w:cs="Arial"/>
          <w:b/>
          <w:bCs/>
          <w:color w:val="000000"/>
          <w:lang w:eastAsia="bg-BG"/>
        </w:rPr>
        <w:t xml:space="preserve">ЗИКАЛОР </w:t>
      </w:r>
      <w:r w:rsidRPr="0047771A">
        <w:rPr>
          <w:rFonts w:eastAsia="Times New Roman" w:cs="Arial"/>
          <w:color w:val="000000"/>
          <w:lang w:eastAsia="bg-BG"/>
        </w:rPr>
        <w:t xml:space="preserve">съдържа по-малко от 1 </w:t>
      </w:r>
      <w:r w:rsidRPr="0047771A">
        <w:rPr>
          <w:rFonts w:eastAsia="Times New Roman" w:cs="Arial"/>
          <w:color w:val="000000"/>
          <w:lang w:val="en-US"/>
        </w:rPr>
        <w:t xml:space="preserve">mmol </w:t>
      </w:r>
      <w:r w:rsidRPr="0047771A">
        <w:rPr>
          <w:rFonts w:eastAsia="Times New Roman" w:cs="Arial"/>
          <w:color w:val="000000"/>
          <w:lang w:eastAsia="bg-BG"/>
        </w:rPr>
        <w:t xml:space="preserve">натрий (23 </w:t>
      </w:r>
      <w:r w:rsidRPr="0047771A">
        <w:rPr>
          <w:rFonts w:eastAsia="Times New Roman" w:cs="Arial"/>
          <w:color w:val="000000"/>
          <w:lang w:val="en-US"/>
        </w:rPr>
        <w:t xml:space="preserve">mg) </w:t>
      </w:r>
      <w:r w:rsidRPr="0047771A">
        <w:rPr>
          <w:rFonts w:eastAsia="Times New Roman" w:cs="Arial"/>
          <w:color w:val="000000"/>
          <w:lang w:eastAsia="bg-BG"/>
        </w:rPr>
        <w:t>на една таблетка, т.е. се счита, че не съдържа натрий.</w:t>
      </w:r>
    </w:p>
    <w:p w14:paraId="029FAEA6" w14:textId="77777777" w:rsidR="0047771A" w:rsidRPr="0047771A" w:rsidRDefault="0047771A" w:rsidP="0047771A"/>
    <w:p w14:paraId="7ABEA351" w14:textId="4543021D" w:rsidR="00A71DCF" w:rsidRDefault="002C50EE" w:rsidP="00A93499">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36B4F01F" w14:textId="566CAA14" w:rsidR="0047771A" w:rsidRDefault="0047771A" w:rsidP="0047771A"/>
    <w:p w14:paraId="7F1CB0E9"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Поради своя α1-адренергичен рецепторен антагонизъм арипипразол може да усили ефекта на някои антихипертензивни лекарствени продукти.</w:t>
      </w:r>
    </w:p>
    <w:p w14:paraId="0ABBDF92"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Поради основния ефект на арипипразол върху ЦНС е необходимо внимание, когато арипипразол е прилаган в комбинация с алкохол или други влияещи върху ЦНС лекарствени продукти с потенциална възможност за поява на нежелани лекарствени реакции като седиране (вижте точка 4.8).</w:t>
      </w:r>
    </w:p>
    <w:p w14:paraId="647CA081"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 xml:space="preserve">Необходимо е внимание, ако арипипразол е приеман съвместно с лекарствени продукти, за които е известно, че удължават </w:t>
      </w:r>
      <w:r w:rsidRPr="0047771A">
        <w:rPr>
          <w:rFonts w:eastAsia="Times New Roman" w:cs="Arial"/>
          <w:color w:val="000000"/>
          <w:lang w:val="en-US"/>
        </w:rPr>
        <w:t xml:space="preserve">QT </w:t>
      </w:r>
      <w:r w:rsidRPr="0047771A">
        <w:rPr>
          <w:rFonts w:eastAsia="Times New Roman" w:cs="Arial"/>
          <w:color w:val="000000"/>
          <w:lang w:eastAsia="bg-BG"/>
        </w:rPr>
        <w:t>интервала или причиняват електролитен дисбаланс.</w:t>
      </w:r>
    </w:p>
    <w:p w14:paraId="19233DEE" w14:textId="77777777" w:rsidR="0047771A" w:rsidRPr="0047771A" w:rsidRDefault="0047771A" w:rsidP="0047771A">
      <w:pPr>
        <w:spacing w:line="240" w:lineRule="auto"/>
        <w:rPr>
          <w:rFonts w:eastAsia="Times New Roman" w:cs="Arial"/>
          <w:color w:val="000000"/>
          <w:u w:val="single"/>
          <w:lang w:eastAsia="bg-BG"/>
        </w:rPr>
      </w:pPr>
    </w:p>
    <w:p w14:paraId="1C26651C" w14:textId="76FE6986"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u w:val="single"/>
          <w:lang w:eastAsia="bg-BG"/>
        </w:rPr>
        <w:t>Потенциал на други лекарствени продукти да въздействат върху арипипразол</w:t>
      </w:r>
    </w:p>
    <w:p w14:paraId="08019A66"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Инхибиторът на стомашната киселинност, Н2 антагониста фамотидин намалява скоростта на абсорбция на арипипразол, но този ефект няма клинична значимост.</w:t>
      </w:r>
    </w:p>
    <w:p w14:paraId="408CE983"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 xml:space="preserve">Арипипразол се метаболизира чрез множество метаболитни пътища, включващи ензимите </w:t>
      </w:r>
      <w:r w:rsidRPr="0047771A">
        <w:rPr>
          <w:rFonts w:eastAsia="Times New Roman" w:cs="Arial"/>
          <w:color w:val="000000"/>
          <w:lang w:val="en-US"/>
        </w:rPr>
        <w:t xml:space="preserve">CYP2D6 </w:t>
      </w:r>
      <w:r w:rsidRPr="0047771A">
        <w:rPr>
          <w:rFonts w:eastAsia="Times New Roman" w:cs="Arial"/>
          <w:color w:val="000000"/>
          <w:lang w:eastAsia="bg-BG"/>
        </w:rPr>
        <w:t xml:space="preserve">и </w:t>
      </w:r>
      <w:r w:rsidRPr="0047771A">
        <w:rPr>
          <w:rFonts w:eastAsia="Times New Roman" w:cs="Arial"/>
          <w:color w:val="000000"/>
          <w:lang w:val="en-US"/>
        </w:rPr>
        <w:t xml:space="preserve">CYP3A4, </w:t>
      </w:r>
      <w:r w:rsidRPr="0047771A">
        <w:rPr>
          <w:rFonts w:eastAsia="Times New Roman" w:cs="Arial"/>
          <w:color w:val="000000"/>
          <w:lang w:eastAsia="bg-BG"/>
        </w:rPr>
        <w:t xml:space="preserve">но не </w:t>
      </w:r>
      <w:r w:rsidRPr="0047771A">
        <w:rPr>
          <w:rFonts w:eastAsia="Times New Roman" w:cs="Arial"/>
          <w:color w:val="000000"/>
          <w:lang w:val="en-US"/>
        </w:rPr>
        <w:t xml:space="preserve">CYP1A </w:t>
      </w:r>
      <w:r w:rsidRPr="0047771A">
        <w:rPr>
          <w:rFonts w:eastAsia="Times New Roman" w:cs="Arial"/>
          <w:color w:val="000000"/>
          <w:lang w:eastAsia="bg-BG"/>
        </w:rPr>
        <w:t>ензимите. Поради тази причина не се налага адаптиране на дозата при пушачи.</w:t>
      </w:r>
    </w:p>
    <w:p w14:paraId="70B40F48" w14:textId="77777777" w:rsidR="0047771A" w:rsidRPr="0047771A" w:rsidRDefault="0047771A" w:rsidP="0047771A">
      <w:pPr>
        <w:spacing w:line="240" w:lineRule="auto"/>
        <w:rPr>
          <w:rFonts w:eastAsia="Times New Roman" w:cs="Arial"/>
          <w:i/>
          <w:iCs/>
          <w:color w:val="000000"/>
          <w:lang w:eastAsia="bg-BG"/>
        </w:rPr>
      </w:pPr>
    </w:p>
    <w:p w14:paraId="78E711BD" w14:textId="780B9DDD"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 xml:space="preserve">Хинидин и други </w:t>
      </w:r>
      <w:r w:rsidRPr="0047771A">
        <w:rPr>
          <w:rFonts w:eastAsia="Times New Roman" w:cs="Arial"/>
          <w:i/>
          <w:iCs/>
          <w:color w:val="000000"/>
          <w:lang w:val="en-US"/>
        </w:rPr>
        <w:t xml:space="preserve">CYP2D6 </w:t>
      </w:r>
      <w:r w:rsidRPr="0047771A">
        <w:rPr>
          <w:rFonts w:eastAsia="Times New Roman" w:cs="Arial"/>
          <w:i/>
          <w:iCs/>
          <w:color w:val="000000"/>
          <w:lang w:eastAsia="bg-BG"/>
        </w:rPr>
        <w:t>инхибитори</w:t>
      </w:r>
    </w:p>
    <w:p w14:paraId="66129669"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 xml:space="preserve">В клинично проучване при здрави субекти мощният инхибитор на </w:t>
      </w:r>
      <w:r w:rsidRPr="0047771A">
        <w:rPr>
          <w:rFonts w:eastAsia="Times New Roman" w:cs="Arial"/>
          <w:color w:val="000000"/>
          <w:lang w:val="en-US"/>
        </w:rPr>
        <w:t xml:space="preserve">CYP2D6 </w:t>
      </w:r>
      <w:r w:rsidRPr="0047771A">
        <w:rPr>
          <w:rFonts w:eastAsia="Times New Roman" w:cs="Arial"/>
          <w:color w:val="000000"/>
          <w:lang w:eastAsia="bg-BG"/>
        </w:rPr>
        <w:t xml:space="preserve">(хинидин) повишава </w:t>
      </w:r>
      <w:r w:rsidRPr="0047771A">
        <w:rPr>
          <w:rFonts w:eastAsia="Times New Roman" w:cs="Arial"/>
          <w:color w:val="000000"/>
          <w:lang w:val="en-US"/>
        </w:rPr>
        <w:t xml:space="preserve">AUC </w:t>
      </w:r>
      <w:r w:rsidRPr="0047771A">
        <w:rPr>
          <w:rFonts w:eastAsia="Times New Roman" w:cs="Arial"/>
          <w:color w:val="000000"/>
          <w:lang w:eastAsia="bg-BG"/>
        </w:rPr>
        <w:t>на арипипразол със 107%, докато С</w:t>
      </w:r>
      <w:r w:rsidRPr="0047771A">
        <w:rPr>
          <w:rFonts w:eastAsia="Times New Roman" w:cs="Arial"/>
          <w:color w:val="000000"/>
          <w:lang w:val="en-US"/>
        </w:rPr>
        <w:t>max</w:t>
      </w:r>
      <w:r w:rsidRPr="0047771A">
        <w:rPr>
          <w:rFonts w:eastAsia="Times New Roman" w:cs="Arial"/>
          <w:color w:val="000000"/>
          <w:lang w:eastAsia="bg-BG"/>
        </w:rPr>
        <w:t xml:space="preserve"> остава непроменена. </w:t>
      </w:r>
      <w:r w:rsidRPr="0047771A">
        <w:rPr>
          <w:rFonts w:eastAsia="Times New Roman" w:cs="Arial"/>
          <w:color w:val="000000"/>
          <w:lang w:val="en-US"/>
        </w:rPr>
        <w:t xml:space="preserve">AUC </w:t>
      </w:r>
      <w:r w:rsidRPr="0047771A">
        <w:rPr>
          <w:rFonts w:eastAsia="Times New Roman" w:cs="Arial"/>
          <w:color w:val="000000"/>
          <w:lang w:eastAsia="bg-BG"/>
        </w:rPr>
        <w:t xml:space="preserve">и Стах на дехидро- арипипразол, активният метаболит се понижават съответно с 32% и 47%. Дозата арипипразол трябва да бъде понижена приблизително наполовина спрямо обичайната предписвана доза при съвместно приложение на арипипразол и хинидин. Очаква се други силни инхибитори на </w:t>
      </w:r>
      <w:r w:rsidRPr="0047771A">
        <w:rPr>
          <w:rFonts w:eastAsia="Times New Roman" w:cs="Arial"/>
          <w:color w:val="000000"/>
          <w:lang w:val="en-US"/>
        </w:rPr>
        <w:t xml:space="preserve">CYP2D6 </w:t>
      </w:r>
      <w:r w:rsidRPr="0047771A">
        <w:rPr>
          <w:rFonts w:eastAsia="Times New Roman" w:cs="Arial"/>
          <w:color w:val="000000"/>
          <w:lang w:eastAsia="bg-BG"/>
        </w:rPr>
        <w:t>като флуоксетин и пароксетин да имат сходни ефекти и, поради това се препоръчва да се приложи сходно понижение на дозата.</w:t>
      </w:r>
    </w:p>
    <w:p w14:paraId="74951D34" w14:textId="77777777" w:rsidR="0047771A" w:rsidRPr="0047771A" w:rsidRDefault="0047771A" w:rsidP="0047771A">
      <w:pPr>
        <w:spacing w:line="240" w:lineRule="auto"/>
        <w:rPr>
          <w:rFonts w:eastAsia="Times New Roman" w:cs="Arial"/>
          <w:i/>
          <w:iCs/>
          <w:color w:val="000000"/>
          <w:lang w:eastAsia="bg-BG"/>
        </w:rPr>
      </w:pPr>
    </w:p>
    <w:p w14:paraId="72211C13" w14:textId="44CC819C"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 xml:space="preserve">Кетоконазол и други </w:t>
      </w:r>
      <w:r w:rsidRPr="0047771A">
        <w:rPr>
          <w:rFonts w:eastAsia="Times New Roman" w:cs="Arial"/>
          <w:i/>
          <w:iCs/>
          <w:color w:val="000000"/>
          <w:lang w:val="en-US"/>
        </w:rPr>
        <w:t xml:space="preserve">CYP3A4 </w:t>
      </w:r>
      <w:r w:rsidRPr="0047771A">
        <w:rPr>
          <w:rFonts w:eastAsia="Times New Roman" w:cs="Arial"/>
          <w:i/>
          <w:iCs/>
          <w:color w:val="000000"/>
          <w:lang w:eastAsia="bg-BG"/>
        </w:rPr>
        <w:t>инхибитори</w:t>
      </w:r>
    </w:p>
    <w:p w14:paraId="7B3EEE40"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 xml:space="preserve">В клинично проучване при здрави субекти мощният инхибитор на </w:t>
      </w:r>
      <w:r w:rsidRPr="0047771A">
        <w:rPr>
          <w:rFonts w:eastAsia="Times New Roman" w:cs="Arial"/>
          <w:color w:val="000000"/>
          <w:lang w:val="en-US"/>
        </w:rPr>
        <w:t xml:space="preserve">CYP3A4 </w:t>
      </w:r>
      <w:r w:rsidRPr="0047771A">
        <w:rPr>
          <w:rFonts w:eastAsia="Times New Roman" w:cs="Arial"/>
          <w:color w:val="000000"/>
          <w:lang w:eastAsia="bg-BG"/>
        </w:rPr>
        <w:t xml:space="preserve">(кетоконазол) повишава </w:t>
      </w:r>
      <w:r w:rsidRPr="0047771A">
        <w:rPr>
          <w:rFonts w:eastAsia="Times New Roman" w:cs="Arial"/>
          <w:color w:val="000000"/>
          <w:lang w:val="en-US"/>
        </w:rPr>
        <w:t xml:space="preserve">AUC </w:t>
      </w:r>
      <w:r w:rsidRPr="0047771A">
        <w:rPr>
          <w:rFonts w:eastAsia="Times New Roman" w:cs="Arial"/>
          <w:color w:val="000000"/>
          <w:lang w:eastAsia="bg-BG"/>
        </w:rPr>
        <w:t xml:space="preserve">и Сшах с 63% и 37%, респективно. </w:t>
      </w:r>
      <w:r w:rsidRPr="0047771A">
        <w:rPr>
          <w:rFonts w:eastAsia="Times New Roman" w:cs="Arial"/>
          <w:color w:val="000000"/>
          <w:lang w:val="en-US"/>
        </w:rPr>
        <w:t xml:space="preserve">AUC </w:t>
      </w:r>
      <w:r w:rsidRPr="0047771A">
        <w:rPr>
          <w:rFonts w:eastAsia="Times New Roman" w:cs="Arial"/>
          <w:color w:val="000000"/>
          <w:lang w:eastAsia="bg-BG"/>
        </w:rPr>
        <w:t>и С</w:t>
      </w:r>
      <w:r w:rsidRPr="0047771A">
        <w:rPr>
          <w:rFonts w:eastAsia="Times New Roman" w:cs="Arial"/>
          <w:color w:val="000000"/>
          <w:lang w:val="en-US"/>
        </w:rPr>
        <w:t>max</w:t>
      </w:r>
      <w:r w:rsidRPr="0047771A">
        <w:rPr>
          <w:rFonts w:eastAsia="Times New Roman" w:cs="Arial"/>
          <w:color w:val="000000"/>
          <w:lang w:eastAsia="bg-BG"/>
        </w:rPr>
        <w:t xml:space="preserve"> на дехидро-арипипразол се повишават със 77% и 43%, респективно. При слабите метаболизатори на </w:t>
      </w:r>
      <w:r w:rsidRPr="0047771A">
        <w:rPr>
          <w:rFonts w:eastAsia="Times New Roman" w:cs="Arial"/>
          <w:color w:val="000000"/>
          <w:lang w:val="en-US"/>
        </w:rPr>
        <w:t xml:space="preserve">CYP2D6 </w:t>
      </w:r>
      <w:r w:rsidRPr="0047771A">
        <w:rPr>
          <w:rFonts w:eastAsia="Times New Roman" w:cs="Arial"/>
          <w:color w:val="000000"/>
          <w:lang w:eastAsia="bg-BG"/>
        </w:rPr>
        <w:t xml:space="preserve">съвместното приложение на мощни инхибитори на </w:t>
      </w:r>
      <w:r w:rsidRPr="0047771A">
        <w:rPr>
          <w:rFonts w:eastAsia="Times New Roman" w:cs="Arial"/>
          <w:color w:val="000000"/>
          <w:lang w:val="en-US"/>
        </w:rPr>
        <w:t xml:space="preserve">CYP3A4 </w:t>
      </w:r>
      <w:r w:rsidRPr="0047771A">
        <w:rPr>
          <w:rFonts w:eastAsia="Times New Roman" w:cs="Arial"/>
          <w:color w:val="000000"/>
          <w:lang w:eastAsia="bg-BG"/>
        </w:rPr>
        <w:t xml:space="preserve">може да доведе до по-високи плазмени концентрации на арипипразол в сравнение с тези при бързите метаболизатори на </w:t>
      </w:r>
      <w:r w:rsidRPr="0047771A">
        <w:rPr>
          <w:rFonts w:eastAsia="Times New Roman" w:cs="Arial"/>
          <w:color w:val="000000"/>
          <w:lang w:val="en-US"/>
        </w:rPr>
        <w:t xml:space="preserve">CYP2D6. </w:t>
      </w:r>
      <w:r w:rsidRPr="0047771A">
        <w:rPr>
          <w:rFonts w:eastAsia="Times New Roman" w:cs="Arial"/>
          <w:color w:val="000000"/>
          <w:lang w:eastAsia="bg-BG"/>
        </w:rPr>
        <w:t xml:space="preserve">Когато се обмисля съвместно приложение на кетоконазол или друг силен инхибитор на </w:t>
      </w:r>
      <w:r w:rsidRPr="0047771A">
        <w:rPr>
          <w:rFonts w:eastAsia="Times New Roman" w:cs="Arial"/>
          <w:color w:val="000000"/>
          <w:lang w:val="en-US"/>
        </w:rPr>
        <w:t xml:space="preserve">CYP3A4 </w:t>
      </w:r>
      <w:r w:rsidRPr="0047771A">
        <w:rPr>
          <w:rFonts w:eastAsia="Times New Roman" w:cs="Arial"/>
          <w:color w:val="000000"/>
          <w:lang w:eastAsia="bg-BG"/>
        </w:rPr>
        <w:t xml:space="preserve">с арипипразол, потенциалните ползи трябва да надвишават потенциалните рискове за пациента. В случай на съвместно приложение на кетоконазол и арипипразол, дозата арипипразол трябва да бъде понижена приблизително наполовина спрямо обичайната предписвана доза. Подобни ефекти може да се очакват и при други мощни инхибитори на </w:t>
      </w:r>
      <w:r w:rsidRPr="0047771A">
        <w:rPr>
          <w:rFonts w:eastAsia="Times New Roman" w:cs="Arial"/>
          <w:color w:val="000000"/>
          <w:lang w:val="en-US"/>
        </w:rPr>
        <w:t>CYP3</w:t>
      </w:r>
      <w:r w:rsidRPr="0047771A">
        <w:rPr>
          <w:rFonts w:eastAsia="Times New Roman" w:cs="Arial"/>
          <w:color w:val="000000"/>
          <w:lang w:eastAsia="bg-BG"/>
        </w:rPr>
        <w:t xml:space="preserve">А4 като итраконазол и </w:t>
      </w:r>
      <w:r w:rsidRPr="0047771A">
        <w:rPr>
          <w:rFonts w:eastAsia="Times New Roman" w:cs="Arial"/>
          <w:color w:val="000000"/>
          <w:lang w:val="en-US"/>
        </w:rPr>
        <w:t xml:space="preserve">HIV </w:t>
      </w:r>
      <w:r w:rsidRPr="0047771A">
        <w:rPr>
          <w:rFonts w:eastAsia="Times New Roman" w:cs="Arial"/>
          <w:color w:val="000000"/>
          <w:lang w:eastAsia="bg-BG"/>
        </w:rPr>
        <w:t xml:space="preserve">протеазни инхибитори, поради което е необходимо да се приложи същото понижение на дозата (вижте точка 4.2). При преустановяване приема на инхибитори на </w:t>
      </w:r>
      <w:r w:rsidRPr="0047771A">
        <w:rPr>
          <w:rFonts w:eastAsia="Times New Roman" w:cs="Arial"/>
          <w:color w:val="000000"/>
          <w:lang w:val="en-US"/>
        </w:rPr>
        <w:t xml:space="preserve">CYP2D6 </w:t>
      </w:r>
      <w:r w:rsidRPr="0047771A">
        <w:rPr>
          <w:rFonts w:eastAsia="Times New Roman" w:cs="Arial"/>
          <w:color w:val="000000"/>
          <w:lang w:eastAsia="bg-BG"/>
        </w:rPr>
        <w:t xml:space="preserve">или </w:t>
      </w:r>
      <w:r w:rsidRPr="0047771A">
        <w:rPr>
          <w:rFonts w:eastAsia="Times New Roman" w:cs="Arial"/>
          <w:color w:val="000000"/>
          <w:lang w:val="en-US"/>
        </w:rPr>
        <w:t>CYP3</w:t>
      </w:r>
      <w:r w:rsidRPr="0047771A">
        <w:rPr>
          <w:rFonts w:eastAsia="Times New Roman" w:cs="Arial"/>
          <w:color w:val="000000"/>
          <w:lang w:eastAsia="bg-BG"/>
        </w:rPr>
        <w:t xml:space="preserve">А4 дозата арипипразол трябва да бъде повишена до нивата преди започване на съвместното лечение. Когато слаби инхибитори на </w:t>
      </w:r>
      <w:r w:rsidRPr="0047771A">
        <w:rPr>
          <w:rFonts w:eastAsia="Times New Roman" w:cs="Arial"/>
          <w:color w:val="000000"/>
          <w:lang w:val="en-US"/>
        </w:rPr>
        <w:t xml:space="preserve">CYP3A4 </w:t>
      </w:r>
      <w:r w:rsidRPr="0047771A">
        <w:rPr>
          <w:rFonts w:eastAsia="Times New Roman" w:cs="Arial"/>
          <w:color w:val="000000"/>
          <w:lang w:eastAsia="bg-BG"/>
        </w:rPr>
        <w:t xml:space="preserve">(напр. дилтиазем) или </w:t>
      </w:r>
      <w:r w:rsidRPr="0047771A">
        <w:rPr>
          <w:rFonts w:eastAsia="Times New Roman" w:cs="Arial"/>
          <w:color w:val="000000"/>
          <w:lang w:val="en-US"/>
        </w:rPr>
        <w:t xml:space="preserve">CYP2D6 </w:t>
      </w:r>
      <w:r w:rsidRPr="0047771A">
        <w:rPr>
          <w:rFonts w:eastAsia="Times New Roman" w:cs="Arial"/>
          <w:color w:val="000000"/>
          <w:lang w:eastAsia="bg-BG"/>
        </w:rPr>
        <w:t>(например есциталопрам) се прилагат съвместно със арипипразол може да се очакват слаби повишения в плазмените концентрации на арипипразол.</w:t>
      </w:r>
    </w:p>
    <w:p w14:paraId="47E42992" w14:textId="77777777" w:rsidR="0047771A" w:rsidRPr="0047771A" w:rsidRDefault="0047771A" w:rsidP="0047771A">
      <w:pPr>
        <w:spacing w:line="240" w:lineRule="auto"/>
        <w:rPr>
          <w:rFonts w:eastAsia="Times New Roman" w:cs="Arial"/>
          <w:i/>
          <w:iCs/>
          <w:color w:val="000000"/>
          <w:lang w:eastAsia="bg-BG"/>
        </w:rPr>
      </w:pPr>
    </w:p>
    <w:p w14:paraId="3846F613" w14:textId="178E4470"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 xml:space="preserve">Карбамазепин и други </w:t>
      </w:r>
      <w:r w:rsidRPr="0047771A">
        <w:rPr>
          <w:rFonts w:eastAsia="Times New Roman" w:cs="Arial"/>
          <w:i/>
          <w:iCs/>
          <w:color w:val="000000"/>
          <w:lang w:val="en-US"/>
        </w:rPr>
        <w:t xml:space="preserve">CYP3A4 </w:t>
      </w:r>
      <w:r w:rsidRPr="0047771A">
        <w:rPr>
          <w:rFonts w:eastAsia="Times New Roman" w:cs="Arial"/>
          <w:i/>
          <w:iCs/>
          <w:color w:val="000000"/>
          <w:lang w:eastAsia="bg-BG"/>
        </w:rPr>
        <w:t>индуктори</w:t>
      </w:r>
    </w:p>
    <w:p w14:paraId="155B153D"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 xml:space="preserve">След съвместно приложение на карбамазепин, силен индукгор на </w:t>
      </w:r>
      <w:r w:rsidRPr="0047771A">
        <w:rPr>
          <w:rFonts w:eastAsia="Times New Roman" w:cs="Arial"/>
          <w:color w:val="000000"/>
          <w:lang w:val="en-US"/>
        </w:rPr>
        <w:t xml:space="preserve">CYP3A4, </w:t>
      </w:r>
      <w:r w:rsidRPr="0047771A">
        <w:rPr>
          <w:rFonts w:eastAsia="Times New Roman" w:cs="Arial"/>
          <w:color w:val="000000"/>
          <w:lang w:eastAsia="bg-BG"/>
        </w:rPr>
        <w:t>и перорален арипипразол на пациенти с шизофрения или шизоафективно разстройство, измерените геометрични средни С</w:t>
      </w:r>
      <w:r w:rsidRPr="0047771A">
        <w:rPr>
          <w:rFonts w:eastAsia="Times New Roman" w:cs="Arial"/>
          <w:color w:val="000000"/>
          <w:lang w:val="en-US"/>
        </w:rPr>
        <w:t>max</w:t>
      </w:r>
      <w:r w:rsidRPr="0047771A">
        <w:rPr>
          <w:rFonts w:eastAsia="Times New Roman" w:cs="Arial"/>
          <w:color w:val="000000"/>
          <w:lang w:eastAsia="bg-BG"/>
        </w:rPr>
        <w:t xml:space="preserve"> и </w:t>
      </w:r>
      <w:r w:rsidRPr="0047771A">
        <w:rPr>
          <w:rFonts w:eastAsia="Times New Roman" w:cs="Arial"/>
          <w:color w:val="000000"/>
          <w:lang w:val="en-US"/>
        </w:rPr>
        <w:t xml:space="preserve">AUC </w:t>
      </w:r>
      <w:r w:rsidRPr="0047771A">
        <w:rPr>
          <w:rFonts w:eastAsia="Times New Roman" w:cs="Arial"/>
          <w:color w:val="000000"/>
          <w:lang w:eastAsia="bg-BG"/>
        </w:rPr>
        <w:t xml:space="preserve">на арипипразол са били съответно 68% и 73% по-ниски в сравнение със случаите, в които арипипразол (30 </w:t>
      </w:r>
      <w:r w:rsidRPr="0047771A">
        <w:rPr>
          <w:rFonts w:eastAsia="Times New Roman" w:cs="Arial"/>
          <w:color w:val="000000"/>
          <w:lang w:val="en-US"/>
        </w:rPr>
        <w:t xml:space="preserve">mg) </w:t>
      </w:r>
      <w:r w:rsidRPr="0047771A">
        <w:rPr>
          <w:rFonts w:eastAsia="Times New Roman" w:cs="Arial"/>
          <w:color w:val="000000"/>
          <w:lang w:eastAsia="bg-BG"/>
        </w:rPr>
        <w:t>е приеман самостоятелно. Подобно на това, геометричните средни С</w:t>
      </w:r>
      <w:r w:rsidRPr="0047771A">
        <w:rPr>
          <w:rFonts w:eastAsia="Times New Roman" w:cs="Arial"/>
          <w:color w:val="000000"/>
          <w:lang w:val="en-US"/>
        </w:rPr>
        <w:t>max</w:t>
      </w:r>
      <w:r w:rsidRPr="0047771A">
        <w:rPr>
          <w:rFonts w:eastAsia="Times New Roman" w:cs="Arial"/>
          <w:color w:val="000000"/>
          <w:lang w:eastAsia="bg-BG"/>
        </w:rPr>
        <w:t xml:space="preserve"> и </w:t>
      </w:r>
      <w:r w:rsidRPr="0047771A">
        <w:rPr>
          <w:rFonts w:eastAsia="Times New Roman" w:cs="Arial"/>
          <w:color w:val="000000"/>
          <w:lang w:val="en-US"/>
        </w:rPr>
        <w:t xml:space="preserve">AUC </w:t>
      </w:r>
      <w:r w:rsidRPr="0047771A">
        <w:rPr>
          <w:rFonts w:eastAsia="Times New Roman" w:cs="Arial"/>
          <w:color w:val="000000"/>
          <w:lang w:eastAsia="bg-BG"/>
        </w:rPr>
        <w:t>на дехидро-арипипразол след съвместен прием на карбамазепин са били съответно 69% и 71% по-ниски от тези след лечение само с арипипразол.</w:t>
      </w:r>
    </w:p>
    <w:p w14:paraId="624A92EF"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 xml:space="preserve">Дозата арипипразол трябва да се удвои при съвместно приложение на арипипразол и карбамазепин. Подобни ефекти може да се очакват и при съвместната употреба на арипипразол и други индуктори на </w:t>
      </w:r>
      <w:r w:rsidRPr="0047771A">
        <w:rPr>
          <w:rFonts w:eastAsia="Times New Roman" w:cs="Arial"/>
          <w:color w:val="000000"/>
          <w:lang w:val="en-US"/>
        </w:rPr>
        <w:t xml:space="preserve">CYP3A4 </w:t>
      </w:r>
      <w:r w:rsidRPr="0047771A">
        <w:rPr>
          <w:rFonts w:eastAsia="Times New Roman" w:cs="Arial"/>
          <w:color w:val="000000"/>
          <w:lang w:eastAsia="bg-BG"/>
        </w:rPr>
        <w:t xml:space="preserve">(като рифампицин, фенитоин, фенобарбитал, примидон, ефавиренц, невирапин и жълт кантарион), което налага подобно повишаване на дозата. След преустановяване приема на силни индуктори на </w:t>
      </w:r>
      <w:r w:rsidRPr="0047771A">
        <w:rPr>
          <w:rFonts w:eastAsia="Times New Roman" w:cs="Arial"/>
          <w:color w:val="000000"/>
          <w:lang w:val="en-US"/>
        </w:rPr>
        <w:t>CYP3</w:t>
      </w:r>
      <w:r w:rsidRPr="0047771A">
        <w:rPr>
          <w:rFonts w:eastAsia="Times New Roman" w:cs="Arial"/>
          <w:color w:val="000000"/>
          <w:lang w:eastAsia="bg-BG"/>
        </w:rPr>
        <w:t>А4 дозата арипипразол трябва да бъде намалена до препоръчителната доза.</w:t>
      </w:r>
    </w:p>
    <w:p w14:paraId="18AEF97A" w14:textId="77777777" w:rsidR="0047771A" w:rsidRPr="0047771A" w:rsidRDefault="0047771A" w:rsidP="0047771A">
      <w:pPr>
        <w:spacing w:line="240" w:lineRule="auto"/>
        <w:rPr>
          <w:rFonts w:eastAsia="Times New Roman" w:cs="Arial"/>
          <w:i/>
          <w:iCs/>
          <w:color w:val="000000"/>
          <w:lang w:eastAsia="bg-BG"/>
        </w:rPr>
      </w:pPr>
    </w:p>
    <w:p w14:paraId="61F3C97E" w14:textId="171B9850"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Валпроат и литий</w:t>
      </w:r>
    </w:p>
    <w:p w14:paraId="6085CB7A"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При съвместно приложение на валпроат или литий с арипипразол не е наблюдавана клинично значима промяна в концентрациите на арипипразол и поради това не е необходимо коригиране на дозата, когато валпроат или литий се прилагат съвместно с арипипразол.</w:t>
      </w:r>
    </w:p>
    <w:p w14:paraId="63F67E83" w14:textId="77777777" w:rsidR="0047771A" w:rsidRPr="0047771A" w:rsidRDefault="0047771A" w:rsidP="0047771A">
      <w:pPr>
        <w:spacing w:line="240" w:lineRule="auto"/>
        <w:rPr>
          <w:rFonts w:eastAsia="Times New Roman" w:cs="Arial"/>
          <w:color w:val="000000"/>
          <w:u w:val="single"/>
          <w:lang w:eastAsia="bg-BG"/>
        </w:rPr>
      </w:pPr>
    </w:p>
    <w:p w14:paraId="07DBE5F5" w14:textId="0BA56A95"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u w:val="single"/>
          <w:lang w:eastAsia="bg-BG"/>
        </w:rPr>
        <w:t>Потенциал на арипипразол да въздейства върху други лекарствени продукти</w:t>
      </w:r>
    </w:p>
    <w:p w14:paraId="21C5B2C9" w14:textId="02606420" w:rsidR="0047771A" w:rsidRPr="0047771A" w:rsidRDefault="0047771A" w:rsidP="0047771A">
      <w:pPr>
        <w:rPr>
          <w:rFonts w:eastAsia="Times New Roman" w:cs="Arial"/>
          <w:color w:val="000000"/>
          <w:lang w:eastAsia="bg-BG"/>
        </w:rPr>
      </w:pPr>
      <w:r w:rsidRPr="0047771A">
        <w:rPr>
          <w:rFonts w:eastAsia="Times New Roman" w:cs="Arial"/>
          <w:color w:val="000000"/>
          <w:lang w:eastAsia="bg-BG"/>
        </w:rPr>
        <w:t xml:space="preserve">В клиничните проучвания дневни дози 10 </w:t>
      </w:r>
      <w:r w:rsidRPr="0047771A">
        <w:rPr>
          <w:rFonts w:eastAsia="Times New Roman" w:cs="Arial"/>
          <w:color w:val="000000"/>
          <w:lang w:val="en-US"/>
        </w:rPr>
        <w:t xml:space="preserve">mg </w:t>
      </w:r>
      <w:r w:rsidRPr="0047771A">
        <w:rPr>
          <w:rFonts w:eastAsia="Times New Roman" w:cs="Arial"/>
          <w:color w:val="000000"/>
          <w:lang w:eastAsia="bg-BG"/>
        </w:rPr>
        <w:t xml:space="preserve">- 30 </w:t>
      </w:r>
      <w:r w:rsidRPr="0047771A">
        <w:rPr>
          <w:rFonts w:eastAsia="Times New Roman" w:cs="Arial"/>
          <w:color w:val="000000"/>
          <w:lang w:val="en-US"/>
        </w:rPr>
        <w:t xml:space="preserve">mg </w:t>
      </w:r>
      <w:r w:rsidRPr="0047771A">
        <w:rPr>
          <w:rFonts w:eastAsia="Times New Roman" w:cs="Arial"/>
          <w:color w:val="000000"/>
          <w:lang w:eastAsia="bg-BG"/>
        </w:rPr>
        <w:t xml:space="preserve">арипипразол не са показали значим ефект върху метаболизма на субстратите на </w:t>
      </w:r>
      <w:r w:rsidRPr="0047771A">
        <w:rPr>
          <w:rFonts w:eastAsia="Times New Roman" w:cs="Arial"/>
          <w:color w:val="000000"/>
          <w:lang w:val="en-US"/>
        </w:rPr>
        <w:t xml:space="preserve">CYP2D6 </w:t>
      </w:r>
      <w:r w:rsidRPr="0047771A">
        <w:rPr>
          <w:rFonts w:eastAsia="Times New Roman" w:cs="Arial"/>
          <w:color w:val="000000"/>
          <w:lang w:eastAsia="bg-BG"/>
        </w:rPr>
        <w:t xml:space="preserve">(съотношението декстрометорфан/ 3- метоксиморфинан), </w:t>
      </w:r>
      <w:r w:rsidRPr="0047771A">
        <w:rPr>
          <w:rFonts w:eastAsia="Times New Roman" w:cs="Arial"/>
          <w:color w:val="000000"/>
          <w:lang w:val="en-US"/>
        </w:rPr>
        <w:t xml:space="preserve">CYP2C9 </w:t>
      </w:r>
      <w:r w:rsidRPr="0047771A">
        <w:rPr>
          <w:rFonts w:eastAsia="Times New Roman" w:cs="Arial"/>
          <w:color w:val="000000"/>
          <w:lang w:eastAsia="bg-BG"/>
        </w:rPr>
        <w:t xml:space="preserve">(варфарин), </w:t>
      </w:r>
      <w:r w:rsidRPr="0047771A">
        <w:rPr>
          <w:rFonts w:eastAsia="Times New Roman" w:cs="Arial"/>
          <w:color w:val="000000"/>
          <w:lang w:val="en-US"/>
        </w:rPr>
        <w:t xml:space="preserve">CYP2C19 </w:t>
      </w:r>
      <w:r w:rsidRPr="0047771A">
        <w:rPr>
          <w:rFonts w:eastAsia="Times New Roman" w:cs="Arial"/>
          <w:color w:val="000000"/>
          <w:lang w:eastAsia="bg-BG"/>
        </w:rPr>
        <w:t xml:space="preserve">(омепразол) и </w:t>
      </w:r>
      <w:r w:rsidRPr="0047771A">
        <w:rPr>
          <w:rFonts w:eastAsia="Times New Roman" w:cs="Arial"/>
          <w:color w:val="000000"/>
          <w:lang w:val="en-US"/>
        </w:rPr>
        <w:t xml:space="preserve">CYP3A4 </w:t>
      </w:r>
      <w:r w:rsidRPr="0047771A">
        <w:rPr>
          <w:rFonts w:eastAsia="Times New Roman" w:cs="Arial"/>
          <w:color w:val="000000"/>
          <w:lang w:eastAsia="bg-BG"/>
        </w:rPr>
        <w:t>(декстрометорфан). В допълнение арипипразол и дехидро-арипипразол не показват потенциал за въздействие въ</w:t>
      </w:r>
      <w:r w:rsidRPr="0047771A">
        <w:rPr>
          <w:rFonts w:eastAsia="Times New Roman" w:cs="Arial"/>
          <w:color w:val="000000"/>
          <w:u w:val="single"/>
          <w:lang w:eastAsia="bg-BG"/>
        </w:rPr>
        <w:t xml:space="preserve">рху </w:t>
      </w:r>
      <w:r w:rsidRPr="0047771A">
        <w:rPr>
          <w:rFonts w:eastAsia="Times New Roman" w:cs="Arial"/>
          <w:color w:val="000000"/>
          <w:lang w:val="en-US"/>
        </w:rPr>
        <w:t>CYP1</w:t>
      </w:r>
      <w:r w:rsidRPr="0047771A">
        <w:rPr>
          <w:rFonts w:eastAsia="Times New Roman" w:cs="Arial"/>
          <w:color w:val="000000"/>
          <w:lang w:eastAsia="bg-BG"/>
        </w:rPr>
        <w:t xml:space="preserve">А2-медиирания метаболизъм </w:t>
      </w:r>
      <w:r w:rsidRPr="0047771A">
        <w:rPr>
          <w:rFonts w:eastAsia="Times New Roman" w:cs="Arial"/>
          <w:i/>
          <w:iCs/>
          <w:color w:val="000000"/>
          <w:lang w:val="en-US"/>
        </w:rPr>
        <w:t>in vitro.</w:t>
      </w:r>
      <w:r w:rsidRPr="0047771A">
        <w:rPr>
          <w:rFonts w:eastAsia="Times New Roman" w:cs="Arial"/>
          <w:color w:val="000000"/>
          <w:lang w:val="en-US"/>
        </w:rPr>
        <w:t xml:space="preserve"> </w:t>
      </w:r>
      <w:r w:rsidRPr="0047771A">
        <w:rPr>
          <w:rFonts w:eastAsia="Times New Roman" w:cs="Arial"/>
          <w:color w:val="000000"/>
          <w:lang w:eastAsia="bg-BG"/>
        </w:rPr>
        <w:t>Поради това не се очаква арипипразол да доведе до клинично значими взаимодействия с лекарствени продукти, медиирани от тези ензими.</w:t>
      </w:r>
    </w:p>
    <w:p w14:paraId="46EDCEC1" w14:textId="2C21A59F" w:rsidR="0047771A" w:rsidRPr="0047771A" w:rsidRDefault="0047771A" w:rsidP="0047771A">
      <w:pPr>
        <w:rPr>
          <w:rFonts w:eastAsia="Times New Roman" w:cs="Arial"/>
          <w:color w:val="000000"/>
          <w:lang w:eastAsia="bg-BG"/>
        </w:rPr>
      </w:pPr>
    </w:p>
    <w:p w14:paraId="50061D7E"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lastRenderedPageBreak/>
        <w:t>Когато арипипразол се приема съвместно с валпроат, литий или ламотригин не са наблюдавани клинично значими промени в концентрациите на валпроат, литий и ламотригин.</w:t>
      </w:r>
    </w:p>
    <w:p w14:paraId="04048EEE" w14:textId="77777777" w:rsidR="0047771A" w:rsidRPr="0047771A" w:rsidRDefault="0047771A" w:rsidP="0047771A">
      <w:pPr>
        <w:spacing w:line="240" w:lineRule="auto"/>
        <w:rPr>
          <w:rFonts w:eastAsia="Times New Roman" w:cs="Arial"/>
          <w:i/>
          <w:iCs/>
          <w:color w:val="000000"/>
          <w:lang w:eastAsia="bg-BG"/>
        </w:rPr>
      </w:pPr>
    </w:p>
    <w:p w14:paraId="15A63E52" w14:textId="234AB4BD"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Серотонинов синдром</w:t>
      </w:r>
    </w:p>
    <w:p w14:paraId="21DB97A2" w14:textId="6DA50F86" w:rsidR="0047771A" w:rsidRDefault="0047771A" w:rsidP="0047771A">
      <w:pPr>
        <w:rPr>
          <w:rFonts w:eastAsia="Times New Roman" w:cs="Arial"/>
          <w:color w:val="000000"/>
          <w:lang w:eastAsia="bg-BG"/>
        </w:rPr>
      </w:pPr>
      <w:r w:rsidRPr="0047771A">
        <w:rPr>
          <w:rFonts w:eastAsia="Times New Roman" w:cs="Arial"/>
          <w:color w:val="000000"/>
          <w:lang w:eastAsia="bg-BG"/>
        </w:rPr>
        <w:t>Съобщавани са случаи на серотонинов синдром при пациенти, които приемат арипипразол, като е възможна поява на признаци или симптоми на това състояние особено при съвместно приложение на други серотонинергични лекарствени продукти като селективни инхибитори на обратното захващате на серотонина/ норадреналина (СИОЗС/ СИОЗСН) или други лекарствени продукти, за които е известно ,че повишават концентрациите на арипипразол (вижте точка 4.8).</w:t>
      </w:r>
    </w:p>
    <w:p w14:paraId="7051882E" w14:textId="77777777" w:rsidR="0047771A" w:rsidRPr="0047771A" w:rsidRDefault="0047771A" w:rsidP="0047771A">
      <w:pPr>
        <w:rPr>
          <w:rFonts w:cs="Arial"/>
          <w:sz w:val="24"/>
          <w:szCs w:val="24"/>
        </w:rPr>
      </w:pPr>
    </w:p>
    <w:p w14:paraId="15A75A66" w14:textId="02E23A56" w:rsidR="00A71DCF" w:rsidRDefault="002C50EE" w:rsidP="00A93499">
      <w:pPr>
        <w:pStyle w:val="Heading2"/>
      </w:pPr>
      <w:r>
        <w:t>4.6. Фертилитет, бременност и кърмене</w:t>
      </w:r>
    </w:p>
    <w:p w14:paraId="3BE49ED4" w14:textId="4CADFD97" w:rsidR="0047771A" w:rsidRDefault="0047771A" w:rsidP="0047771A"/>
    <w:p w14:paraId="616BCB6B" w14:textId="77777777" w:rsidR="0047771A" w:rsidRPr="0047771A" w:rsidRDefault="0047771A" w:rsidP="0047771A">
      <w:pPr>
        <w:pStyle w:val="Heading3"/>
        <w:rPr>
          <w:rFonts w:eastAsia="Times New Roman"/>
          <w:sz w:val="28"/>
          <w:szCs w:val="28"/>
          <w:u w:val="single"/>
          <w:lang w:eastAsia="bg-BG"/>
        </w:rPr>
      </w:pPr>
      <w:r w:rsidRPr="0047771A">
        <w:rPr>
          <w:rFonts w:eastAsia="Times New Roman"/>
          <w:u w:val="single"/>
          <w:lang w:eastAsia="bg-BG"/>
        </w:rPr>
        <w:t>Бременност</w:t>
      </w:r>
    </w:p>
    <w:p w14:paraId="7F67A933"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Не са провеждани адекватни и добре контролирани проучвания на арипипразол при бременни жени. Съобщавани са конгенитални аномалии; въпреки това не може да се установи причинна връзка с арипипразол.</w:t>
      </w:r>
    </w:p>
    <w:p w14:paraId="46D307DB" w14:textId="43EAAED8"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Проучванията при животни не могат да изключат появата на потенциална токсичност (вижте точка 5.3). Пациентите трябва да бъдат посъветвани да уведомят лекуващия лекар, ако забременеят или планират бременност по време на лечението с арипипразол. Поради липсата на достатъчно информация на безопасността при хора и поради опасения, възникнали при репродуктивните проучвания при животни, този лекарствен продукт не трябва да се прилага по време на бременност, освен ако очакваните ползи ясно оправдават потенциалния риск за плода.</w:t>
      </w:r>
    </w:p>
    <w:p w14:paraId="28E13FFD"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При новородените, изложени на антипсихотици (включително арипипразол) през третия триместър на бременността, съществува риск от нежелани лекарствени реакции включително екстрапирамидни симптоми и/ или симптоми на отнемане, които могат да варират по тежест и продължителност след раждането. Съобщавани са случаи на възбуда, хипертония, хипотония, тремор, сънливост, респираторен дистрес или нарушения в храненето. Поради това новородените трябва да бъдат внимателно проследявани (вижте точка 4.8).</w:t>
      </w:r>
    </w:p>
    <w:p w14:paraId="3C5D64A6" w14:textId="77777777" w:rsidR="0047771A" w:rsidRPr="0047771A" w:rsidRDefault="0047771A" w:rsidP="0047771A">
      <w:pPr>
        <w:spacing w:line="240" w:lineRule="auto"/>
        <w:rPr>
          <w:rFonts w:eastAsia="Times New Roman" w:cs="Arial"/>
          <w:color w:val="000000"/>
          <w:u w:val="single"/>
          <w:lang w:eastAsia="bg-BG"/>
        </w:rPr>
      </w:pPr>
    </w:p>
    <w:p w14:paraId="6460A82C" w14:textId="17A8A8B8" w:rsidR="0047771A" w:rsidRPr="0047771A" w:rsidRDefault="0047771A" w:rsidP="0047771A">
      <w:pPr>
        <w:pStyle w:val="Heading3"/>
        <w:rPr>
          <w:rFonts w:eastAsia="Times New Roman"/>
          <w:sz w:val="28"/>
          <w:szCs w:val="28"/>
          <w:u w:val="single"/>
          <w:lang w:eastAsia="bg-BG"/>
        </w:rPr>
      </w:pPr>
      <w:r w:rsidRPr="0047771A">
        <w:rPr>
          <w:rFonts w:eastAsia="Times New Roman"/>
          <w:u w:val="single"/>
          <w:lang w:eastAsia="bg-BG"/>
        </w:rPr>
        <w:t>Кърмене</w:t>
      </w:r>
    </w:p>
    <w:p w14:paraId="6B2082F6"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Арипипразол/ метаболитите на арипипразол се отделят в кърмата. Трябва да се вземе решение дали да се преустанови кърменето или да се прекрати/преустанови терапия с арипипразол, като се вземат предвид ползата от кърменето за детето и ползата от лечението за жената.</w:t>
      </w:r>
    </w:p>
    <w:p w14:paraId="050ED8AE" w14:textId="77777777" w:rsidR="0047771A" w:rsidRPr="0047771A" w:rsidRDefault="0047771A" w:rsidP="0047771A">
      <w:pPr>
        <w:spacing w:line="240" w:lineRule="auto"/>
        <w:rPr>
          <w:rFonts w:eastAsia="Times New Roman" w:cs="Arial"/>
          <w:color w:val="000000"/>
          <w:u w:val="single"/>
          <w:lang w:eastAsia="bg-BG"/>
        </w:rPr>
      </w:pPr>
    </w:p>
    <w:p w14:paraId="594D158C" w14:textId="65EB0AEB" w:rsidR="0047771A" w:rsidRPr="0047771A" w:rsidRDefault="0047771A" w:rsidP="0047771A">
      <w:pPr>
        <w:pStyle w:val="Heading3"/>
        <w:rPr>
          <w:rFonts w:eastAsia="Times New Roman"/>
          <w:sz w:val="28"/>
          <w:szCs w:val="28"/>
          <w:u w:val="single"/>
          <w:lang w:eastAsia="bg-BG"/>
        </w:rPr>
      </w:pPr>
      <w:r w:rsidRPr="0047771A">
        <w:rPr>
          <w:rFonts w:eastAsia="Times New Roman"/>
          <w:u w:val="single"/>
          <w:lang w:eastAsia="bg-BG"/>
        </w:rPr>
        <w:t>Фертилитет</w:t>
      </w:r>
    </w:p>
    <w:p w14:paraId="7D407133"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Арипипразол не уврежда фертилитета въз основа на данни от проучвания за репродуктивна токсичност.</w:t>
      </w:r>
    </w:p>
    <w:p w14:paraId="49E65AC7" w14:textId="77777777" w:rsidR="0047771A" w:rsidRPr="0047771A" w:rsidRDefault="0047771A" w:rsidP="0047771A"/>
    <w:p w14:paraId="6201597D" w14:textId="58DF5762" w:rsidR="00EE6C97" w:rsidRDefault="002C50EE" w:rsidP="00A93499">
      <w:pPr>
        <w:pStyle w:val="Heading2"/>
      </w:pPr>
      <w:r>
        <w:t>4.7. Ефекти върху способността за шофиране и работа с машини</w:t>
      </w:r>
    </w:p>
    <w:p w14:paraId="0B2822CC" w14:textId="1DCB9792" w:rsidR="0047771A" w:rsidRDefault="0047771A" w:rsidP="0047771A"/>
    <w:p w14:paraId="09800CF8" w14:textId="77777777" w:rsidR="0047771A" w:rsidRPr="0047771A" w:rsidRDefault="0047771A" w:rsidP="0047771A">
      <w:pPr>
        <w:rPr>
          <w:sz w:val="24"/>
          <w:szCs w:val="24"/>
          <w:lang w:eastAsia="bg-BG"/>
        </w:rPr>
      </w:pPr>
      <w:r w:rsidRPr="0047771A">
        <w:rPr>
          <w:lang w:eastAsia="bg-BG"/>
        </w:rPr>
        <w:t>Арипипразол повлиява в малка до умерена степен способността за шофиране и работа с машини в резултат на потенциалните ефекти върху нервната система и зрението като седация, сомнолентност, синкоп, замъглено зрение, диплопия (вижте точка 4.8).</w:t>
      </w:r>
    </w:p>
    <w:p w14:paraId="26827D01" w14:textId="77777777" w:rsidR="0047771A" w:rsidRPr="0047771A" w:rsidRDefault="0047771A" w:rsidP="0047771A"/>
    <w:p w14:paraId="389A90F4" w14:textId="61084152" w:rsidR="00BA5B74" w:rsidRDefault="002C50EE" w:rsidP="00A93499">
      <w:pPr>
        <w:pStyle w:val="Heading2"/>
      </w:pPr>
      <w:r>
        <w:t>4.8. Нежелани лекарствени реакции</w:t>
      </w:r>
    </w:p>
    <w:p w14:paraId="14BEC653" w14:textId="75CB2854" w:rsidR="0047771A" w:rsidRDefault="0047771A" w:rsidP="0047771A"/>
    <w:p w14:paraId="30CD70D5"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u w:val="single"/>
          <w:lang w:eastAsia="bg-BG"/>
        </w:rPr>
        <w:t>Резюме на профила на безопасност</w:t>
      </w:r>
    </w:p>
    <w:p w14:paraId="546E6243"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Най-често съобщаваните нежелани лекарствени реакции в плацебо контролираните изпитвания са акатизия и гадене, всяка появяваща се при повече от 3% от пациентите, лекувани с арипипразол перорално.</w:t>
      </w:r>
    </w:p>
    <w:p w14:paraId="24E3747E" w14:textId="77777777" w:rsidR="0047771A" w:rsidRPr="0047771A" w:rsidRDefault="0047771A" w:rsidP="0047771A">
      <w:pPr>
        <w:rPr>
          <w:rFonts w:eastAsia="Times New Roman" w:cs="Arial"/>
          <w:color w:val="000000"/>
          <w:u w:val="single"/>
          <w:lang w:eastAsia="bg-BG"/>
        </w:rPr>
      </w:pPr>
    </w:p>
    <w:p w14:paraId="0DD717FA" w14:textId="44F8C397" w:rsidR="0047771A" w:rsidRPr="0047771A" w:rsidRDefault="0047771A" w:rsidP="0047771A">
      <w:pPr>
        <w:rPr>
          <w:rFonts w:eastAsia="Times New Roman" w:cs="Arial"/>
          <w:color w:val="000000"/>
          <w:u w:val="single"/>
          <w:lang w:eastAsia="bg-BG"/>
        </w:rPr>
      </w:pPr>
      <w:r w:rsidRPr="0047771A">
        <w:rPr>
          <w:rFonts w:eastAsia="Times New Roman" w:cs="Arial"/>
          <w:color w:val="000000"/>
          <w:u w:val="single"/>
          <w:lang w:eastAsia="bg-BG"/>
        </w:rPr>
        <w:t>Табличен списък на нежеланите реакции</w:t>
      </w:r>
    </w:p>
    <w:p w14:paraId="54E740CD"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Честотата на нежелани лекарствени реакции (НЛР), свързани с арипнпразол са изброени в таблица по-долу. Таблицата се основава на нежелани събития, докладвани по време на клинични проучвания и/или постмаркетингова употреба.</w:t>
      </w:r>
    </w:p>
    <w:p w14:paraId="46ADE87E" w14:textId="0D651C4A" w:rsidR="0047771A" w:rsidRPr="0047771A" w:rsidRDefault="0047771A" w:rsidP="0047771A">
      <w:pPr>
        <w:spacing w:line="240" w:lineRule="auto"/>
        <w:rPr>
          <w:rFonts w:eastAsia="Times New Roman" w:cs="Arial"/>
          <w:color w:val="000000"/>
          <w:lang w:eastAsia="bg-BG"/>
        </w:rPr>
      </w:pPr>
      <w:r w:rsidRPr="0047771A">
        <w:rPr>
          <w:rFonts w:eastAsia="Times New Roman" w:cs="Arial"/>
          <w:color w:val="000000"/>
          <w:lang w:eastAsia="bg-BG"/>
        </w:rPr>
        <w:t>Всички НЛР са изброени по системо-органен клас и честота; много чести (≥1/10), чести (≥1/100 до &lt;1/10), нечести (≥1/1 000 до &lt;1/100), редки (≥1/10 000 до &lt;1/1 000), много редки (&lt;1/10 000) и с неизвестна честота (от наличните данни не може да бъде направена оценка). При всяко групиране по честота нежеланите реакции са представени в низходящ ред по отношение на тяхната сериозност. Честотата на нежеланите реакции, съобщени по време на постмаркетинговата употреба, не може да бъде определена, тъй като те са получени от спонтанни съобщения. Следователно честотата на тези нежелани събития се определя като „с неизвестна честота (от наличните данни не може да бъде направена оценка)</w:t>
      </w:r>
      <w:r w:rsidRPr="0047771A">
        <w:rPr>
          <w:rFonts w:eastAsia="Times New Roman" w:cs="Arial"/>
          <w:color w:val="000000"/>
          <w:lang w:eastAsia="bg-BG"/>
        </w:rPr>
        <w:t>“.</w:t>
      </w:r>
    </w:p>
    <w:p w14:paraId="7AFAE87E" w14:textId="06B63106" w:rsidR="0047771A" w:rsidRDefault="0047771A" w:rsidP="0047771A">
      <w:pPr>
        <w:spacing w:line="240" w:lineRule="auto"/>
        <w:rPr>
          <w:rFonts w:ascii="Times New Roman" w:eastAsia="Times New Roman" w:hAnsi="Times New Roman" w:cs="Times New Roman"/>
          <w:color w:val="000000"/>
          <w:sz w:val="20"/>
          <w:szCs w:val="20"/>
          <w:lang w:eastAsia="bg-BG"/>
        </w:rPr>
      </w:pPr>
    </w:p>
    <w:tbl>
      <w:tblPr>
        <w:tblStyle w:val="TableGrid"/>
        <w:tblW w:w="0" w:type="auto"/>
        <w:tblLook w:val="04A0" w:firstRow="1" w:lastRow="0" w:firstColumn="1" w:lastColumn="0" w:noHBand="0" w:noVBand="1"/>
      </w:tblPr>
      <w:tblGrid>
        <w:gridCol w:w="2292"/>
        <w:gridCol w:w="2272"/>
        <w:gridCol w:w="2422"/>
        <w:gridCol w:w="2364"/>
      </w:tblGrid>
      <w:tr w:rsidR="00241321" w14:paraId="692A46C8" w14:textId="77777777" w:rsidTr="00241321">
        <w:tc>
          <w:tcPr>
            <w:tcW w:w="2375" w:type="dxa"/>
          </w:tcPr>
          <w:p w14:paraId="0DCB9792"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375" w:type="dxa"/>
            <w:vAlign w:val="bottom"/>
          </w:tcPr>
          <w:p w14:paraId="56827A74" w14:textId="02394078" w:rsidR="00241321" w:rsidRPr="00241321" w:rsidRDefault="00241321" w:rsidP="00241321">
            <w:pPr>
              <w:spacing w:line="240" w:lineRule="auto"/>
              <w:rPr>
                <w:rFonts w:ascii="Times New Roman" w:eastAsia="Times New Roman" w:hAnsi="Times New Roman" w:cs="Times New Roman"/>
                <w:lang w:eastAsia="bg-BG"/>
              </w:rPr>
            </w:pPr>
            <w:r w:rsidRPr="00241321">
              <w:rPr>
                <w:b/>
                <w:bCs/>
              </w:rPr>
              <w:t>Чести</w:t>
            </w:r>
          </w:p>
        </w:tc>
        <w:tc>
          <w:tcPr>
            <w:tcW w:w="2422" w:type="dxa"/>
            <w:vAlign w:val="bottom"/>
          </w:tcPr>
          <w:p w14:paraId="66A099BE" w14:textId="696AE660" w:rsidR="00241321" w:rsidRPr="00241321" w:rsidRDefault="00241321" w:rsidP="00241321">
            <w:pPr>
              <w:spacing w:line="240" w:lineRule="auto"/>
              <w:rPr>
                <w:rFonts w:ascii="Times New Roman" w:eastAsia="Times New Roman" w:hAnsi="Times New Roman" w:cs="Times New Roman"/>
                <w:lang w:eastAsia="bg-BG"/>
              </w:rPr>
            </w:pPr>
            <w:r w:rsidRPr="00241321">
              <w:rPr>
                <w:b/>
                <w:bCs/>
              </w:rPr>
              <w:t>Нечести</w:t>
            </w:r>
          </w:p>
        </w:tc>
        <w:tc>
          <w:tcPr>
            <w:tcW w:w="2375" w:type="dxa"/>
            <w:vAlign w:val="bottom"/>
          </w:tcPr>
          <w:p w14:paraId="3A36F38D" w14:textId="4514E637" w:rsidR="00241321" w:rsidRPr="00241321" w:rsidRDefault="00241321" w:rsidP="00241321">
            <w:pPr>
              <w:spacing w:line="240" w:lineRule="auto"/>
              <w:rPr>
                <w:rFonts w:ascii="Times New Roman" w:eastAsia="Times New Roman" w:hAnsi="Times New Roman" w:cs="Times New Roman"/>
                <w:lang w:eastAsia="bg-BG"/>
              </w:rPr>
            </w:pPr>
            <w:r w:rsidRPr="00241321">
              <w:rPr>
                <w:b/>
                <w:bCs/>
              </w:rPr>
              <w:t>С неизвестна честота</w:t>
            </w:r>
          </w:p>
        </w:tc>
      </w:tr>
      <w:tr w:rsidR="00241321" w14:paraId="0A0954ED" w14:textId="77777777" w:rsidTr="00241321">
        <w:tc>
          <w:tcPr>
            <w:tcW w:w="2375" w:type="dxa"/>
            <w:vAlign w:val="bottom"/>
          </w:tcPr>
          <w:p w14:paraId="15EA4957" w14:textId="4DD0A7B1" w:rsidR="00241321" w:rsidRPr="00241321" w:rsidRDefault="00241321" w:rsidP="00241321">
            <w:pPr>
              <w:spacing w:line="240" w:lineRule="auto"/>
              <w:rPr>
                <w:rFonts w:ascii="Times New Roman" w:eastAsia="Times New Roman" w:hAnsi="Times New Roman" w:cs="Times New Roman"/>
                <w:lang w:eastAsia="bg-BG"/>
              </w:rPr>
            </w:pPr>
            <w:r w:rsidRPr="00241321">
              <w:rPr>
                <w:b/>
                <w:bCs/>
              </w:rPr>
              <w:t>Нарушения на кръвта и лимфната система</w:t>
            </w:r>
          </w:p>
        </w:tc>
        <w:tc>
          <w:tcPr>
            <w:tcW w:w="2375" w:type="dxa"/>
          </w:tcPr>
          <w:p w14:paraId="580C4A8C"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422" w:type="dxa"/>
          </w:tcPr>
          <w:p w14:paraId="6A94C2AF"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375" w:type="dxa"/>
            <w:vAlign w:val="bottom"/>
          </w:tcPr>
          <w:p w14:paraId="67FDAE01" w14:textId="58BE17BA" w:rsidR="00241321" w:rsidRPr="00241321" w:rsidRDefault="00241321" w:rsidP="00241321">
            <w:pPr>
              <w:spacing w:line="240" w:lineRule="auto"/>
              <w:rPr>
                <w:rFonts w:ascii="Times New Roman" w:eastAsia="Times New Roman" w:hAnsi="Times New Roman" w:cs="Times New Roman"/>
                <w:lang w:eastAsia="bg-BG"/>
              </w:rPr>
            </w:pPr>
            <w:r w:rsidRPr="00241321">
              <w:t>Левкопения Неутропения Тромбоцитопения</w:t>
            </w:r>
          </w:p>
        </w:tc>
      </w:tr>
      <w:tr w:rsidR="00241321" w14:paraId="6AD07AC9" w14:textId="77777777" w:rsidTr="00241321">
        <w:tc>
          <w:tcPr>
            <w:tcW w:w="2375" w:type="dxa"/>
          </w:tcPr>
          <w:p w14:paraId="230BC58A" w14:textId="0FA12007" w:rsidR="00241321" w:rsidRPr="00241321" w:rsidRDefault="00241321" w:rsidP="00241321">
            <w:pPr>
              <w:spacing w:line="240" w:lineRule="auto"/>
              <w:rPr>
                <w:rFonts w:ascii="Times New Roman" w:eastAsia="Times New Roman" w:hAnsi="Times New Roman" w:cs="Times New Roman"/>
                <w:lang w:eastAsia="bg-BG"/>
              </w:rPr>
            </w:pPr>
            <w:r w:rsidRPr="00241321">
              <w:rPr>
                <w:b/>
                <w:bCs/>
              </w:rPr>
              <w:t>Нарушения на имунната система</w:t>
            </w:r>
          </w:p>
        </w:tc>
        <w:tc>
          <w:tcPr>
            <w:tcW w:w="2375" w:type="dxa"/>
          </w:tcPr>
          <w:p w14:paraId="15A616E0"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422" w:type="dxa"/>
          </w:tcPr>
          <w:p w14:paraId="1FC85DC1"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375" w:type="dxa"/>
            <w:vAlign w:val="bottom"/>
          </w:tcPr>
          <w:p w14:paraId="64C16870" w14:textId="33565DC6" w:rsidR="00241321" w:rsidRPr="00241321" w:rsidRDefault="00241321" w:rsidP="00241321">
            <w:pPr>
              <w:spacing w:line="240" w:lineRule="auto"/>
              <w:rPr>
                <w:rFonts w:ascii="Times New Roman" w:eastAsia="Times New Roman" w:hAnsi="Times New Roman" w:cs="Times New Roman"/>
                <w:lang w:eastAsia="bg-BG"/>
              </w:rPr>
            </w:pPr>
            <w:r w:rsidRPr="00241321">
              <w:t>Алергична реакция (например анафилактична реакция, ангиоедем, включително подуване на езика, едем на езика, едем на лицето, алергичен пруритус или уртикария)</w:t>
            </w:r>
          </w:p>
        </w:tc>
      </w:tr>
      <w:tr w:rsidR="00241321" w14:paraId="5F46BEE2" w14:textId="77777777" w:rsidTr="00241321">
        <w:tc>
          <w:tcPr>
            <w:tcW w:w="2375" w:type="dxa"/>
          </w:tcPr>
          <w:p w14:paraId="5B0352A6" w14:textId="1358355F" w:rsidR="00241321" w:rsidRPr="00241321" w:rsidRDefault="00241321" w:rsidP="00241321">
            <w:pPr>
              <w:spacing w:line="240" w:lineRule="auto"/>
              <w:rPr>
                <w:rFonts w:ascii="Times New Roman" w:eastAsia="Times New Roman" w:hAnsi="Times New Roman" w:cs="Times New Roman"/>
                <w:lang w:eastAsia="bg-BG"/>
              </w:rPr>
            </w:pPr>
            <w:r w:rsidRPr="00241321">
              <w:rPr>
                <w:b/>
                <w:bCs/>
              </w:rPr>
              <w:t>Нарушения на ендокринната система</w:t>
            </w:r>
          </w:p>
        </w:tc>
        <w:tc>
          <w:tcPr>
            <w:tcW w:w="2375" w:type="dxa"/>
          </w:tcPr>
          <w:p w14:paraId="29869E38"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422" w:type="dxa"/>
            <w:vAlign w:val="bottom"/>
          </w:tcPr>
          <w:p w14:paraId="2C70A41C" w14:textId="3A043915" w:rsidR="00241321" w:rsidRPr="00241321" w:rsidRDefault="00241321" w:rsidP="00241321">
            <w:pPr>
              <w:spacing w:line="240" w:lineRule="auto"/>
              <w:rPr>
                <w:rFonts w:ascii="Times New Roman" w:eastAsia="Times New Roman" w:hAnsi="Times New Roman" w:cs="Times New Roman"/>
                <w:lang w:eastAsia="bg-BG"/>
              </w:rPr>
            </w:pPr>
            <w:r w:rsidRPr="00241321">
              <w:t>Хиперпролактинемия Понижен пролактин в кръвта -</w:t>
            </w:r>
          </w:p>
        </w:tc>
        <w:tc>
          <w:tcPr>
            <w:tcW w:w="2375" w:type="dxa"/>
          </w:tcPr>
          <w:p w14:paraId="785490DF" w14:textId="4F0E9D9D" w:rsidR="00241321" w:rsidRPr="00241321" w:rsidRDefault="00241321" w:rsidP="00241321">
            <w:pPr>
              <w:spacing w:line="240" w:lineRule="auto"/>
              <w:rPr>
                <w:rFonts w:ascii="Times New Roman" w:eastAsia="Times New Roman" w:hAnsi="Times New Roman" w:cs="Times New Roman"/>
                <w:lang w:eastAsia="bg-BG"/>
              </w:rPr>
            </w:pPr>
            <w:r w:rsidRPr="00241321">
              <w:t>Диабетна хиперосмоларна кома Диабетна кетоацидоза</w:t>
            </w:r>
          </w:p>
        </w:tc>
      </w:tr>
      <w:tr w:rsidR="00241321" w14:paraId="15487957" w14:textId="77777777" w:rsidTr="00241321">
        <w:tc>
          <w:tcPr>
            <w:tcW w:w="2375" w:type="dxa"/>
            <w:vAlign w:val="bottom"/>
          </w:tcPr>
          <w:p w14:paraId="3815D851" w14:textId="7EC178B5" w:rsidR="00241321" w:rsidRPr="00241321" w:rsidRDefault="00241321" w:rsidP="00241321">
            <w:pPr>
              <w:spacing w:line="240" w:lineRule="auto"/>
              <w:rPr>
                <w:rFonts w:ascii="Times New Roman" w:eastAsia="Times New Roman" w:hAnsi="Times New Roman" w:cs="Times New Roman"/>
                <w:lang w:eastAsia="bg-BG"/>
              </w:rPr>
            </w:pPr>
            <w:r w:rsidRPr="00241321">
              <w:rPr>
                <w:b/>
                <w:bCs/>
              </w:rPr>
              <w:t>Нарушения на метаболизма и храненето</w:t>
            </w:r>
          </w:p>
        </w:tc>
        <w:tc>
          <w:tcPr>
            <w:tcW w:w="2375" w:type="dxa"/>
          </w:tcPr>
          <w:p w14:paraId="39186AB3" w14:textId="5F40AE70" w:rsidR="00241321" w:rsidRPr="00241321" w:rsidRDefault="00241321" w:rsidP="00241321">
            <w:pPr>
              <w:spacing w:line="240" w:lineRule="auto"/>
              <w:rPr>
                <w:rFonts w:ascii="Times New Roman" w:eastAsia="Times New Roman" w:hAnsi="Times New Roman" w:cs="Times New Roman"/>
                <w:lang w:eastAsia="bg-BG"/>
              </w:rPr>
            </w:pPr>
            <w:r w:rsidRPr="00241321">
              <w:t>Захарен диабет</w:t>
            </w:r>
          </w:p>
        </w:tc>
        <w:tc>
          <w:tcPr>
            <w:tcW w:w="2422" w:type="dxa"/>
          </w:tcPr>
          <w:p w14:paraId="78C2359B" w14:textId="4F70F419" w:rsidR="00241321" w:rsidRPr="00241321" w:rsidRDefault="00241321" w:rsidP="00241321">
            <w:pPr>
              <w:spacing w:line="240" w:lineRule="auto"/>
              <w:rPr>
                <w:rFonts w:ascii="Times New Roman" w:eastAsia="Times New Roman" w:hAnsi="Times New Roman" w:cs="Times New Roman"/>
                <w:lang w:eastAsia="bg-BG"/>
              </w:rPr>
            </w:pPr>
            <w:r w:rsidRPr="00241321">
              <w:t>Хипергликемия</w:t>
            </w:r>
          </w:p>
        </w:tc>
        <w:tc>
          <w:tcPr>
            <w:tcW w:w="2375" w:type="dxa"/>
          </w:tcPr>
          <w:p w14:paraId="4D8F80AE" w14:textId="3B515520" w:rsidR="00241321" w:rsidRPr="00241321" w:rsidRDefault="00241321" w:rsidP="00241321">
            <w:pPr>
              <w:spacing w:line="240" w:lineRule="auto"/>
              <w:rPr>
                <w:rFonts w:ascii="Times New Roman" w:eastAsia="Times New Roman" w:hAnsi="Times New Roman" w:cs="Times New Roman"/>
                <w:lang w:eastAsia="bg-BG"/>
              </w:rPr>
            </w:pPr>
            <w:r w:rsidRPr="00241321">
              <w:t>Хипонатриемия Анорексия</w:t>
            </w:r>
          </w:p>
        </w:tc>
      </w:tr>
      <w:tr w:rsidR="00241321" w14:paraId="0ED752C6" w14:textId="77777777" w:rsidTr="00241321">
        <w:tc>
          <w:tcPr>
            <w:tcW w:w="2375" w:type="dxa"/>
            <w:vAlign w:val="bottom"/>
          </w:tcPr>
          <w:p w14:paraId="1863C830" w14:textId="3A3B71A2" w:rsidR="00241321" w:rsidRPr="00241321" w:rsidRDefault="00241321" w:rsidP="00241321">
            <w:pPr>
              <w:spacing w:line="240" w:lineRule="auto"/>
              <w:rPr>
                <w:rFonts w:ascii="Times New Roman" w:eastAsia="Times New Roman" w:hAnsi="Times New Roman" w:cs="Times New Roman"/>
                <w:lang w:eastAsia="bg-BG"/>
              </w:rPr>
            </w:pPr>
            <w:r w:rsidRPr="00241321">
              <w:rPr>
                <w:b/>
                <w:bCs/>
              </w:rPr>
              <w:t>Психични нарушения</w:t>
            </w:r>
          </w:p>
        </w:tc>
        <w:tc>
          <w:tcPr>
            <w:tcW w:w="2375" w:type="dxa"/>
          </w:tcPr>
          <w:p w14:paraId="47039B26" w14:textId="158338DC" w:rsidR="00241321" w:rsidRPr="00241321" w:rsidRDefault="00241321" w:rsidP="00241321">
            <w:pPr>
              <w:spacing w:line="240" w:lineRule="auto"/>
              <w:rPr>
                <w:rFonts w:ascii="Times New Roman" w:eastAsia="Times New Roman" w:hAnsi="Times New Roman" w:cs="Times New Roman"/>
                <w:lang w:eastAsia="bg-BG"/>
              </w:rPr>
            </w:pPr>
            <w:r w:rsidRPr="00241321">
              <w:t>Безсъние Тревожност Безпокойство</w:t>
            </w:r>
          </w:p>
        </w:tc>
        <w:tc>
          <w:tcPr>
            <w:tcW w:w="2422" w:type="dxa"/>
          </w:tcPr>
          <w:p w14:paraId="6628FDB3" w14:textId="77777777" w:rsidR="00241321" w:rsidRPr="00241321" w:rsidRDefault="00241321" w:rsidP="00241321">
            <w:r w:rsidRPr="00241321">
              <w:t>Депресия</w:t>
            </w:r>
          </w:p>
          <w:p w14:paraId="7063E61B" w14:textId="4D99BB8E" w:rsidR="00241321" w:rsidRPr="00241321" w:rsidRDefault="00241321" w:rsidP="00241321">
            <w:pPr>
              <w:spacing w:line="240" w:lineRule="auto"/>
              <w:rPr>
                <w:rFonts w:ascii="Times New Roman" w:eastAsia="Times New Roman" w:hAnsi="Times New Roman" w:cs="Times New Roman"/>
                <w:lang w:eastAsia="bg-BG"/>
              </w:rPr>
            </w:pPr>
            <w:r w:rsidRPr="00241321">
              <w:t>Хиперсексуалност</w:t>
            </w:r>
          </w:p>
        </w:tc>
        <w:tc>
          <w:tcPr>
            <w:tcW w:w="2375" w:type="dxa"/>
            <w:vAlign w:val="bottom"/>
          </w:tcPr>
          <w:p w14:paraId="5D34D92C" w14:textId="77777777" w:rsidR="00241321" w:rsidRDefault="00241321" w:rsidP="00241321">
            <w:r w:rsidRPr="00241321">
              <w:t xml:space="preserve">Суициден опит, суицидна идеация и извършено самоубийство (вижте точка 4.4) </w:t>
            </w:r>
            <w:r w:rsidRPr="00241321">
              <w:lastRenderedPageBreak/>
              <w:t xml:space="preserve">Патологично влечение към хазарт Разстройства в контрола на импулсите Преяждане Компулсивно пазаруване Пориомания Агресия </w:t>
            </w:r>
          </w:p>
          <w:p w14:paraId="1DBD1646" w14:textId="1D54E729" w:rsidR="00241321" w:rsidRPr="00241321" w:rsidRDefault="00241321" w:rsidP="00241321">
            <w:r w:rsidRPr="00241321">
              <w:t>Възбуда</w:t>
            </w:r>
          </w:p>
          <w:p w14:paraId="437F89D4" w14:textId="7A0C2D2E" w:rsidR="00241321" w:rsidRPr="00241321" w:rsidRDefault="00241321" w:rsidP="00241321">
            <w:pPr>
              <w:spacing w:line="240" w:lineRule="auto"/>
              <w:rPr>
                <w:rFonts w:ascii="Times New Roman" w:eastAsia="Times New Roman" w:hAnsi="Times New Roman" w:cs="Times New Roman"/>
                <w:lang w:eastAsia="bg-BG"/>
              </w:rPr>
            </w:pPr>
            <w:r w:rsidRPr="00241321">
              <w:t>Нервност</w:t>
            </w:r>
          </w:p>
        </w:tc>
      </w:tr>
      <w:tr w:rsidR="00241321" w14:paraId="35250DF9" w14:textId="77777777" w:rsidTr="00241321">
        <w:tc>
          <w:tcPr>
            <w:tcW w:w="2375" w:type="dxa"/>
          </w:tcPr>
          <w:p w14:paraId="758F37B7" w14:textId="51AE5AB3" w:rsidR="00241321" w:rsidRPr="00241321" w:rsidRDefault="00241321" w:rsidP="00241321">
            <w:pPr>
              <w:spacing w:line="240" w:lineRule="auto"/>
              <w:rPr>
                <w:rFonts w:ascii="Times New Roman" w:eastAsia="Times New Roman" w:hAnsi="Times New Roman" w:cs="Times New Roman"/>
                <w:lang w:eastAsia="bg-BG"/>
              </w:rPr>
            </w:pPr>
            <w:r w:rsidRPr="00241321">
              <w:rPr>
                <w:b/>
                <w:bCs/>
              </w:rPr>
              <w:lastRenderedPageBreak/>
              <w:t>Нарушения на нервната система</w:t>
            </w:r>
          </w:p>
        </w:tc>
        <w:tc>
          <w:tcPr>
            <w:tcW w:w="2375" w:type="dxa"/>
          </w:tcPr>
          <w:p w14:paraId="125953C1" w14:textId="28DA75F2" w:rsidR="00241321" w:rsidRPr="00241321" w:rsidRDefault="00241321" w:rsidP="00241321">
            <w:pPr>
              <w:spacing w:line="240" w:lineRule="auto"/>
              <w:rPr>
                <w:rFonts w:ascii="Times New Roman" w:eastAsia="Times New Roman" w:hAnsi="Times New Roman" w:cs="Times New Roman"/>
                <w:lang w:eastAsia="bg-BG"/>
              </w:rPr>
            </w:pPr>
            <w:r w:rsidRPr="00241321">
              <w:t>Акатизия Екстрапирамидни нарушения Тремор Главоболие Седация Сомнолентност Замаяност</w:t>
            </w:r>
          </w:p>
        </w:tc>
        <w:tc>
          <w:tcPr>
            <w:tcW w:w="2422" w:type="dxa"/>
          </w:tcPr>
          <w:p w14:paraId="5FEB947C" w14:textId="77777777" w:rsidR="00241321" w:rsidRPr="00241321" w:rsidRDefault="00241321" w:rsidP="00241321">
            <w:r w:rsidRPr="00241321">
              <w:t>Тардивна дискинезия</w:t>
            </w:r>
          </w:p>
          <w:p w14:paraId="6BAC5580" w14:textId="77777777" w:rsidR="00241321" w:rsidRPr="00241321" w:rsidRDefault="00241321" w:rsidP="00241321">
            <w:r w:rsidRPr="00241321">
              <w:t>Дистония</w:t>
            </w:r>
          </w:p>
          <w:p w14:paraId="07EED8BA" w14:textId="4D590463" w:rsidR="00241321" w:rsidRPr="00241321" w:rsidRDefault="00241321" w:rsidP="00241321">
            <w:pPr>
              <w:spacing w:line="240" w:lineRule="auto"/>
              <w:rPr>
                <w:rFonts w:ascii="Times New Roman" w:eastAsia="Times New Roman" w:hAnsi="Times New Roman" w:cs="Times New Roman"/>
                <w:lang w:eastAsia="bg-BG"/>
              </w:rPr>
            </w:pPr>
            <w:r w:rsidRPr="00241321">
              <w:t>Синдром на неспокойните крака</w:t>
            </w:r>
          </w:p>
        </w:tc>
        <w:tc>
          <w:tcPr>
            <w:tcW w:w="2375" w:type="dxa"/>
            <w:vAlign w:val="bottom"/>
          </w:tcPr>
          <w:p w14:paraId="6B0A3197" w14:textId="77777777" w:rsidR="00241321" w:rsidRPr="00241321" w:rsidRDefault="00241321" w:rsidP="00241321">
            <w:r w:rsidRPr="00241321">
              <w:t xml:space="preserve">Невролептичен малигнен синдром </w:t>
            </w:r>
            <w:r w:rsidRPr="00241321">
              <w:rPr>
                <w:lang w:val="en-US"/>
              </w:rPr>
              <w:t>(NMS)</w:t>
            </w:r>
          </w:p>
          <w:p w14:paraId="011D4FB7" w14:textId="77777777" w:rsidR="00241321" w:rsidRPr="00241321" w:rsidRDefault="00241321" w:rsidP="00241321">
            <w:r w:rsidRPr="00241321">
              <w:t xml:space="preserve">Генерализирани тонично-клонични припадъци тип </w:t>
            </w:r>
            <w:r w:rsidRPr="00241321">
              <w:rPr>
                <w:lang w:val="en-US"/>
              </w:rPr>
              <w:t>“grand mal"</w:t>
            </w:r>
          </w:p>
          <w:p w14:paraId="70FD013A" w14:textId="5C87DBA5" w:rsidR="00241321" w:rsidRPr="00241321" w:rsidRDefault="00241321" w:rsidP="00241321">
            <w:pPr>
              <w:spacing w:line="240" w:lineRule="auto"/>
              <w:rPr>
                <w:rFonts w:ascii="Times New Roman" w:eastAsia="Times New Roman" w:hAnsi="Times New Roman" w:cs="Times New Roman"/>
                <w:lang w:eastAsia="bg-BG"/>
              </w:rPr>
            </w:pPr>
            <w:r w:rsidRPr="00241321">
              <w:t>Серотонинов синдром Нарушения на говора</w:t>
            </w:r>
          </w:p>
        </w:tc>
      </w:tr>
      <w:tr w:rsidR="00241321" w14:paraId="25C15F8E" w14:textId="77777777" w:rsidTr="00241321">
        <w:tc>
          <w:tcPr>
            <w:tcW w:w="2375" w:type="dxa"/>
          </w:tcPr>
          <w:p w14:paraId="6995E5B1" w14:textId="630243AC" w:rsidR="00241321" w:rsidRPr="00241321" w:rsidRDefault="00241321" w:rsidP="00241321">
            <w:pPr>
              <w:spacing w:line="240" w:lineRule="auto"/>
              <w:rPr>
                <w:rFonts w:ascii="Times New Roman" w:eastAsia="Times New Roman" w:hAnsi="Times New Roman" w:cs="Times New Roman"/>
                <w:lang w:eastAsia="bg-BG"/>
              </w:rPr>
            </w:pPr>
            <w:r w:rsidRPr="00241321">
              <w:rPr>
                <w:b/>
                <w:bCs/>
              </w:rPr>
              <w:t>Нарушения на очите</w:t>
            </w:r>
          </w:p>
        </w:tc>
        <w:tc>
          <w:tcPr>
            <w:tcW w:w="2375" w:type="dxa"/>
          </w:tcPr>
          <w:p w14:paraId="3699A825" w14:textId="68EB1704" w:rsidR="00241321" w:rsidRPr="00241321" w:rsidRDefault="00241321" w:rsidP="00241321">
            <w:pPr>
              <w:spacing w:line="240" w:lineRule="auto"/>
              <w:rPr>
                <w:rFonts w:ascii="Times New Roman" w:eastAsia="Times New Roman" w:hAnsi="Times New Roman" w:cs="Times New Roman"/>
                <w:lang w:eastAsia="bg-BG"/>
              </w:rPr>
            </w:pPr>
            <w:r w:rsidRPr="00241321">
              <w:t>Замъглено зрение</w:t>
            </w:r>
          </w:p>
        </w:tc>
        <w:tc>
          <w:tcPr>
            <w:tcW w:w="2422" w:type="dxa"/>
            <w:vAlign w:val="bottom"/>
          </w:tcPr>
          <w:p w14:paraId="3FD45C0C" w14:textId="1DDEE61F" w:rsidR="00241321" w:rsidRPr="00241321" w:rsidRDefault="00241321" w:rsidP="00241321">
            <w:pPr>
              <w:spacing w:line="240" w:lineRule="auto"/>
              <w:rPr>
                <w:rFonts w:ascii="Times New Roman" w:eastAsia="Times New Roman" w:hAnsi="Times New Roman" w:cs="Times New Roman"/>
                <w:lang w:eastAsia="bg-BG"/>
              </w:rPr>
            </w:pPr>
            <w:r w:rsidRPr="00241321">
              <w:t>Диплопия Фотофобия</w:t>
            </w:r>
          </w:p>
        </w:tc>
        <w:tc>
          <w:tcPr>
            <w:tcW w:w="2375" w:type="dxa"/>
          </w:tcPr>
          <w:p w14:paraId="50DC1293" w14:textId="0B2EFBCC" w:rsidR="00241321" w:rsidRPr="00241321" w:rsidRDefault="00241321" w:rsidP="00241321">
            <w:pPr>
              <w:spacing w:line="240" w:lineRule="auto"/>
              <w:rPr>
                <w:rFonts w:ascii="Times New Roman" w:eastAsia="Times New Roman" w:hAnsi="Times New Roman" w:cs="Times New Roman"/>
                <w:lang w:eastAsia="bg-BG"/>
              </w:rPr>
            </w:pPr>
            <w:r w:rsidRPr="00241321">
              <w:t>Окулогирнчна криза</w:t>
            </w:r>
          </w:p>
        </w:tc>
      </w:tr>
      <w:tr w:rsidR="00241321" w14:paraId="60010012" w14:textId="77777777" w:rsidTr="00241321">
        <w:tc>
          <w:tcPr>
            <w:tcW w:w="2375" w:type="dxa"/>
          </w:tcPr>
          <w:p w14:paraId="067B8F60" w14:textId="247E6DFE" w:rsidR="00241321" w:rsidRPr="00241321" w:rsidRDefault="00241321" w:rsidP="00241321">
            <w:pPr>
              <w:spacing w:line="240" w:lineRule="auto"/>
              <w:rPr>
                <w:rFonts w:ascii="Times New Roman" w:eastAsia="Times New Roman" w:hAnsi="Times New Roman" w:cs="Times New Roman"/>
                <w:lang w:eastAsia="bg-BG"/>
              </w:rPr>
            </w:pPr>
            <w:r w:rsidRPr="00241321">
              <w:rPr>
                <w:b/>
                <w:bCs/>
              </w:rPr>
              <w:t>Сърдечни нарушения</w:t>
            </w:r>
          </w:p>
        </w:tc>
        <w:tc>
          <w:tcPr>
            <w:tcW w:w="2375" w:type="dxa"/>
          </w:tcPr>
          <w:p w14:paraId="4D37FF9C"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422" w:type="dxa"/>
          </w:tcPr>
          <w:p w14:paraId="7855E42D" w14:textId="214E7B8C" w:rsidR="00241321" w:rsidRPr="00241321" w:rsidRDefault="00241321" w:rsidP="00241321">
            <w:pPr>
              <w:spacing w:line="240" w:lineRule="auto"/>
              <w:rPr>
                <w:rFonts w:ascii="Times New Roman" w:eastAsia="Times New Roman" w:hAnsi="Times New Roman" w:cs="Times New Roman"/>
                <w:lang w:eastAsia="bg-BG"/>
              </w:rPr>
            </w:pPr>
            <w:r w:rsidRPr="00241321">
              <w:t>Тахикардия</w:t>
            </w:r>
          </w:p>
        </w:tc>
        <w:tc>
          <w:tcPr>
            <w:tcW w:w="2375" w:type="dxa"/>
            <w:vAlign w:val="bottom"/>
          </w:tcPr>
          <w:p w14:paraId="5AE66E45" w14:textId="77777777" w:rsidR="00241321" w:rsidRPr="00241321" w:rsidRDefault="00241321" w:rsidP="00241321">
            <w:r w:rsidRPr="00241321">
              <w:t>Внезапна необяснима смърт</w:t>
            </w:r>
          </w:p>
          <w:p w14:paraId="552120AF" w14:textId="77777777" w:rsidR="00241321" w:rsidRPr="00241321" w:rsidRDefault="00241321" w:rsidP="00241321">
            <w:r w:rsidRPr="00241321">
              <w:t xml:space="preserve">Полиморфна камерна тахикардия </w:t>
            </w:r>
            <w:r w:rsidRPr="00241321">
              <w:rPr>
                <w:lang w:val="en-US"/>
              </w:rPr>
              <w:t>(</w:t>
            </w:r>
            <w:proofErr w:type="spellStart"/>
            <w:r w:rsidRPr="00241321">
              <w:rPr>
                <w:lang w:val="en-US"/>
              </w:rPr>
              <w:t>Torsades</w:t>
            </w:r>
            <w:proofErr w:type="spellEnd"/>
            <w:r w:rsidRPr="00241321">
              <w:rPr>
                <w:lang w:val="en-US"/>
              </w:rPr>
              <w:t xml:space="preserve"> de pointes)</w:t>
            </w:r>
          </w:p>
          <w:p w14:paraId="121F90C1" w14:textId="72EFCEAF" w:rsidR="00241321" w:rsidRPr="00241321" w:rsidRDefault="00241321" w:rsidP="00241321">
            <w:pPr>
              <w:spacing w:line="240" w:lineRule="auto"/>
              <w:rPr>
                <w:rFonts w:ascii="Times New Roman" w:eastAsia="Times New Roman" w:hAnsi="Times New Roman" w:cs="Times New Roman"/>
                <w:lang w:eastAsia="bg-BG"/>
              </w:rPr>
            </w:pPr>
            <w:r w:rsidRPr="00241321">
              <w:t>Камерни аритмии Сърдечен арест Брадикардия</w:t>
            </w:r>
          </w:p>
        </w:tc>
      </w:tr>
      <w:tr w:rsidR="00241321" w14:paraId="55B02737" w14:textId="77777777" w:rsidTr="00241321">
        <w:tc>
          <w:tcPr>
            <w:tcW w:w="2375" w:type="dxa"/>
          </w:tcPr>
          <w:p w14:paraId="216CA914" w14:textId="74D90C1A" w:rsidR="00241321" w:rsidRPr="00241321" w:rsidRDefault="00241321" w:rsidP="00241321">
            <w:pPr>
              <w:spacing w:line="240" w:lineRule="auto"/>
              <w:rPr>
                <w:rFonts w:ascii="Times New Roman" w:eastAsia="Times New Roman" w:hAnsi="Times New Roman" w:cs="Times New Roman"/>
                <w:lang w:eastAsia="bg-BG"/>
              </w:rPr>
            </w:pPr>
            <w:r w:rsidRPr="00241321">
              <w:rPr>
                <w:b/>
                <w:bCs/>
              </w:rPr>
              <w:t>Съдови нарушения</w:t>
            </w:r>
          </w:p>
        </w:tc>
        <w:tc>
          <w:tcPr>
            <w:tcW w:w="2375" w:type="dxa"/>
          </w:tcPr>
          <w:p w14:paraId="609F2560"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422" w:type="dxa"/>
          </w:tcPr>
          <w:p w14:paraId="5469CE28" w14:textId="45B23D74" w:rsidR="00241321" w:rsidRPr="00241321" w:rsidRDefault="00241321" w:rsidP="00241321">
            <w:pPr>
              <w:spacing w:line="240" w:lineRule="auto"/>
              <w:rPr>
                <w:rFonts w:ascii="Times New Roman" w:eastAsia="Times New Roman" w:hAnsi="Times New Roman" w:cs="Times New Roman"/>
                <w:lang w:eastAsia="bg-BG"/>
              </w:rPr>
            </w:pPr>
            <w:r w:rsidRPr="00241321">
              <w:t>Ортостатична хипотония</w:t>
            </w:r>
          </w:p>
        </w:tc>
        <w:tc>
          <w:tcPr>
            <w:tcW w:w="2375" w:type="dxa"/>
            <w:vAlign w:val="bottom"/>
          </w:tcPr>
          <w:p w14:paraId="7A16BF27" w14:textId="61EC564B" w:rsidR="00241321" w:rsidRPr="00241321" w:rsidRDefault="00241321" w:rsidP="00241321">
            <w:pPr>
              <w:spacing w:line="240" w:lineRule="auto"/>
              <w:rPr>
                <w:rFonts w:ascii="Times New Roman" w:eastAsia="Times New Roman" w:hAnsi="Times New Roman" w:cs="Times New Roman"/>
                <w:lang w:eastAsia="bg-BG"/>
              </w:rPr>
            </w:pPr>
            <w:r w:rsidRPr="00241321">
              <w:t>Венозна тромбоемболия (включително белодробна емболия и дълбока венозна тромбоза) Хипертония Синкоп</w:t>
            </w:r>
          </w:p>
        </w:tc>
      </w:tr>
      <w:tr w:rsidR="00241321" w14:paraId="107EF0CF" w14:textId="77777777" w:rsidTr="00241321">
        <w:tc>
          <w:tcPr>
            <w:tcW w:w="2375" w:type="dxa"/>
          </w:tcPr>
          <w:p w14:paraId="61DD401F" w14:textId="42B75C34" w:rsidR="00241321" w:rsidRPr="00241321" w:rsidRDefault="00241321" w:rsidP="00241321">
            <w:pPr>
              <w:spacing w:line="240" w:lineRule="auto"/>
              <w:rPr>
                <w:rFonts w:ascii="Times New Roman" w:eastAsia="Times New Roman" w:hAnsi="Times New Roman" w:cs="Times New Roman"/>
                <w:lang w:eastAsia="bg-BG"/>
              </w:rPr>
            </w:pPr>
            <w:r w:rsidRPr="00241321">
              <w:rPr>
                <w:b/>
                <w:bCs/>
              </w:rPr>
              <w:t>Респираторни, гръдни и медиастинални нарушения</w:t>
            </w:r>
          </w:p>
        </w:tc>
        <w:tc>
          <w:tcPr>
            <w:tcW w:w="2375" w:type="dxa"/>
          </w:tcPr>
          <w:p w14:paraId="7FF1C89D"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422" w:type="dxa"/>
          </w:tcPr>
          <w:p w14:paraId="79AA29B1" w14:textId="0F591262" w:rsidR="00241321" w:rsidRPr="00241321" w:rsidRDefault="00241321" w:rsidP="00241321">
            <w:pPr>
              <w:spacing w:line="240" w:lineRule="auto"/>
              <w:rPr>
                <w:rFonts w:ascii="Times New Roman" w:eastAsia="Times New Roman" w:hAnsi="Times New Roman" w:cs="Times New Roman"/>
                <w:lang w:eastAsia="bg-BG"/>
              </w:rPr>
            </w:pPr>
            <w:r w:rsidRPr="00241321">
              <w:t>Хълцане</w:t>
            </w:r>
          </w:p>
        </w:tc>
        <w:tc>
          <w:tcPr>
            <w:tcW w:w="2375" w:type="dxa"/>
            <w:vAlign w:val="bottom"/>
          </w:tcPr>
          <w:p w14:paraId="100E527B" w14:textId="6722E4C2" w:rsidR="00241321" w:rsidRPr="00241321" w:rsidRDefault="00241321" w:rsidP="00241321">
            <w:pPr>
              <w:spacing w:line="240" w:lineRule="auto"/>
              <w:rPr>
                <w:rFonts w:ascii="Times New Roman" w:eastAsia="Times New Roman" w:hAnsi="Times New Roman" w:cs="Times New Roman"/>
                <w:lang w:eastAsia="bg-BG"/>
              </w:rPr>
            </w:pPr>
            <w:r w:rsidRPr="00241321">
              <w:t>Аспирационна пневмония Ларингоспазъм Орофарингеален спазъм</w:t>
            </w:r>
          </w:p>
        </w:tc>
      </w:tr>
      <w:tr w:rsidR="00241321" w14:paraId="3C33510D" w14:textId="77777777" w:rsidTr="00241321">
        <w:tc>
          <w:tcPr>
            <w:tcW w:w="2375" w:type="dxa"/>
          </w:tcPr>
          <w:p w14:paraId="70E8EA8C" w14:textId="40AED84B" w:rsidR="00241321" w:rsidRPr="00241321" w:rsidRDefault="00241321" w:rsidP="00241321">
            <w:pPr>
              <w:spacing w:line="240" w:lineRule="auto"/>
              <w:rPr>
                <w:rFonts w:ascii="Times New Roman" w:eastAsia="Times New Roman" w:hAnsi="Times New Roman" w:cs="Times New Roman"/>
                <w:lang w:eastAsia="bg-BG"/>
              </w:rPr>
            </w:pPr>
            <w:r w:rsidRPr="00241321">
              <w:rPr>
                <w:b/>
                <w:bCs/>
              </w:rPr>
              <w:t>Стомашно-чревни нарушения</w:t>
            </w:r>
          </w:p>
        </w:tc>
        <w:tc>
          <w:tcPr>
            <w:tcW w:w="2375" w:type="dxa"/>
          </w:tcPr>
          <w:p w14:paraId="327AE34A" w14:textId="0EAC8BB7" w:rsidR="00241321" w:rsidRPr="00241321" w:rsidRDefault="00241321" w:rsidP="00241321">
            <w:pPr>
              <w:spacing w:line="240" w:lineRule="auto"/>
              <w:rPr>
                <w:rFonts w:ascii="Times New Roman" w:eastAsia="Times New Roman" w:hAnsi="Times New Roman" w:cs="Times New Roman"/>
                <w:lang w:eastAsia="bg-BG"/>
              </w:rPr>
            </w:pPr>
            <w:r w:rsidRPr="00241321">
              <w:t>Констипация Диспепсия Гадене Хиперсаливация Повръщане</w:t>
            </w:r>
          </w:p>
        </w:tc>
        <w:tc>
          <w:tcPr>
            <w:tcW w:w="2422" w:type="dxa"/>
          </w:tcPr>
          <w:p w14:paraId="2F6E4D0C"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375" w:type="dxa"/>
            <w:vAlign w:val="bottom"/>
          </w:tcPr>
          <w:p w14:paraId="0C78B67D" w14:textId="77777777" w:rsidR="00241321" w:rsidRPr="00241321" w:rsidRDefault="00241321" w:rsidP="00241321">
            <w:r w:rsidRPr="00241321">
              <w:t>Панкреатит Дисфагия Диария</w:t>
            </w:r>
          </w:p>
          <w:p w14:paraId="358EA3EB" w14:textId="0DFD8612" w:rsidR="00241321" w:rsidRPr="00241321" w:rsidRDefault="00241321" w:rsidP="00241321">
            <w:pPr>
              <w:spacing w:line="240" w:lineRule="auto"/>
              <w:rPr>
                <w:rFonts w:ascii="Times New Roman" w:eastAsia="Times New Roman" w:hAnsi="Times New Roman" w:cs="Times New Roman"/>
                <w:lang w:eastAsia="bg-BG"/>
              </w:rPr>
            </w:pPr>
            <w:r w:rsidRPr="00241321">
              <w:t xml:space="preserve">Коремен дискомфорт </w:t>
            </w:r>
            <w:r w:rsidRPr="00241321">
              <w:lastRenderedPageBreak/>
              <w:t>Стомашен дискомфорт</w:t>
            </w:r>
          </w:p>
        </w:tc>
      </w:tr>
      <w:tr w:rsidR="00241321" w14:paraId="6BB44DF4" w14:textId="77777777" w:rsidTr="00241321">
        <w:tc>
          <w:tcPr>
            <w:tcW w:w="2375" w:type="dxa"/>
          </w:tcPr>
          <w:p w14:paraId="17B94208" w14:textId="520D1DE8" w:rsidR="00241321" w:rsidRPr="00241321" w:rsidRDefault="00241321" w:rsidP="00241321">
            <w:pPr>
              <w:spacing w:line="240" w:lineRule="auto"/>
              <w:rPr>
                <w:rFonts w:ascii="Times New Roman" w:eastAsia="Times New Roman" w:hAnsi="Times New Roman" w:cs="Times New Roman"/>
                <w:lang w:eastAsia="bg-BG"/>
              </w:rPr>
            </w:pPr>
            <w:r w:rsidRPr="00241321">
              <w:rPr>
                <w:b/>
                <w:bCs/>
              </w:rPr>
              <w:lastRenderedPageBreak/>
              <w:t>Хепатобилиарни нарушения</w:t>
            </w:r>
          </w:p>
        </w:tc>
        <w:tc>
          <w:tcPr>
            <w:tcW w:w="2375" w:type="dxa"/>
          </w:tcPr>
          <w:p w14:paraId="3926EC5F"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422" w:type="dxa"/>
          </w:tcPr>
          <w:p w14:paraId="2546CC95"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375" w:type="dxa"/>
            <w:vAlign w:val="bottom"/>
          </w:tcPr>
          <w:p w14:paraId="28234254" w14:textId="5C411E0D" w:rsidR="00241321" w:rsidRPr="00241321" w:rsidRDefault="00241321" w:rsidP="00241321">
            <w:pPr>
              <w:spacing w:line="240" w:lineRule="auto"/>
              <w:rPr>
                <w:rFonts w:ascii="Times New Roman" w:eastAsia="Times New Roman" w:hAnsi="Times New Roman" w:cs="Times New Roman"/>
                <w:lang w:eastAsia="bg-BG"/>
              </w:rPr>
            </w:pPr>
            <w:r w:rsidRPr="00241321">
              <w:t>Чернодробна недостатъчност Хепатит Жълтеница</w:t>
            </w:r>
          </w:p>
        </w:tc>
      </w:tr>
      <w:tr w:rsidR="00241321" w14:paraId="3887CBC0" w14:textId="77777777" w:rsidTr="00241321">
        <w:tc>
          <w:tcPr>
            <w:tcW w:w="2375" w:type="dxa"/>
          </w:tcPr>
          <w:p w14:paraId="7F1F87BE" w14:textId="492AD195" w:rsidR="00241321" w:rsidRPr="00241321" w:rsidRDefault="00241321" w:rsidP="00241321">
            <w:pPr>
              <w:spacing w:line="240" w:lineRule="auto"/>
              <w:rPr>
                <w:rFonts w:ascii="Times New Roman" w:eastAsia="Times New Roman" w:hAnsi="Times New Roman" w:cs="Times New Roman"/>
                <w:lang w:eastAsia="bg-BG"/>
              </w:rPr>
            </w:pPr>
            <w:r w:rsidRPr="00241321">
              <w:rPr>
                <w:b/>
                <w:bCs/>
              </w:rPr>
              <w:t>Нарушения на кожата и подкожната тъкан</w:t>
            </w:r>
          </w:p>
        </w:tc>
        <w:tc>
          <w:tcPr>
            <w:tcW w:w="2375" w:type="dxa"/>
          </w:tcPr>
          <w:p w14:paraId="77A778D5"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422" w:type="dxa"/>
          </w:tcPr>
          <w:p w14:paraId="6ED38A79"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375" w:type="dxa"/>
            <w:vAlign w:val="bottom"/>
          </w:tcPr>
          <w:p w14:paraId="0AB71A72" w14:textId="77777777" w:rsidR="00241321" w:rsidRPr="00241321" w:rsidRDefault="00241321" w:rsidP="00241321">
            <w:r w:rsidRPr="00241321">
              <w:t>Обрив</w:t>
            </w:r>
          </w:p>
          <w:p w14:paraId="71C3F84B" w14:textId="77777777" w:rsidR="00241321" w:rsidRPr="00241321" w:rsidRDefault="00241321" w:rsidP="00241321">
            <w:pPr>
              <w:rPr>
                <w:sz w:val="24"/>
                <w:szCs w:val="24"/>
                <w:lang w:eastAsia="bg-BG"/>
              </w:rPr>
            </w:pPr>
            <w:r w:rsidRPr="00241321">
              <w:t>Реакция на фоточувствителност Алопеция Хиперхидроза Лекарствена реакция е еозинофилия и</w:t>
            </w:r>
            <w:r>
              <w:t xml:space="preserve"> </w:t>
            </w:r>
            <w:r w:rsidRPr="00241321">
              <w:rPr>
                <w:lang w:eastAsia="bg-BG"/>
              </w:rPr>
              <w:t>системни симптоми</w:t>
            </w:r>
          </w:p>
          <w:p w14:paraId="447430FA" w14:textId="06195BAC" w:rsidR="00241321" w:rsidRPr="00241321" w:rsidRDefault="00241321" w:rsidP="00241321">
            <w:pPr>
              <w:rPr>
                <w:lang w:eastAsia="bg-BG"/>
              </w:rPr>
            </w:pPr>
            <w:r w:rsidRPr="00241321">
              <w:rPr>
                <w:lang w:val="en-US"/>
              </w:rPr>
              <w:t>(DRESS)</w:t>
            </w:r>
          </w:p>
        </w:tc>
      </w:tr>
      <w:tr w:rsidR="00241321" w14:paraId="1B821B9E" w14:textId="77777777" w:rsidTr="00241321">
        <w:tc>
          <w:tcPr>
            <w:tcW w:w="2375" w:type="dxa"/>
          </w:tcPr>
          <w:p w14:paraId="4CA051ED" w14:textId="48D75AED" w:rsidR="00241321" w:rsidRPr="00241321" w:rsidRDefault="00241321" w:rsidP="00241321">
            <w:pPr>
              <w:spacing w:line="240" w:lineRule="auto"/>
              <w:rPr>
                <w:rFonts w:ascii="Times New Roman" w:eastAsia="Times New Roman" w:hAnsi="Times New Roman" w:cs="Times New Roman"/>
                <w:lang w:eastAsia="bg-BG"/>
              </w:rPr>
            </w:pPr>
            <w:r w:rsidRPr="00241321">
              <w:rPr>
                <w:b/>
                <w:bCs/>
              </w:rPr>
              <w:t>Нарушения на мускулно- скелетната система и съединителната тъкан</w:t>
            </w:r>
          </w:p>
        </w:tc>
        <w:tc>
          <w:tcPr>
            <w:tcW w:w="2375" w:type="dxa"/>
          </w:tcPr>
          <w:p w14:paraId="3D73CE62"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422" w:type="dxa"/>
          </w:tcPr>
          <w:p w14:paraId="1EC164EA"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375" w:type="dxa"/>
          </w:tcPr>
          <w:p w14:paraId="7C491A47" w14:textId="08C804DA" w:rsidR="00241321" w:rsidRPr="00241321" w:rsidRDefault="00241321" w:rsidP="00241321">
            <w:pPr>
              <w:spacing w:line="240" w:lineRule="auto"/>
              <w:rPr>
                <w:rFonts w:ascii="Times New Roman" w:eastAsia="Times New Roman" w:hAnsi="Times New Roman" w:cs="Times New Roman"/>
                <w:lang w:eastAsia="bg-BG"/>
              </w:rPr>
            </w:pPr>
            <w:r w:rsidRPr="00241321">
              <w:t>Рабдомиолиза Миалгия Скованост</w:t>
            </w:r>
          </w:p>
        </w:tc>
      </w:tr>
      <w:tr w:rsidR="00241321" w14:paraId="527ADECD" w14:textId="77777777" w:rsidTr="00515F2F">
        <w:tc>
          <w:tcPr>
            <w:tcW w:w="2375" w:type="dxa"/>
            <w:vAlign w:val="bottom"/>
          </w:tcPr>
          <w:p w14:paraId="696A3FC2" w14:textId="7C6ECEFF" w:rsidR="00241321" w:rsidRPr="00241321" w:rsidRDefault="00241321" w:rsidP="00241321">
            <w:pPr>
              <w:spacing w:line="240" w:lineRule="auto"/>
              <w:rPr>
                <w:rFonts w:ascii="Times New Roman" w:eastAsia="Times New Roman" w:hAnsi="Times New Roman" w:cs="Times New Roman"/>
                <w:lang w:eastAsia="bg-BG"/>
              </w:rPr>
            </w:pPr>
            <w:r w:rsidRPr="00241321">
              <w:rPr>
                <w:b/>
                <w:bCs/>
              </w:rPr>
              <w:t>Нарушения на бъбреците и пикочните пътища</w:t>
            </w:r>
          </w:p>
        </w:tc>
        <w:tc>
          <w:tcPr>
            <w:tcW w:w="2375" w:type="dxa"/>
          </w:tcPr>
          <w:p w14:paraId="2C1CDAA2"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422" w:type="dxa"/>
          </w:tcPr>
          <w:p w14:paraId="69FC3491"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375" w:type="dxa"/>
            <w:vAlign w:val="bottom"/>
          </w:tcPr>
          <w:p w14:paraId="4208087E" w14:textId="77777777" w:rsidR="00241321" w:rsidRPr="00241321" w:rsidRDefault="00241321" w:rsidP="00241321">
            <w:r w:rsidRPr="00241321">
              <w:t>Инконтиненция на урина</w:t>
            </w:r>
          </w:p>
          <w:p w14:paraId="0B7995F7" w14:textId="493AAD5A" w:rsidR="00241321" w:rsidRPr="00241321" w:rsidRDefault="00241321" w:rsidP="00241321">
            <w:pPr>
              <w:spacing w:line="240" w:lineRule="auto"/>
              <w:rPr>
                <w:rFonts w:ascii="Times New Roman" w:eastAsia="Times New Roman" w:hAnsi="Times New Roman" w:cs="Times New Roman"/>
                <w:lang w:eastAsia="bg-BG"/>
              </w:rPr>
            </w:pPr>
            <w:r w:rsidRPr="00241321">
              <w:t>Задържане на урина</w:t>
            </w:r>
          </w:p>
        </w:tc>
      </w:tr>
      <w:tr w:rsidR="00241321" w14:paraId="3C0A09D7" w14:textId="77777777" w:rsidTr="00515F2F">
        <w:tc>
          <w:tcPr>
            <w:tcW w:w="2375" w:type="dxa"/>
            <w:vAlign w:val="bottom"/>
          </w:tcPr>
          <w:p w14:paraId="4EC22F8B" w14:textId="6B193EE4" w:rsidR="00241321" w:rsidRPr="00241321" w:rsidRDefault="00241321" w:rsidP="00241321">
            <w:pPr>
              <w:spacing w:line="240" w:lineRule="auto"/>
              <w:rPr>
                <w:rFonts w:ascii="Times New Roman" w:eastAsia="Times New Roman" w:hAnsi="Times New Roman" w:cs="Times New Roman"/>
                <w:lang w:eastAsia="bg-BG"/>
              </w:rPr>
            </w:pPr>
            <w:r w:rsidRPr="00241321">
              <w:rPr>
                <w:b/>
                <w:bCs/>
              </w:rPr>
              <w:t>Състояния, свързани с бременността, родовия и послеродовия период</w:t>
            </w:r>
          </w:p>
        </w:tc>
        <w:tc>
          <w:tcPr>
            <w:tcW w:w="2375" w:type="dxa"/>
          </w:tcPr>
          <w:p w14:paraId="0AA6D5DE"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422" w:type="dxa"/>
          </w:tcPr>
          <w:p w14:paraId="3D676E7B"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375" w:type="dxa"/>
          </w:tcPr>
          <w:p w14:paraId="44062D70" w14:textId="428EB1EE" w:rsidR="00241321" w:rsidRPr="00241321" w:rsidRDefault="00241321" w:rsidP="00241321">
            <w:pPr>
              <w:spacing w:line="240" w:lineRule="auto"/>
              <w:rPr>
                <w:rFonts w:ascii="Times New Roman" w:eastAsia="Times New Roman" w:hAnsi="Times New Roman" w:cs="Times New Roman"/>
                <w:lang w:eastAsia="bg-BG"/>
              </w:rPr>
            </w:pPr>
            <w:r w:rsidRPr="00241321">
              <w:t>Синдром на отнемане при новородени (вижте точка 4.6)</w:t>
            </w:r>
          </w:p>
        </w:tc>
      </w:tr>
      <w:tr w:rsidR="00241321" w14:paraId="0861BFFD" w14:textId="77777777" w:rsidTr="00515F2F">
        <w:tc>
          <w:tcPr>
            <w:tcW w:w="2375" w:type="dxa"/>
            <w:vAlign w:val="bottom"/>
          </w:tcPr>
          <w:p w14:paraId="68284303" w14:textId="774CD019" w:rsidR="00241321" w:rsidRPr="00241321" w:rsidRDefault="00241321" w:rsidP="00241321">
            <w:pPr>
              <w:spacing w:line="240" w:lineRule="auto"/>
              <w:rPr>
                <w:rFonts w:ascii="Times New Roman" w:eastAsia="Times New Roman" w:hAnsi="Times New Roman" w:cs="Times New Roman"/>
                <w:lang w:eastAsia="bg-BG"/>
              </w:rPr>
            </w:pPr>
            <w:r w:rsidRPr="00241321">
              <w:rPr>
                <w:b/>
                <w:bCs/>
              </w:rPr>
              <w:t>Нарушения на репродуктивната система и гърдите</w:t>
            </w:r>
          </w:p>
        </w:tc>
        <w:tc>
          <w:tcPr>
            <w:tcW w:w="2375" w:type="dxa"/>
          </w:tcPr>
          <w:p w14:paraId="6B9FB5FC"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422" w:type="dxa"/>
          </w:tcPr>
          <w:p w14:paraId="691573F7"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375" w:type="dxa"/>
          </w:tcPr>
          <w:p w14:paraId="770EA876" w14:textId="58D84AB6" w:rsidR="00241321" w:rsidRPr="00241321" w:rsidRDefault="00241321" w:rsidP="00241321">
            <w:pPr>
              <w:spacing w:line="240" w:lineRule="auto"/>
              <w:rPr>
                <w:rFonts w:ascii="Times New Roman" w:eastAsia="Times New Roman" w:hAnsi="Times New Roman" w:cs="Times New Roman"/>
                <w:lang w:eastAsia="bg-BG"/>
              </w:rPr>
            </w:pPr>
            <w:r w:rsidRPr="00241321">
              <w:t>Приапизъм</w:t>
            </w:r>
          </w:p>
        </w:tc>
      </w:tr>
      <w:tr w:rsidR="00241321" w14:paraId="174A7147" w14:textId="77777777" w:rsidTr="00515F2F">
        <w:tc>
          <w:tcPr>
            <w:tcW w:w="2375" w:type="dxa"/>
          </w:tcPr>
          <w:p w14:paraId="290F0FF9" w14:textId="7CB71D3A" w:rsidR="00241321" w:rsidRPr="00241321" w:rsidRDefault="00241321" w:rsidP="00241321">
            <w:pPr>
              <w:spacing w:line="240" w:lineRule="auto"/>
              <w:rPr>
                <w:rFonts w:ascii="Times New Roman" w:eastAsia="Times New Roman" w:hAnsi="Times New Roman" w:cs="Times New Roman"/>
                <w:lang w:eastAsia="bg-BG"/>
              </w:rPr>
            </w:pPr>
            <w:r w:rsidRPr="00241321">
              <w:rPr>
                <w:b/>
                <w:bCs/>
              </w:rPr>
              <w:t>Общи нарушения и ефекти на мястото на приложение</w:t>
            </w:r>
          </w:p>
        </w:tc>
        <w:tc>
          <w:tcPr>
            <w:tcW w:w="2375" w:type="dxa"/>
          </w:tcPr>
          <w:p w14:paraId="41E48CBD" w14:textId="17E9369B" w:rsidR="00241321" w:rsidRPr="00241321" w:rsidRDefault="00241321" w:rsidP="00241321">
            <w:pPr>
              <w:spacing w:line="240" w:lineRule="auto"/>
              <w:rPr>
                <w:rFonts w:ascii="Times New Roman" w:eastAsia="Times New Roman" w:hAnsi="Times New Roman" w:cs="Times New Roman"/>
                <w:lang w:eastAsia="bg-BG"/>
              </w:rPr>
            </w:pPr>
            <w:r w:rsidRPr="00241321">
              <w:t>Умора</w:t>
            </w:r>
          </w:p>
        </w:tc>
        <w:tc>
          <w:tcPr>
            <w:tcW w:w="2422" w:type="dxa"/>
          </w:tcPr>
          <w:p w14:paraId="77F7FADC"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375" w:type="dxa"/>
            <w:vAlign w:val="bottom"/>
          </w:tcPr>
          <w:p w14:paraId="7F5FBFB5" w14:textId="68E08796" w:rsidR="00241321" w:rsidRPr="00241321" w:rsidRDefault="00241321" w:rsidP="00241321">
            <w:pPr>
              <w:spacing w:line="240" w:lineRule="auto"/>
              <w:rPr>
                <w:rFonts w:ascii="Times New Roman" w:eastAsia="Times New Roman" w:hAnsi="Times New Roman" w:cs="Times New Roman"/>
                <w:lang w:eastAsia="bg-BG"/>
              </w:rPr>
            </w:pPr>
            <w:r w:rsidRPr="00241321">
              <w:t>Нарушения в терморегулацията (например хипотермия, пирексия) Болка в гърдите Периферен оток</w:t>
            </w:r>
          </w:p>
        </w:tc>
      </w:tr>
      <w:tr w:rsidR="00241321" w14:paraId="25672725" w14:textId="77777777" w:rsidTr="00515F2F">
        <w:tc>
          <w:tcPr>
            <w:tcW w:w="2375" w:type="dxa"/>
          </w:tcPr>
          <w:p w14:paraId="1DE86146" w14:textId="08BE76F0" w:rsidR="00241321" w:rsidRPr="00241321" w:rsidRDefault="00241321" w:rsidP="00241321">
            <w:pPr>
              <w:spacing w:line="240" w:lineRule="auto"/>
              <w:rPr>
                <w:rFonts w:ascii="Times New Roman" w:eastAsia="Times New Roman" w:hAnsi="Times New Roman" w:cs="Times New Roman"/>
                <w:lang w:eastAsia="bg-BG"/>
              </w:rPr>
            </w:pPr>
            <w:r w:rsidRPr="00241321">
              <w:rPr>
                <w:b/>
                <w:bCs/>
              </w:rPr>
              <w:t>Изследвания</w:t>
            </w:r>
          </w:p>
        </w:tc>
        <w:tc>
          <w:tcPr>
            <w:tcW w:w="2375" w:type="dxa"/>
          </w:tcPr>
          <w:p w14:paraId="76E881E9"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422" w:type="dxa"/>
          </w:tcPr>
          <w:p w14:paraId="50CCAC6C"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375" w:type="dxa"/>
            <w:vAlign w:val="bottom"/>
          </w:tcPr>
          <w:p w14:paraId="0DE588D1" w14:textId="77777777" w:rsidR="00241321" w:rsidRPr="00241321" w:rsidRDefault="00241321" w:rsidP="00241321">
            <w:r w:rsidRPr="00241321">
              <w:t>Намаляване на</w:t>
            </w:r>
          </w:p>
          <w:p w14:paraId="39BE732C" w14:textId="77777777" w:rsidR="00241321" w:rsidRPr="00241321" w:rsidRDefault="00241321" w:rsidP="00241321">
            <w:r w:rsidRPr="00241321">
              <w:t>теглото</w:t>
            </w:r>
          </w:p>
          <w:p w14:paraId="5A553021" w14:textId="77777777" w:rsidR="00241321" w:rsidRPr="00241321" w:rsidRDefault="00241321" w:rsidP="00241321">
            <w:r w:rsidRPr="00241321">
              <w:t>Увеличаване на</w:t>
            </w:r>
          </w:p>
          <w:p w14:paraId="11245754" w14:textId="77777777" w:rsidR="00241321" w:rsidRPr="00241321" w:rsidRDefault="00241321" w:rsidP="00241321">
            <w:r w:rsidRPr="00241321">
              <w:t>теглото</w:t>
            </w:r>
          </w:p>
          <w:p w14:paraId="3A36F63A" w14:textId="77777777" w:rsidR="00241321" w:rsidRPr="00241321" w:rsidRDefault="00241321" w:rsidP="00241321">
            <w:r w:rsidRPr="00241321">
              <w:t>Повишена аланин аминотрансфераза</w:t>
            </w:r>
          </w:p>
          <w:p w14:paraId="6990D833" w14:textId="77777777" w:rsidR="00241321" w:rsidRPr="00241321" w:rsidRDefault="00241321" w:rsidP="00241321">
            <w:r w:rsidRPr="00241321">
              <w:rPr>
                <w:lang w:val="en-US"/>
              </w:rPr>
              <w:t>(ALT)</w:t>
            </w:r>
          </w:p>
          <w:p w14:paraId="74C30127" w14:textId="77777777" w:rsidR="00241321" w:rsidRPr="00241321" w:rsidRDefault="00241321" w:rsidP="00241321">
            <w:r w:rsidRPr="00241321">
              <w:t>Повишена аспартат аминотрансфераза</w:t>
            </w:r>
          </w:p>
          <w:p w14:paraId="78103332" w14:textId="77777777" w:rsidR="00241321" w:rsidRPr="00241321" w:rsidRDefault="00241321" w:rsidP="00241321">
            <w:r w:rsidRPr="00241321">
              <w:rPr>
                <w:lang w:val="en-US"/>
              </w:rPr>
              <w:lastRenderedPageBreak/>
              <w:t>(AST)</w:t>
            </w:r>
          </w:p>
          <w:p w14:paraId="2088F316" w14:textId="77777777" w:rsidR="00241321" w:rsidRPr="00241321" w:rsidRDefault="00241321" w:rsidP="00241321">
            <w:r w:rsidRPr="00241321">
              <w:t xml:space="preserve">Повишена гама глутамил трансфераза </w:t>
            </w:r>
            <w:r w:rsidRPr="00241321">
              <w:rPr>
                <w:lang w:val="en-US"/>
              </w:rPr>
              <w:t>(GGT)</w:t>
            </w:r>
          </w:p>
          <w:p w14:paraId="40E25873" w14:textId="77777777" w:rsidR="00241321" w:rsidRPr="00241321" w:rsidRDefault="00241321" w:rsidP="00241321">
            <w:r w:rsidRPr="00241321">
              <w:t>Повишена алкална фосфатаза</w:t>
            </w:r>
          </w:p>
          <w:p w14:paraId="46681C3A" w14:textId="77777777" w:rsidR="00241321" w:rsidRPr="00241321" w:rsidRDefault="00241321" w:rsidP="00241321">
            <w:r w:rsidRPr="00241321">
              <w:t xml:space="preserve">Удължен </w:t>
            </w:r>
            <w:r w:rsidRPr="00241321">
              <w:rPr>
                <w:lang w:val="en-US"/>
              </w:rPr>
              <w:t xml:space="preserve">QT </w:t>
            </w:r>
            <w:r w:rsidRPr="00241321">
              <w:t>интервал</w:t>
            </w:r>
          </w:p>
          <w:p w14:paraId="230FBEDB" w14:textId="77777777" w:rsidR="00241321" w:rsidRPr="00241321" w:rsidRDefault="00241321" w:rsidP="00241321">
            <w:r w:rsidRPr="00241321">
              <w:t>Повишена кръвна захар</w:t>
            </w:r>
          </w:p>
          <w:p w14:paraId="2E198C9C" w14:textId="77777777" w:rsidR="00241321" w:rsidRPr="00241321" w:rsidRDefault="00241321" w:rsidP="00241321">
            <w:r w:rsidRPr="00241321">
              <w:t>Повишен гликиран хемоглобин</w:t>
            </w:r>
          </w:p>
          <w:p w14:paraId="2534073A" w14:textId="77777777" w:rsidR="00241321" w:rsidRPr="00241321" w:rsidRDefault="00241321" w:rsidP="00241321">
            <w:r w:rsidRPr="00241321">
              <w:t>Флуктуация на кръвната захар</w:t>
            </w:r>
          </w:p>
          <w:p w14:paraId="56FF90E9" w14:textId="58060BA5" w:rsidR="00241321" w:rsidRPr="00241321" w:rsidRDefault="00241321" w:rsidP="00241321">
            <w:pPr>
              <w:spacing w:line="240" w:lineRule="auto"/>
              <w:rPr>
                <w:rFonts w:ascii="Times New Roman" w:eastAsia="Times New Roman" w:hAnsi="Times New Roman" w:cs="Times New Roman"/>
                <w:lang w:eastAsia="bg-BG"/>
              </w:rPr>
            </w:pPr>
            <w:r w:rsidRPr="00241321">
              <w:t>Повишена креатинин фосфокиназа</w:t>
            </w:r>
          </w:p>
        </w:tc>
      </w:tr>
    </w:tbl>
    <w:p w14:paraId="1683616A" w14:textId="7AF98F08" w:rsidR="0047771A" w:rsidRDefault="0047771A" w:rsidP="0047771A">
      <w:pPr>
        <w:spacing w:line="240" w:lineRule="auto"/>
        <w:rPr>
          <w:rFonts w:ascii="Times New Roman" w:eastAsia="Times New Roman" w:hAnsi="Times New Roman" w:cs="Times New Roman"/>
          <w:sz w:val="24"/>
          <w:szCs w:val="24"/>
          <w:lang w:eastAsia="bg-BG"/>
        </w:rPr>
      </w:pPr>
    </w:p>
    <w:p w14:paraId="2CE73BB5"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u w:val="single"/>
          <w:lang w:eastAsia="bg-BG"/>
        </w:rPr>
        <w:t>Описание на избрани нежелани реакции</w:t>
      </w:r>
    </w:p>
    <w:p w14:paraId="3DEA58B5" w14:textId="77777777" w:rsidR="00241321" w:rsidRPr="00241321" w:rsidRDefault="00241321" w:rsidP="00241321">
      <w:pPr>
        <w:spacing w:line="240" w:lineRule="auto"/>
        <w:rPr>
          <w:rFonts w:eastAsia="Times New Roman" w:cs="Arial"/>
          <w:lang w:eastAsia="bg-BG"/>
        </w:rPr>
      </w:pPr>
      <w:r w:rsidRPr="00241321">
        <w:rPr>
          <w:rFonts w:eastAsia="Times New Roman" w:cs="Arial"/>
          <w:i/>
          <w:iCs/>
          <w:color w:val="000000"/>
          <w:u w:val="single"/>
          <w:lang w:eastAsia="bg-BG"/>
        </w:rPr>
        <w:t>Възрастни</w:t>
      </w:r>
    </w:p>
    <w:p w14:paraId="6259FC4E"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Екстрапирамидни симптоми (ЕПС, </w:t>
      </w:r>
      <w:r w:rsidRPr="00241321">
        <w:rPr>
          <w:rFonts w:eastAsia="Times New Roman" w:cs="Arial"/>
          <w:color w:val="000000"/>
          <w:lang w:val="en-US"/>
        </w:rPr>
        <w:t>EPS):</w:t>
      </w:r>
    </w:p>
    <w:p w14:paraId="31313366" w14:textId="77777777"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Шизофрения</w:t>
      </w:r>
      <w:r w:rsidRPr="00241321">
        <w:rPr>
          <w:rFonts w:eastAsia="Times New Roman" w:cs="Arial"/>
          <w:color w:val="000000"/>
          <w:lang w:eastAsia="bg-BG"/>
        </w:rPr>
        <w:t xml:space="preserve"> - при продължително, 52-седмично контролирано проучване, при пациентите на лечение с арипипразол като цяло е наблюдавана по-ниска честота (25.8%) на ЕПС, включително паркинсонизъм, акатизия, дистония и дискинезия в сравнение с пациентите, лекувани с халоперидол (57.3%). При продължително, 26-седмично плацебо контролирано проучване, честотата на ЕПС е била 19% при пациентите, лекувани с арипипразол, и 13.1% при пациентите на плацебо. При друго продължително, 26-седмично контролирано проучване, честотата на ЕПС е била 14.8 % при пациентите, лекувани с арипипразол, и 15.1% при пациентите, лекувани с оланзапин.</w:t>
      </w:r>
    </w:p>
    <w:p w14:paraId="6A925ADE" w14:textId="77777777" w:rsidR="00241321" w:rsidRPr="00241321" w:rsidRDefault="00241321" w:rsidP="00241321">
      <w:pPr>
        <w:spacing w:line="240" w:lineRule="auto"/>
        <w:rPr>
          <w:rFonts w:eastAsia="Times New Roman" w:cs="Arial"/>
          <w:i/>
          <w:iCs/>
          <w:color w:val="000000"/>
          <w:lang w:eastAsia="bg-BG"/>
        </w:rPr>
      </w:pPr>
    </w:p>
    <w:p w14:paraId="478D9B95" w14:textId="22C7EB15"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Манийни епизоди при биполярно разстройство тип I-</w:t>
      </w:r>
      <w:r w:rsidRPr="00241321">
        <w:rPr>
          <w:rFonts w:eastAsia="Times New Roman" w:cs="Arial"/>
          <w:color w:val="000000"/>
          <w:lang w:eastAsia="bg-BG"/>
        </w:rPr>
        <w:t xml:space="preserve"> при 12-седмично контролирано проучване честотата на ЕПС е била 23.5% при пациентите, лекувани с арипипразол, и 53.3% при пациентите на халоперидол. При друго 12-седмично проучване честотата на ЕПС е била 26.6% при пациентите на арипипразол и 17.6% при тези, лекувани с литий. При дългосрочната 26-седмична поддържаща фаза на плацебо контролирано проучване честотата на ЕПС е била 18.2% при пациентите на арипипразол и 15.7% при пациентите на плацебо.</w:t>
      </w:r>
    </w:p>
    <w:p w14:paraId="38D37657" w14:textId="77777777" w:rsidR="00241321" w:rsidRPr="00241321" w:rsidRDefault="00241321" w:rsidP="00241321">
      <w:pPr>
        <w:spacing w:line="240" w:lineRule="auto"/>
        <w:rPr>
          <w:rFonts w:eastAsia="Times New Roman" w:cs="Arial"/>
          <w:i/>
          <w:iCs/>
          <w:color w:val="000000"/>
          <w:lang w:eastAsia="bg-BG"/>
        </w:rPr>
      </w:pPr>
    </w:p>
    <w:p w14:paraId="1E968091" w14:textId="0BB4F97A"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Акатизия</w:t>
      </w:r>
    </w:p>
    <w:p w14:paraId="0ECF0190"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При плацебо контролираните проучвания честотата на акатизия при пациентите с биполярно разстройство е била 12.1% при арипипразол и 3.2% при плацебо. При пациентите с шизофрения честотата на акатизия е била 6.2% при арипипразол и 3.0% при плацебо.</w:t>
      </w:r>
    </w:p>
    <w:p w14:paraId="12AD54F5" w14:textId="77777777" w:rsidR="00241321" w:rsidRPr="00241321" w:rsidRDefault="00241321" w:rsidP="00241321">
      <w:pPr>
        <w:spacing w:line="240" w:lineRule="auto"/>
        <w:rPr>
          <w:rFonts w:eastAsia="Times New Roman" w:cs="Arial"/>
          <w:i/>
          <w:iCs/>
          <w:color w:val="000000"/>
          <w:lang w:eastAsia="bg-BG"/>
        </w:rPr>
      </w:pPr>
    </w:p>
    <w:p w14:paraId="367B9E58" w14:textId="236FCA37"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Дистония</w:t>
      </w:r>
    </w:p>
    <w:p w14:paraId="3F76762D" w14:textId="77777777"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Реакция, свързана с лекарствения клас:</w:t>
      </w:r>
      <w:r w:rsidRPr="00241321">
        <w:rPr>
          <w:rFonts w:eastAsia="Times New Roman" w:cs="Arial"/>
          <w:color w:val="000000"/>
          <w:lang w:eastAsia="bg-BG"/>
        </w:rPr>
        <w:t xml:space="preserve"> Симптомите на дистония, удължени абнормни контракции на мускулни групи, могат да се проявят при чувствителни индивиди през първите няколко дни от лечението. Симптомите на дистония включват: спазъм на мускулите на врата, понякога прогресиращ до стягане в гърлото, трудности при преглъщане, затруднено дишане и/ или протрузия на езика. Въпреки че тези симптоми </w:t>
      </w:r>
      <w:r w:rsidRPr="00241321">
        <w:rPr>
          <w:rFonts w:eastAsia="Times New Roman" w:cs="Arial"/>
          <w:color w:val="000000"/>
          <w:lang w:eastAsia="bg-BG"/>
        </w:rPr>
        <w:lastRenderedPageBreak/>
        <w:t>могат да се появят при ниски дози, те се появяват по-често и са по-тежки при по-мощните и прилагани във високи дози антипсихотични лекарствени продукти от първа генерация. Повишен риск от остра дистония е наблюдаван при мъже и при пациентите в по- млада възраст.</w:t>
      </w:r>
    </w:p>
    <w:p w14:paraId="2153BA8D" w14:textId="77777777" w:rsidR="00241321" w:rsidRPr="00241321" w:rsidRDefault="00241321" w:rsidP="00241321">
      <w:pPr>
        <w:spacing w:line="240" w:lineRule="auto"/>
        <w:rPr>
          <w:rFonts w:eastAsia="Times New Roman" w:cs="Arial"/>
          <w:i/>
          <w:iCs/>
          <w:color w:val="000000"/>
          <w:lang w:eastAsia="bg-BG"/>
        </w:rPr>
      </w:pPr>
    </w:p>
    <w:p w14:paraId="3EA07EE1" w14:textId="1EA0FE97"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Пролактин</w:t>
      </w:r>
    </w:p>
    <w:p w14:paraId="2E30521C"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При клинични проучвания при одобрените показания и в постмаркетинговия период при приложение на арипипразол са наблюдавани както повишение, така и понижение в нивата на серумен пролактин в сравнение с изходните стойности (вижте точка 5.1).</w:t>
      </w:r>
    </w:p>
    <w:p w14:paraId="421A5799" w14:textId="77777777" w:rsidR="00241321" w:rsidRPr="00241321" w:rsidRDefault="00241321" w:rsidP="00241321">
      <w:pPr>
        <w:spacing w:line="240" w:lineRule="auto"/>
        <w:rPr>
          <w:rFonts w:eastAsia="Times New Roman" w:cs="Arial"/>
          <w:i/>
          <w:iCs/>
          <w:color w:val="000000"/>
          <w:lang w:eastAsia="bg-BG"/>
        </w:rPr>
      </w:pPr>
    </w:p>
    <w:p w14:paraId="0ECAC3E2" w14:textId="242888F1"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Лабораторни параметри</w:t>
      </w:r>
    </w:p>
    <w:p w14:paraId="13C96210"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При сравнение между арипипразол и плацебо по отношение на броя пациенти, при които са наблюдавани клинично значими промени в рутинните лабораторни и липидните параметри (вижте точка 5.1), не са наблюдавани клинично значими различия. Повишени нива на КФК (креатинин фосфокиназата), обикновено преходни и асимптоматични, са наблюдавани при 3.5% от па</w:t>
      </w:r>
      <w:r w:rsidRPr="00241321">
        <w:rPr>
          <w:rFonts w:eastAsia="Times New Roman" w:cs="Arial"/>
          <w:color w:val="000000"/>
          <w:u w:val="single"/>
          <w:lang w:eastAsia="bg-BG"/>
        </w:rPr>
        <w:t>циенти</w:t>
      </w:r>
      <w:r w:rsidRPr="00241321">
        <w:rPr>
          <w:rFonts w:eastAsia="Times New Roman" w:cs="Arial"/>
          <w:color w:val="000000"/>
          <w:lang w:eastAsia="bg-BG"/>
        </w:rPr>
        <w:t>те, лекувани с арипипразол, в сравнение с 2.0% от пациентите, получавали плацебо.</w:t>
      </w:r>
    </w:p>
    <w:p w14:paraId="07F741C4" w14:textId="77777777" w:rsidR="00241321" w:rsidRPr="00241321" w:rsidRDefault="00241321" w:rsidP="00241321">
      <w:pPr>
        <w:spacing w:line="240" w:lineRule="auto"/>
        <w:rPr>
          <w:rFonts w:eastAsia="Times New Roman" w:cs="Arial"/>
          <w:color w:val="000000"/>
          <w:u w:val="single"/>
          <w:lang w:eastAsia="bg-BG"/>
        </w:rPr>
      </w:pPr>
    </w:p>
    <w:p w14:paraId="2FC3B2B1" w14:textId="079F5E74" w:rsidR="00241321" w:rsidRPr="00241321" w:rsidRDefault="00241321" w:rsidP="00241321">
      <w:pPr>
        <w:spacing w:line="240" w:lineRule="auto"/>
        <w:rPr>
          <w:rFonts w:eastAsia="Times New Roman" w:cs="Arial"/>
          <w:lang w:eastAsia="bg-BG"/>
        </w:rPr>
      </w:pPr>
      <w:r w:rsidRPr="00241321">
        <w:rPr>
          <w:rFonts w:eastAsia="Times New Roman" w:cs="Arial"/>
          <w:color w:val="000000"/>
          <w:u w:val="single"/>
          <w:lang w:eastAsia="bg-BG"/>
        </w:rPr>
        <w:t>Педиатрична популация</w:t>
      </w:r>
    </w:p>
    <w:p w14:paraId="52F11ACB" w14:textId="01AAF098" w:rsidR="00241321" w:rsidRPr="0047771A" w:rsidRDefault="00241321" w:rsidP="00241321">
      <w:pPr>
        <w:spacing w:line="240" w:lineRule="auto"/>
        <w:rPr>
          <w:rFonts w:eastAsia="Times New Roman" w:cs="Arial"/>
          <w:lang w:eastAsia="bg-BG"/>
        </w:rPr>
      </w:pPr>
      <w:r w:rsidRPr="00241321">
        <w:rPr>
          <w:rFonts w:eastAsia="Times New Roman" w:cs="Arial"/>
          <w:i/>
          <w:iCs/>
          <w:color w:val="000000"/>
          <w:lang w:eastAsia="bg-BG"/>
        </w:rPr>
        <w:t>Шизофрения при юноши на и над 15 години</w:t>
      </w:r>
    </w:p>
    <w:p w14:paraId="22FB4109"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При краткосрочно плацебо контролирано клинично изпитване, включващо 302 юноши (13-17 години) с шизофрения, честотата и видът на нежеланите реакции са били сходни с тези при възрастни с изключение на следните реакции, които са съобщавани по-често при юноши, които приемат арипипразол, отколкото при възрастни, които приемат арипипразол (и по-често отколкото при плацебо): сънливост/ седиране и екстрапирамидни нарушения са съобщавани много често (≥ 1/10), а сухота в устата, повишен апетит и ортостатична хипотония са съобщавани често (≥ 1/100, &lt; 1/10).</w:t>
      </w:r>
    </w:p>
    <w:p w14:paraId="1BFAAD7F"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Профилът на безопасност при 26-седмично отворено разширено изпитване е бил сходен с този, наблюдаван в краткосрочно плацебо контролирано изпитване.</w:t>
      </w:r>
    </w:p>
    <w:p w14:paraId="7ADE8F97"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Профилът на безопасност на дългосрочно, двойно-сляпо, плацебо контролирано проучване е също сходен, с изключение на следните реакции, които се съобщават по-често, отколкото при педиатрични пациенти, приемащи плацебо: често се съобщава за намаляване на теглото, повишаване на инсулина в кръвта, аритмия и левкопения (≥ 1/100, &lt; 1/10).</w:t>
      </w:r>
    </w:p>
    <w:p w14:paraId="18328746" w14:textId="77777777" w:rsidR="00241321" w:rsidRPr="00241321" w:rsidRDefault="00241321" w:rsidP="00241321">
      <w:pPr>
        <w:spacing w:line="240" w:lineRule="auto"/>
        <w:rPr>
          <w:rFonts w:eastAsia="Times New Roman" w:cs="Arial"/>
          <w:color w:val="000000"/>
          <w:lang w:eastAsia="bg-BG"/>
        </w:rPr>
      </w:pPr>
    </w:p>
    <w:p w14:paraId="4737855F" w14:textId="252BB103"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В избрана юношеска популация с шизофрения (13-17 години) с експозиция до 2 години, честотата на ниски нива на серумен пролактин при юноши от женски пол (&lt;3 </w:t>
      </w:r>
      <w:r w:rsidRPr="00241321">
        <w:rPr>
          <w:rFonts w:eastAsia="Times New Roman" w:cs="Arial"/>
          <w:color w:val="000000"/>
          <w:lang w:val="en-US"/>
        </w:rPr>
        <w:t xml:space="preserve">ng/ml) </w:t>
      </w:r>
      <w:r w:rsidRPr="00241321">
        <w:rPr>
          <w:rFonts w:eastAsia="Times New Roman" w:cs="Arial"/>
          <w:color w:val="000000"/>
          <w:lang w:eastAsia="bg-BG"/>
        </w:rPr>
        <w:t xml:space="preserve">и мъжки пол </w:t>
      </w:r>
      <w:r w:rsidRPr="00241321">
        <w:rPr>
          <w:rFonts w:eastAsia="Times New Roman" w:cs="Arial"/>
          <w:i/>
          <w:iCs/>
          <w:color w:val="000000"/>
          <w:lang w:eastAsia="bg-BG"/>
        </w:rPr>
        <w:t>(&lt;2</w:t>
      </w:r>
      <w:r w:rsidRPr="00241321">
        <w:rPr>
          <w:rFonts w:eastAsia="Times New Roman" w:cs="Arial"/>
          <w:color w:val="000000"/>
          <w:lang w:eastAsia="bg-BG"/>
        </w:rPr>
        <w:t xml:space="preserve"> </w:t>
      </w:r>
      <w:r w:rsidRPr="00241321">
        <w:rPr>
          <w:rFonts w:eastAsia="Times New Roman" w:cs="Arial"/>
          <w:color w:val="000000"/>
          <w:lang w:val="en-US"/>
        </w:rPr>
        <w:t xml:space="preserve">ng/ml) </w:t>
      </w:r>
      <w:r w:rsidRPr="00241321">
        <w:rPr>
          <w:rFonts w:eastAsia="Times New Roman" w:cs="Arial"/>
          <w:color w:val="000000"/>
          <w:lang w:eastAsia="bg-BG"/>
        </w:rPr>
        <w:t xml:space="preserve">е била съответно 29.5% и 48.3%. В юношеската популация (13-17 години) с шизофрения, с експозиция на арипипразол от 5 </w:t>
      </w:r>
      <w:r w:rsidRPr="00241321">
        <w:rPr>
          <w:rFonts w:eastAsia="Times New Roman" w:cs="Arial"/>
          <w:color w:val="000000"/>
          <w:lang w:val="en-US"/>
        </w:rPr>
        <w:t xml:space="preserve">mg </w:t>
      </w:r>
      <w:r w:rsidRPr="00241321">
        <w:rPr>
          <w:rFonts w:eastAsia="Times New Roman" w:cs="Arial"/>
          <w:color w:val="000000"/>
          <w:lang w:eastAsia="bg-BG"/>
        </w:rPr>
        <w:t xml:space="preserve">до 30 </w:t>
      </w:r>
      <w:r w:rsidRPr="00241321">
        <w:rPr>
          <w:rFonts w:eastAsia="Times New Roman" w:cs="Arial"/>
          <w:color w:val="000000"/>
          <w:lang w:val="en-US"/>
        </w:rPr>
        <w:t xml:space="preserve">mg </w:t>
      </w:r>
      <w:r w:rsidRPr="00241321">
        <w:rPr>
          <w:rFonts w:eastAsia="Times New Roman" w:cs="Arial"/>
          <w:color w:val="000000"/>
          <w:lang w:eastAsia="bg-BG"/>
        </w:rPr>
        <w:t xml:space="preserve">в продължение на най-много 72 месеца, честотата на ниски нива на серумен пролактин при юношите от женски пол (&lt;3 </w:t>
      </w:r>
      <w:r w:rsidRPr="00241321">
        <w:rPr>
          <w:rFonts w:eastAsia="Times New Roman" w:cs="Arial"/>
          <w:color w:val="000000"/>
          <w:lang w:val="en-US"/>
        </w:rPr>
        <w:t xml:space="preserve">ng/ml) </w:t>
      </w:r>
      <w:r w:rsidRPr="00241321">
        <w:rPr>
          <w:rFonts w:eastAsia="Times New Roman" w:cs="Arial"/>
          <w:color w:val="000000"/>
          <w:lang w:eastAsia="bg-BG"/>
        </w:rPr>
        <w:t xml:space="preserve">и мъжки пол (&lt;2 </w:t>
      </w:r>
      <w:r w:rsidRPr="00241321">
        <w:rPr>
          <w:rFonts w:eastAsia="Times New Roman" w:cs="Arial"/>
          <w:color w:val="000000"/>
          <w:lang w:val="en-US"/>
        </w:rPr>
        <w:t xml:space="preserve">ng/ml) </w:t>
      </w:r>
      <w:r w:rsidRPr="00241321">
        <w:rPr>
          <w:rFonts w:eastAsia="Times New Roman" w:cs="Arial"/>
          <w:color w:val="000000"/>
          <w:lang w:eastAsia="bg-BG"/>
        </w:rPr>
        <w:t>е била съответно 25.6% и 45.0%.</w:t>
      </w:r>
    </w:p>
    <w:p w14:paraId="6D491FF7" w14:textId="77777777" w:rsidR="00241321" w:rsidRPr="00241321" w:rsidRDefault="00241321" w:rsidP="00241321">
      <w:pPr>
        <w:spacing w:line="240" w:lineRule="auto"/>
        <w:rPr>
          <w:rFonts w:eastAsia="Times New Roman" w:cs="Arial"/>
          <w:color w:val="000000"/>
          <w:lang w:eastAsia="bg-BG"/>
        </w:rPr>
      </w:pPr>
    </w:p>
    <w:p w14:paraId="38046E8B" w14:textId="657C5155"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В две дългосрочни проучвания при юноши (13-17 години) с шизофрения и пациенти с биполярно разстройство, лекувани с арипипразол, честотата на ниски серумни нива на пролактин при жени (&lt;3 </w:t>
      </w:r>
      <w:r w:rsidRPr="00241321">
        <w:rPr>
          <w:rFonts w:eastAsia="Times New Roman" w:cs="Arial"/>
          <w:color w:val="000000"/>
          <w:lang w:val="en-US"/>
        </w:rPr>
        <w:t xml:space="preserve">ng/ml) </w:t>
      </w:r>
      <w:r w:rsidRPr="00241321">
        <w:rPr>
          <w:rFonts w:eastAsia="Times New Roman" w:cs="Arial"/>
          <w:color w:val="000000"/>
          <w:lang w:eastAsia="bg-BG"/>
        </w:rPr>
        <w:t xml:space="preserve">и мъже </w:t>
      </w:r>
      <w:r w:rsidRPr="00241321">
        <w:rPr>
          <w:rFonts w:eastAsia="Times New Roman" w:cs="Arial"/>
          <w:i/>
          <w:iCs/>
          <w:color w:val="000000"/>
          <w:lang w:eastAsia="bg-BG"/>
        </w:rPr>
        <w:t>(&lt;2</w:t>
      </w:r>
      <w:r w:rsidRPr="00241321">
        <w:rPr>
          <w:rFonts w:eastAsia="Times New Roman" w:cs="Arial"/>
          <w:color w:val="000000"/>
          <w:lang w:eastAsia="bg-BG"/>
        </w:rPr>
        <w:t xml:space="preserve"> </w:t>
      </w:r>
      <w:r w:rsidRPr="00241321">
        <w:rPr>
          <w:rFonts w:eastAsia="Times New Roman" w:cs="Arial"/>
          <w:color w:val="000000"/>
          <w:lang w:val="en-US"/>
        </w:rPr>
        <w:t xml:space="preserve">ng/ ml) </w:t>
      </w:r>
      <w:r w:rsidRPr="00241321">
        <w:rPr>
          <w:rFonts w:eastAsia="Times New Roman" w:cs="Arial"/>
          <w:color w:val="000000"/>
          <w:lang w:eastAsia="bg-BG"/>
        </w:rPr>
        <w:t>е съответно 37,0% и 59,4%.</w:t>
      </w:r>
    </w:p>
    <w:p w14:paraId="4FE14132" w14:textId="77777777" w:rsidR="00241321" w:rsidRPr="00241321" w:rsidRDefault="00241321" w:rsidP="00241321">
      <w:pPr>
        <w:spacing w:line="240" w:lineRule="auto"/>
        <w:rPr>
          <w:rFonts w:eastAsia="Times New Roman" w:cs="Arial"/>
          <w:i/>
          <w:iCs/>
          <w:color w:val="000000"/>
          <w:lang w:eastAsia="bg-BG"/>
        </w:rPr>
      </w:pPr>
    </w:p>
    <w:p w14:paraId="1D11ACF4" w14:textId="295C2AC3"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Манийни епизоди при биполярно разстройство тип 1 при юноши на и над 13 години</w:t>
      </w:r>
    </w:p>
    <w:p w14:paraId="4A24DA0B"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Честотата и видът на нежелани реакции при юноши с биполярно разстройство тип I са били сходни с тези, наблюдавани при възрастни, с изключение на следните реакции: много чести (≥ 1/10) сънливост (23.0%), екстрапирамидно нарушение (18.4%), акатизия </w:t>
      </w:r>
      <w:r w:rsidRPr="00241321">
        <w:rPr>
          <w:rFonts w:eastAsia="Times New Roman" w:cs="Arial"/>
          <w:color w:val="000000"/>
          <w:lang w:eastAsia="bg-BG"/>
        </w:rPr>
        <w:lastRenderedPageBreak/>
        <w:t>(16.0%) и умора (11.8%); и чести (≥1/100,&lt; 1/10) болка в горната част на корема, ускорен пулс, увеличение на теглото, повишен апетит, потръпване на мускулите и дискинезия.</w:t>
      </w:r>
    </w:p>
    <w:p w14:paraId="7D92F3EA" w14:textId="77777777" w:rsidR="00241321" w:rsidRPr="00241321" w:rsidRDefault="00241321" w:rsidP="00241321">
      <w:pPr>
        <w:spacing w:line="240" w:lineRule="auto"/>
        <w:rPr>
          <w:rFonts w:eastAsia="Times New Roman" w:cs="Arial"/>
          <w:color w:val="000000"/>
          <w:lang w:eastAsia="bg-BG"/>
        </w:rPr>
      </w:pPr>
    </w:p>
    <w:p w14:paraId="02CDA3D4" w14:textId="0F8F0A83"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Следните нежелани реакции са имали вероятен дозозависим характер: екстрапирамидно нарушение (честота е била 10 </w:t>
      </w:r>
      <w:r w:rsidRPr="00241321">
        <w:rPr>
          <w:rFonts w:eastAsia="Times New Roman" w:cs="Arial"/>
          <w:color w:val="000000"/>
          <w:lang w:val="en-US"/>
        </w:rPr>
        <w:t xml:space="preserve">mg- </w:t>
      </w:r>
      <w:r w:rsidRPr="00241321">
        <w:rPr>
          <w:rFonts w:eastAsia="Times New Roman" w:cs="Arial"/>
          <w:color w:val="000000"/>
          <w:lang w:eastAsia="bg-BG"/>
        </w:rPr>
        <w:t xml:space="preserve">9.1%, 30 </w:t>
      </w:r>
      <w:r w:rsidRPr="00241321">
        <w:rPr>
          <w:rFonts w:eastAsia="Times New Roman" w:cs="Arial"/>
          <w:color w:val="000000"/>
          <w:lang w:val="en-US"/>
        </w:rPr>
        <w:t xml:space="preserve">mg- </w:t>
      </w:r>
      <w:r w:rsidRPr="00241321">
        <w:rPr>
          <w:rFonts w:eastAsia="Times New Roman" w:cs="Arial"/>
          <w:color w:val="000000"/>
          <w:lang w:eastAsia="bg-BG"/>
        </w:rPr>
        <w:t xml:space="preserve">28.8%, плацебо - 1.7%,); и акатизия (честота е била 10 </w:t>
      </w:r>
      <w:r w:rsidRPr="00241321">
        <w:rPr>
          <w:rFonts w:eastAsia="Times New Roman" w:cs="Arial"/>
          <w:color w:val="000000"/>
          <w:lang w:val="en-US"/>
        </w:rPr>
        <w:t xml:space="preserve">mg </w:t>
      </w:r>
      <w:r w:rsidRPr="00241321">
        <w:rPr>
          <w:rFonts w:eastAsia="Times New Roman" w:cs="Arial"/>
          <w:color w:val="000000"/>
          <w:lang w:eastAsia="bg-BG"/>
        </w:rPr>
        <w:t xml:space="preserve">- 12.1%, 30 </w:t>
      </w:r>
      <w:r w:rsidRPr="00241321">
        <w:rPr>
          <w:rFonts w:eastAsia="Times New Roman" w:cs="Arial"/>
          <w:color w:val="000000"/>
          <w:lang w:val="en-US"/>
        </w:rPr>
        <w:t xml:space="preserve">mg </w:t>
      </w:r>
      <w:r w:rsidRPr="00241321">
        <w:rPr>
          <w:rFonts w:eastAsia="Times New Roman" w:cs="Arial"/>
          <w:color w:val="000000"/>
          <w:lang w:eastAsia="bg-BG"/>
        </w:rPr>
        <w:t>- 20.3%, плацебо - 1.7%).</w:t>
      </w:r>
    </w:p>
    <w:p w14:paraId="01C1B6D1" w14:textId="77777777" w:rsidR="00241321" w:rsidRPr="00241321" w:rsidRDefault="00241321" w:rsidP="00241321">
      <w:pPr>
        <w:spacing w:line="240" w:lineRule="auto"/>
        <w:rPr>
          <w:rFonts w:eastAsia="Times New Roman" w:cs="Arial"/>
          <w:color w:val="000000"/>
          <w:lang w:eastAsia="bg-BG"/>
        </w:rPr>
      </w:pPr>
    </w:p>
    <w:p w14:paraId="2612A89A" w14:textId="09A45E48"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Средните промени в телесното тегло при юноши с биполярно разстройство тип </w:t>
      </w:r>
      <w:r w:rsidRPr="00241321">
        <w:rPr>
          <w:rFonts w:eastAsia="Times New Roman" w:cs="Arial"/>
          <w:color w:val="000000"/>
          <w:lang w:val="en-US"/>
        </w:rPr>
        <w:t>I</w:t>
      </w:r>
      <w:r w:rsidRPr="00241321">
        <w:rPr>
          <w:rFonts w:eastAsia="Times New Roman" w:cs="Arial"/>
          <w:color w:val="000000"/>
          <w:lang w:eastAsia="bg-BG"/>
        </w:rPr>
        <w:t xml:space="preserve"> на 12 и 30 седмица на арипипразол са били 2.4 </w:t>
      </w:r>
      <w:r w:rsidRPr="00241321">
        <w:rPr>
          <w:rFonts w:eastAsia="Times New Roman" w:cs="Arial"/>
          <w:color w:val="000000"/>
          <w:lang w:val="en-US"/>
        </w:rPr>
        <w:t xml:space="preserve">kg </w:t>
      </w:r>
      <w:r w:rsidRPr="00241321">
        <w:rPr>
          <w:rFonts w:eastAsia="Times New Roman" w:cs="Arial"/>
          <w:color w:val="000000"/>
          <w:lang w:eastAsia="bg-BG"/>
        </w:rPr>
        <w:t xml:space="preserve">и 5.8 </w:t>
      </w:r>
      <w:r w:rsidRPr="00241321">
        <w:rPr>
          <w:rFonts w:eastAsia="Times New Roman" w:cs="Arial"/>
          <w:color w:val="000000"/>
          <w:lang w:val="en-US"/>
        </w:rPr>
        <w:t xml:space="preserve">kg, </w:t>
      </w:r>
      <w:r w:rsidRPr="00241321">
        <w:rPr>
          <w:rFonts w:eastAsia="Times New Roman" w:cs="Arial"/>
          <w:color w:val="000000"/>
          <w:lang w:eastAsia="bg-BG"/>
        </w:rPr>
        <w:t xml:space="preserve">а за плацебо - съответно 0.2 </w:t>
      </w:r>
      <w:r w:rsidRPr="00241321">
        <w:rPr>
          <w:rFonts w:eastAsia="Times New Roman" w:cs="Arial"/>
          <w:color w:val="000000"/>
          <w:lang w:val="en-US"/>
        </w:rPr>
        <w:t xml:space="preserve">kg </w:t>
      </w:r>
      <w:r w:rsidRPr="00241321">
        <w:rPr>
          <w:rFonts w:eastAsia="Times New Roman" w:cs="Arial"/>
          <w:color w:val="000000"/>
          <w:lang w:eastAsia="bg-BG"/>
        </w:rPr>
        <w:t xml:space="preserve">и 2.3 </w:t>
      </w:r>
      <w:r w:rsidRPr="00241321">
        <w:rPr>
          <w:rFonts w:eastAsia="Times New Roman" w:cs="Arial"/>
          <w:color w:val="000000"/>
          <w:lang w:val="en-US"/>
        </w:rPr>
        <w:t>kg.</w:t>
      </w:r>
    </w:p>
    <w:p w14:paraId="11CAEAB8" w14:textId="77777777" w:rsidR="00241321" w:rsidRPr="00241321" w:rsidRDefault="00241321" w:rsidP="00241321">
      <w:pPr>
        <w:spacing w:line="240" w:lineRule="auto"/>
        <w:rPr>
          <w:rFonts w:eastAsia="Times New Roman" w:cs="Arial"/>
          <w:color w:val="000000"/>
          <w:lang w:eastAsia="bg-BG"/>
        </w:rPr>
      </w:pPr>
    </w:p>
    <w:p w14:paraId="34DAD259" w14:textId="69A248AC"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В педиатричната популация сънливост и умора са наблюдавани по-често при пациенти с биполярно разстройство в сравнение с пациенти с шизофрения.</w:t>
      </w:r>
    </w:p>
    <w:p w14:paraId="32F48515" w14:textId="77777777" w:rsidR="00241321" w:rsidRPr="00241321" w:rsidRDefault="00241321" w:rsidP="00241321">
      <w:pPr>
        <w:spacing w:line="240" w:lineRule="auto"/>
        <w:rPr>
          <w:rFonts w:eastAsia="Times New Roman" w:cs="Arial"/>
          <w:color w:val="000000"/>
          <w:lang w:eastAsia="bg-BG"/>
        </w:rPr>
      </w:pPr>
    </w:p>
    <w:p w14:paraId="49C465DD" w14:textId="7F8F2E6A"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В педиатричната популация (10-17 години) с биполярно разстройство с експозиция до най-много 30 седмици, честотата на ниски нива на серумен пролактин при юноши от женски пол (&lt;3 </w:t>
      </w:r>
      <w:r w:rsidRPr="00241321">
        <w:rPr>
          <w:rFonts w:eastAsia="Times New Roman" w:cs="Arial"/>
          <w:color w:val="000000"/>
          <w:lang w:val="en-US"/>
        </w:rPr>
        <w:t xml:space="preserve">ng/ml) </w:t>
      </w:r>
      <w:r w:rsidRPr="00241321">
        <w:rPr>
          <w:rFonts w:eastAsia="Times New Roman" w:cs="Arial"/>
          <w:color w:val="000000"/>
          <w:lang w:eastAsia="bg-BG"/>
        </w:rPr>
        <w:t xml:space="preserve">и мъжки пол (&lt;2 </w:t>
      </w:r>
      <w:r w:rsidRPr="00241321">
        <w:rPr>
          <w:rFonts w:eastAsia="Times New Roman" w:cs="Arial"/>
          <w:color w:val="000000"/>
          <w:lang w:val="en-US"/>
        </w:rPr>
        <w:t xml:space="preserve">ng/ml) </w:t>
      </w:r>
      <w:r w:rsidRPr="00241321">
        <w:rPr>
          <w:rFonts w:eastAsia="Times New Roman" w:cs="Arial"/>
          <w:color w:val="000000"/>
          <w:lang w:eastAsia="bg-BG"/>
        </w:rPr>
        <w:t>е била съответно 28.0% и 53.3%.</w:t>
      </w:r>
    </w:p>
    <w:p w14:paraId="511DF8DB" w14:textId="77777777" w:rsidR="00241321" w:rsidRPr="00241321" w:rsidRDefault="00241321" w:rsidP="00241321">
      <w:pPr>
        <w:spacing w:line="240" w:lineRule="auto"/>
        <w:rPr>
          <w:rFonts w:eastAsia="Times New Roman" w:cs="Arial"/>
          <w:i/>
          <w:iCs/>
          <w:color w:val="000000"/>
          <w:lang w:eastAsia="bg-BG"/>
        </w:rPr>
      </w:pPr>
    </w:p>
    <w:p w14:paraId="0E84BEB5" w14:textId="309B4E77"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 xml:space="preserve">Патологично влечение към хазарт и други разстройства в контрола на импулсите </w:t>
      </w:r>
    </w:p>
    <w:p w14:paraId="1594DD0E"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Възможна е поява на патологично влечение към хазарт, хиперсексуалност, компулсично пазаруване и преяждане или компулсивно преяждане при пациенти, лекувани с арипипразол (вижте точка 4.4).</w:t>
      </w:r>
    </w:p>
    <w:p w14:paraId="64FC0B91" w14:textId="77777777" w:rsidR="00241321" w:rsidRPr="00241321" w:rsidRDefault="00241321" w:rsidP="00241321">
      <w:pPr>
        <w:rPr>
          <w:rFonts w:eastAsia="Times New Roman" w:cs="Arial"/>
          <w:color w:val="000000"/>
          <w:u w:val="single"/>
          <w:lang w:eastAsia="bg-BG"/>
        </w:rPr>
      </w:pPr>
    </w:p>
    <w:p w14:paraId="16744C14" w14:textId="34549371" w:rsidR="0047771A" w:rsidRPr="00241321" w:rsidRDefault="00241321" w:rsidP="00241321">
      <w:pPr>
        <w:rPr>
          <w:rFonts w:eastAsia="Times New Roman" w:cs="Arial"/>
          <w:color w:val="000000"/>
          <w:u w:val="single"/>
          <w:lang w:eastAsia="bg-BG"/>
        </w:rPr>
      </w:pPr>
      <w:r w:rsidRPr="00241321">
        <w:rPr>
          <w:rFonts w:eastAsia="Times New Roman" w:cs="Arial"/>
          <w:color w:val="000000"/>
          <w:u w:val="single"/>
          <w:lang w:eastAsia="bg-BG"/>
        </w:rPr>
        <w:t>Съобщаване на подозирани нежелани реакции</w:t>
      </w:r>
    </w:p>
    <w:p w14:paraId="0D412711"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 риск за лекарствения продукт. От медицинските специалисти се изисква да съобщават всяка подозирана нежелана реакция чрез националната система за съобщаване:</w:t>
      </w:r>
    </w:p>
    <w:p w14:paraId="17847871"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Изпълнителна агенция по лекарствата</w:t>
      </w:r>
    </w:p>
    <w:p w14:paraId="500D428B"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ул. „Дамян Груев” № 8,</w:t>
      </w:r>
    </w:p>
    <w:p w14:paraId="27BEB0E1"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1303 София,</w:t>
      </w:r>
    </w:p>
    <w:p w14:paraId="59946E2B"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Тел.:+359 2 890 3417</w:t>
      </w:r>
    </w:p>
    <w:p w14:paraId="2E535DEF"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уебсайт: </w:t>
      </w:r>
      <w:hyperlink r:id="rId5" w:history="1">
        <w:r w:rsidRPr="00241321">
          <w:rPr>
            <w:rFonts w:eastAsia="Times New Roman" w:cs="Arial"/>
            <w:color w:val="000000"/>
            <w:u w:val="single"/>
            <w:lang w:val="en-US"/>
          </w:rPr>
          <w:t>www.bda.bg</w:t>
        </w:r>
      </w:hyperlink>
    </w:p>
    <w:p w14:paraId="2BA920C1" w14:textId="77777777" w:rsidR="00241321" w:rsidRPr="00241321" w:rsidRDefault="00241321" w:rsidP="00241321">
      <w:pPr>
        <w:rPr>
          <w:rFonts w:ascii="Times New Roman" w:eastAsia="Times New Roman" w:hAnsi="Times New Roman" w:cs="Times New Roman"/>
          <w:color w:val="000000"/>
          <w:sz w:val="20"/>
          <w:szCs w:val="20"/>
          <w:u w:val="single"/>
          <w:lang w:eastAsia="bg-BG"/>
        </w:rPr>
      </w:pPr>
    </w:p>
    <w:p w14:paraId="4A5904B1" w14:textId="72C8FF44" w:rsidR="00EE6C97" w:rsidRDefault="002C50EE" w:rsidP="00A93499">
      <w:pPr>
        <w:pStyle w:val="Heading2"/>
      </w:pPr>
      <w:r>
        <w:t>4.9. Предозиране</w:t>
      </w:r>
    </w:p>
    <w:p w14:paraId="23F5C034" w14:textId="25DB3EF8" w:rsidR="00241321" w:rsidRDefault="00241321" w:rsidP="00241321"/>
    <w:p w14:paraId="32BDDFA6" w14:textId="77777777" w:rsidR="00241321" w:rsidRPr="00241321" w:rsidRDefault="00241321" w:rsidP="00241321">
      <w:pPr>
        <w:pStyle w:val="Heading3"/>
        <w:rPr>
          <w:rFonts w:eastAsia="Times New Roman"/>
          <w:sz w:val="28"/>
          <w:szCs w:val="28"/>
          <w:u w:val="single"/>
          <w:lang w:eastAsia="bg-BG"/>
        </w:rPr>
      </w:pPr>
      <w:r w:rsidRPr="00241321">
        <w:rPr>
          <w:rFonts w:eastAsia="Times New Roman"/>
          <w:u w:val="single"/>
          <w:lang w:eastAsia="bg-BG"/>
        </w:rPr>
        <w:t>Признаци и симптоми</w:t>
      </w:r>
    </w:p>
    <w:p w14:paraId="3939AA56" w14:textId="77777777" w:rsidR="00241321" w:rsidRPr="00241321" w:rsidRDefault="00241321" w:rsidP="00241321">
      <w:pPr>
        <w:spacing w:line="240" w:lineRule="auto"/>
        <w:rPr>
          <w:rFonts w:eastAsia="Times New Roman" w:cs="Arial"/>
          <w:sz w:val="28"/>
          <w:szCs w:val="28"/>
          <w:lang w:eastAsia="bg-BG"/>
        </w:rPr>
      </w:pPr>
      <w:r w:rsidRPr="00241321">
        <w:rPr>
          <w:rFonts w:eastAsia="Times New Roman" w:cs="Arial"/>
          <w:color w:val="000000"/>
          <w:lang w:eastAsia="bg-BG"/>
        </w:rPr>
        <w:t xml:space="preserve">При клиничните проучвания и в постмаркетинговия опит е установено случайно или умишлено остро предозиране с арипипразол при възрастни с дози до 1260 </w:t>
      </w:r>
      <w:r w:rsidRPr="00241321">
        <w:rPr>
          <w:rFonts w:eastAsia="Times New Roman" w:cs="Arial"/>
          <w:color w:val="000000"/>
          <w:lang w:val="en-US"/>
        </w:rPr>
        <w:t xml:space="preserve">mg </w:t>
      </w:r>
      <w:r w:rsidRPr="00241321">
        <w:rPr>
          <w:rFonts w:eastAsia="Times New Roman" w:cs="Arial"/>
          <w:color w:val="000000"/>
          <w:lang w:eastAsia="bg-BG"/>
        </w:rPr>
        <w:t xml:space="preserve">без фатални случаи. Потенциалните клинично значими наблюдавани признаци и симптоми включват летаргия, повишено кръвно налягане, сънливост, тахикардия, гадене, повръщане и диария. В допълнение са съобщавани и случаи на случайно предозиране само с арипипразол (до 195 </w:t>
      </w:r>
      <w:r w:rsidRPr="00241321">
        <w:rPr>
          <w:rFonts w:eastAsia="Times New Roman" w:cs="Arial"/>
          <w:color w:val="000000"/>
          <w:lang w:val="en-US"/>
        </w:rPr>
        <w:t xml:space="preserve">mg) </w:t>
      </w:r>
      <w:r w:rsidRPr="00241321">
        <w:rPr>
          <w:rFonts w:eastAsia="Times New Roman" w:cs="Arial"/>
          <w:color w:val="000000"/>
          <w:lang w:eastAsia="bg-BG"/>
        </w:rPr>
        <w:t>при деца без фатални случаи. Потенциално сериозните клинични признаци и симптоми включват сънливост, преходна загуба на съзнание и екстрапирамидни симптоми.</w:t>
      </w:r>
    </w:p>
    <w:p w14:paraId="5BF2F115" w14:textId="77777777" w:rsidR="00241321" w:rsidRPr="00241321" w:rsidRDefault="00241321" w:rsidP="00241321">
      <w:pPr>
        <w:spacing w:line="240" w:lineRule="auto"/>
        <w:rPr>
          <w:rFonts w:eastAsia="Times New Roman" w:cs="Arial"/>
          <w:color w:val="000000"/>
          <w:u w:val="single"/>
          <w:lang w:eastAsia="bg-BG"/>
        </w:rPr>
      </w:pPr>
    </w:p>
    <w:p w14:paraId="74488692" w14:textId="6762FF8F" w:rsidR="00241321" w:rsidRPr="00241321" w:rsidRDefault="00241321" w:rsidP="00241321">
      <w:pPr>
        <w:pStyle w:val="Heading3"/>
        <w:rPr>
          <w:rFonts w:eastAsia="Times New Roman"/>
          <w:sz w:val="28"/>
          <w:szCs w:val="28"/>
          <w:u w:val="single"/>
          <w:lang w:eastAsia="bg-BG"/>
        </w:rPr>
      </w:pPr>
      <w:r w:rsidRPr="00241321">
        <w:rPr>
          <w:rFonts w:eastAsia="Times New Roman"/>
          <w:u w:val="single"/>
          <w:lang w:eastAsia="bg-BG"/>
        </w:rPr>
        <w:lastRenderedPageBreak/>
        <w:t>Лечение при предозиране</w:t>
      </w:r>
    </w:p>
    <w:p w14:paraId="1D5F8D5F" w14:textId="77777777" w:rsidR="00241321" w:rsidRPr="00241321" w:rsidRDefault="00241321" w:rsidP="00241321">
      <w:pPr>
        <w:spacing w:line="240" w:lineRule="auto"/>
        <w:rPr>
          <w:rFonts w:eastAsia="Times New Roman" w:cs="Arial"/>
          <w:sz w:val="28"/>
          <w:szCs w:val="28"/>
          <w:lang w:eastAsia="bg-BG"/>
        </w:rPr>
      </w:pPr>
      <w:r w:rsidRPr="00241321">
        <w:rPr>
          <w:rFonts w:eastAsia="Times New Roman" w:cs="Arial"/>
          <w:color w:val="000000"/>
          <w:lang w:eastAsia="bg-BG"/>
        </w:rPr>
        <w:t>Овладяването на предозирането трябва да включва поддържащо лечение, осигуряване проходимостта на дихателните пътища, оксигенация и вентилация и овладяване на симптомите. Трябва да бъде обмислена възможността за употреба на няколко лекарствени продукта. Поради тази причина незабавно трябва да се предприеме мониториране на сърдечно-съдовата функция, което включва непрекъснато електрокардиографско проследяване за улавяне на потенциални аритмии. След потвърдено или подозирано предозиране с арипипразол е необходимо постоянно проследяване на пациента до неговото пълно възстановяване.</w:t>
      </w:r>
    </w:p>
    <w:p w14:paraId="75BF3293" w14:textId="77777777" w:rsidR="00241321" w:rsidRPr="00241321" w:rsidRDefault="00241321" w:rsidP="00241321">
      <w:pPr>
        <w:spacing w:line="240" w:lineRule="auto"/>
        <w:rPr>
          <w:rFonts w:eastAsia="Times New Roman" w:cs="Arial"/>
          <w:sz w:val="28"/>
          <w:szCs w:val="28"/>
          <w:lang w:eastAsia="bg-BG"/>
        </w:rPr>
      </w:pPr>
      <w:r w:rsidRPr="00241321">
        <w:rPr>
          <w:rFonts w:eastAsia="Times New Roman" w:cs="Arial"/>
          <w:color w:val="000000"/>
          <w:lang w:eastAsia="bg-BG"/>
        </w:rPr>
        <w:t xml:space="preserve">Активен въглен (50 </w:t>
      </w:r>
      <w:r w:rsidRPr="00241321">
        <w:rPr>
          <w:rFonts w:eastAsia="Times New Roman" w:cs="Arial"/>
          <w:color w:val="000000"/>
          <w:lang w:val="en-US"/>
        </w:rPr>
        <w:t xml:space="preserve">g), </w:t>
      </w:r>
      <w:r w:rsidRPr="00241321">
        <w:rPr>
          <w:rFonts w:eastAsia="Times New Roman" w:cs="Arial"/>
          <w:color w:val="000000"/>
          <w:lang w:eastAsia="bg-BG"/>
        </w:rPr>
        <w:t>приложен един час след прием на арипипразол, понижава Стах на арипипразол с приблизително 51 %, което предполага, че активният въглен може да е ефективен при лечение на предозиране.</w:t>
      </w:r>
    </w:p>
    <w:p w14:paraId="2CB6C64B" w14:textId="77777777" w:rsidR="00241321" w:rsidRPr="00241321" w:rsidRDefault="00241321" w:rsidP="00241321">
      <w:pPr>
        <w:spacing w:line="240" w:lineRule="auto"/>
        <w:rPr>
          <w:rFonts w:eastAsia="Times New Roman" w:cs="Arial"/>
          <w:color w:val="000000"/>
          <w:u w:val="single"/>
          <w:lang w:eastAsia="bg-BG"/>
        </w:rPr>
      </w:pPr>
    </w:p>
    <w:p w14:paraId="43043307" w14:textId="12178E32" w:rsidR="00241321" w:rsidRPr="00241321" w:rsidRDefault="00241321" w:rsidP="00241321">
      <w:pPr>
        <w:spacing w:line="240" w:lineRule="auto"/>
        <w:rPr>
          <w:rFonts w:eastAsia="Times New Roman" w:cs="Arial"/>
          <w:sz w:val="28"/>
          <w:szCs w:val="28"/>
          <w:lang w:eastAsia="bg-BG"/>
        </w:rPr>
      </w:pPr>
      <w:r w:rsidRPr="00241321">
        <w:rPr>
          <w:rFonts w:eastAsia="Times New Roman" w:cs="Arial"/>
          <w:color w:val="000000"/>
          <w:u w:val="single"/>
          <w:lang w:eastAsia="bg-BG"/>
        </w:rPr>
        <w:t>Хемодиализа</w:t>
      </w:r>
    </w:p>
    <w:p w14:paraId="132676AD" w14:textId="77777777" w:rsidR="00241321" w:rsidRPr="00241321" w:rsidRDefault="00241321" w:rsidP="00241321">
      <w:pPr>
        <w:spacing w:line="240" w:lineRule="auto"/>
        <w:rPr>
          <w:rFonts w:ascii="Times New Roman" w:eastAsia="Times New Roman" w:hAnsi="Times New Roman" w:cs="Times New Roman"/>
          <w:sz w:val="24"/>
          <w:szCs w:val="24"/>
          <w:lang w:eastAsia="bg-BG"/>
        </w:rPr>
      </w:pPr>
      <w:r w:rsidRPr="00241321">
        <w:rPr>
          <w:rFonts w:eastAsia="Times New Roman" w:cs="Arial"/>
          <w:color w:val="000000"/>
          <w:lang w:eastAsia="bg-BG"/>
        </w:rPr>
        <w:t>Въпреки че няма данни за ефекта на хемодиализата при лечение на предозиране с арипипразол, не се очаква хемодиализата да бъде полезна в случая, тъй като арипипразол се свързва във висока степен с плазмените протеини.</w:t>
      </w:r>
    </w:p>
    <w:p w14:paraId="670B6CC9" w14:textId="77777777" w:rsidR="00241321" w:rsidRPr="00241321" w:rsidRDefault="00241321" w:rsidP="00241321"/>
    <w:p w14:paraId="02081B24" w14:textId="36FE76F4" w:rsidR="00395555" w:rsidRPr="00395555" w:rsidRDefault="002C50EE" w:rsidP="008A6AF2">
      <w:pPr>
        <w:pStyle w:val="Heading1"/>
      </w:pPr>
      <w:r>
        <w:t>5. ФАРМАКОЛОГИЧНИ СВОЙСТВА</w:t>
      </w:r>
    </w:p>
    <w:p w14:paraId="3B9FA2B5" w14:textId="339B48E3" w:rsidR="00EE6C97" w:rsidRDefault="002C50EE" w:rsidP="00A93499">
      <w:pPr>
        <w:pStyle w:val="Heading2"/>
      </w:pPr>
      <w:r>
        <w:t>5.1. Фармакодинамични свойства</w:t>
      </w:r>
    </w:p>
    <w:p w14:paraId="67480960" w14:textId="519C8AB4" w:rsidR="00241321" w:rsidRDefault="00241321" w:rsidP="00241321"/>
    <w:p w14:paraId="1ACDC8E0"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Фармакотерапевтична група: други антипсихотици, АТС код: </w:t>
      </w:r>
      <w:r w:rsidRPr="00241321">
        <w:rPr>
          <w:rFonts w:eastAsia="Times New Roman" w:cs="Arial"/>
          <w:color w:val="000000"/>
          <w:lang w:val="en-US"/>
        </w:rPr>
        <w:t>N05AX12</w:t>
      </w:r>
    </w:p>
    <w:p w14:paraId="1B9410B1" w14:textId="77777777" w:rsidR="00241321" w:rsidRPr="00241321" w:rsidRDefault="00241321" w:rsidP="00241321">
      <w:pPr>
        <w:spacing w:line="240" w:lineRule="auto"/>
        <w:rPr>
          <w:rFonts w:eastAsia="Times New Roman" w:cs="Arial"/>
          <w:color w:val="000000"/>
          <w:u w:val="single"/>
          <w:lang w:eastAsia="bg-BG"/>
        </w:rPr>
      </w:pPr>
    </w:p>
    <w:p w14:paraId="639FEDF9" w14:textId="26801AE2" w:rsidR="00241321" w:rsidRPr="00241321" w:rsidRDefault="00241321" w:rsidP="00241321">
      <w:pPr>
        <w:spacing w:line="240" w:lineRule="auto"/>
        <w:rPr>
          <w:rFonts w:eastAsia="Times New Roman" w:cs="Arial"/>
          <w:lang w:eastAsia="bg-BG"/>
        </w:rPr>
      </w:pPr>
      <w:r w:rsidRPr="00241321">
        <w:rPr>
          <w:rFonts w:eastAsia="Times New Roman" w:cs="Arial"/>
          <w:color w:val="000000"/>
          <w:u w:val="single"/>
          <w:lang w:eastAsia="bg-BG"/>
        </w:rPr>
        <w:t>Механизъм на действие</w:t>
      </w:r>
    </w:p>
    <w:p w14:paraId="097956EE"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Предполага се, че ефикасността на арипипразол при шизофрения и биполярно разстройство тип </w:t>
      </w:r>
      <w:r w:rsidRPr="00241321">
        <w:rPr>
          <w:rFonts w:eastAsia="Times New Roman" w:cs="Arial"/>
          <w:color w:val="000000"/>
          <w:lang w:val="en-US"/>
        </w:rPr>
        <w:t>I</w:t>
      </w:r>
      <w:r w:rsidRPr="00241321">
        <w:rPr>
          <w:rFonts w:eastAsia="Times New Roman" w:cs="Arial"/>
          <w:color w:val="000000"/>
          <w:lang w:eastAsia="bg-BG"/>
        </w:rPr>
        <w:t xml:space="preserve"> се дължи на комбинацията от частичен агонизъм спрямо допаминовите </w:t>
      </w:r>
      <w:r w:rsidRPr="00241321">
        <w:rPr>
          <w:rFonts w:eastAsia="Times New Roman" w:cs="Arial"/>
          <w:color w:val="000000"/>
          <w:lang w:val="en-US"/>
        </w:rPr>
        <w:t xml:space="preserve">D2 </w:t>
      </w:r>
      <w:r w:rsidRPr="00241321">
        <w:rPr>
          <w:rFonts w:eastAsia="Times New Roman" w:cs="Arial"/>
          <w:color w:val="000000"/>
          <w:lang w:eastAsia="bg-BG"/>
        </w:rPr>
        <w:t xml:space="preserve">и серотониновите 5-НТ1А рецептори и антагонизъм спрямо серотониновите 5-НТ2А рецептори. Арипипразол проявява антагонистични свойства при животински модели с допаминергична хиперактивност и агонистични свойства при животински модели с допаминергична хипоактивност. Арипипразол проявява висок афинитет на свързване </w:t>
      </w:r>
      <w:r w:rsidRPr="00241321">
        <w:rPr>
          <w:rFonts w:eastAsia="Times New Roman" w:cs="Arial"/>
          <w:i/>
          <w:iCs/>
          <w:color w:val="000000"/>
          <w:lang w:val="en-US"/>
        </w:rPr>
        <w:t>in vitro</w:t>
      </w:r>
      <w:r w:rsidRPr="00241321">
        <w:rPr>
          <w:rFonts w:eastAsia="Times New Roman" w:cs="Arial"/>
          <w:color w:val="000000"/>
          <w:lang w:val="en-US"/>
        </w:rPr>
        <w:t xml:space="preserve"> </w:t>
      </w:r>
      <w:r w:rsidRPr="00241321">
        <w:rPr>
          <w:rFonts w:eastAsia="Times New Roman" w:cs="Arial"/>
          <w:color w:val="000000"/>
          <w:lang w:eastAsia="bg-BG"/>
        </w:rPr>
        <w:t xml:space="preserve">с допаминовите </w:t>
      </w:r>
      <w:r w:rsidRPr="00241321">
        <w:rPr>
          <w:rFonts w:eastAsia="Times New Roman" w:cs="Arial"/>
          <w:color w:val="000000"/>
          <w:lang w:val="en-US"/>
        </w:rPr>
        <w:t xml:space="preserve">D2 </w:t>
      </w:r>
      <w:r w:rsidRPr="00241321">
        <w:rPr>
          <w:rFonts w:eastAsia="Times New Roman" w:cs="Arial"/>
          <w:color w:val="000000"/>
          <w:lang w:eastAsia="bg-BG"/>
        </w:rPr>
        <w:t xml:space="preserve">и </w:t>
      </w:r>
      <w:r w:rsidRPr="00241321">
        <w:rPr>
          <w:rFonts w:eastAsia="Times New Roman" w:cs="Arial"/>
          <w:color w:val="000000"/>
          <w:lang w:val="en-US"/>
        </w:rPr>
        <w:t xml:space="preserve">D3, </w:t>
      </w:r>
      <w:r w:rsidRPr="00241321">
        <w:rPr>
          <w:rFonts w:eastAsia="Times New Roman" w:cs="Arial"/>
          <w:color w:val="000000"/>
          <w:lang w:eastAsia="bg-BG"/>
        </w:rPr>
        <w:t>серотониновите 5 -</w:t>
      </w:r>
      <w:r w:rsidRPr="00241321">
        <w:rPr>
          <w:rFonts w:eastAsia="Times New Roman" w:cs="Arial"/>
          <w:color w:val="000000"/>
          <w:lang w:val="en-US"/>
        </w:rPr>
        <w:t xml:space="preserve">HT1A </w:t>
      </w:r>
      <w:r w:rsidRPr="00241321">
        <w:rPr>
          <w:rFonts w:eastAsia="Times New Roman" w:cs="Arial"/>
          <w:color w:val="000000"/>
          <w:lang w:eastAsia="bg-BG"/>
        </w:rPr>
        <w:t>и 5-</w:t>
      </w:r>
      <w:r w:rsidRPr="00241321">
        <w:rPr>
          <w:rFonts w:eastAsia="Times New Roman" w:cs="Arial"/>
          <w:color w:val="000000"/>
          <w:lang w:val="en-US"/>
        </w:rPr>
        <w:t>HT2A</w:t>
      </w:r>
    </w:p>
    <w:p w14:paraId="34F95A1D" w14:textId="77777777" w:rsidR="00241321" w:rsidRPr="00241321" w:rsidRDefault="00241321" w:rsidP="00241321">
      <w:pPr>
        <w:rPr>
          <w:rFonts w:eastAsia="Times New Roman" w:cs="Arial"/>
          <w:lang w:eastAsia="bg-BG"/>
        </w:rPr>
      </w:pPr>
      <w:r w:rsidRPr="00241321">
        <w:rPr>
          <w:rFonts w:eastAsia="Times New Roman" w:cs="Arial"/>
          <w:color w:val="000000"/>
          <w:lang w:eastAsia="bg-BG"/>
        </w:rPr>
        <w:t xml:space="preserve">рецептори и умерен афинитет спрямо допаминовите </w:t>
      </w:r>
      <w:r w:rsidRPr="00241321">
        <w:rPr>
          <w:rFonts w:eastAsia="Times New Roman" w:cs="Arial"/>
          <w:color w:val="000000"/>
          <w:lang w:val="en-US"/>
        </w:rPr>
        <w:t xml:space="preserve">D4, </w:t>
      </w:r>
      <w:r w:rsidRPr="00241321">
        <w:rPr>
          <w:rFonts w:eastAsia="Times New Roman" w:cs="Arial"/>
          <w:color w:val="000000"/>
          <w:lang w:eastAsia="bg-BG"/>
        </w:rPr>
        <w:t>серотониновите 5-НТ2С</w:t>
      </w:r>
      <w:r w:rsidRPr="00241321">
        <w:rPr>
          <w:rFonts w:eastAsia="Times New Roman" w:cs="Arial"/>
          <w:color w:val="000000"/>
          <w:lang w:val="en-US"/>
        </w:rPr>
        <w:t xml:space="preserve"> </w:t>
      </w:r>
      <w:r w:rsidRPr="00241321">
        <w:rPr>
          <w:rFonts w:eastAsia="Times New Roman" w:cs="Arial"/>
          <w:color w:val="000000"/>
          <w:lang w:eastAsia="bg-BG"/>
        </w:rPr>
        <w:t>и 5-</w:t>
      </w:r>
      <w:r w:rsidRPr="00241321">
        <w:rPr>
          <w:rFonts w:eastAsia="Times New Roman" w:cs="Arial"/>
          <w:color w:val="000000"/>
          <w:lang w:val="en-US"/>
        </w:rPr>
        <w:t xml:space="preserve">HT7, </w:t>
      </w:r>
      <w:r w:rsidRPr="00241321">
        <w:rPr>
          <w:rFonts w:eastAsia="Times New Roman" w:cs="Arial"/>
          <w:color w:val="000000"/>
          <w:lang w:eastAsia="bg-BG"/>
        </w:rPr>
        <w:t>алфа-1 адренергичните и Н1 хистаминови рецептори. Арипипразол проявява и умерен афинитет към</w:t>
      </w:r>
      <w:r w:rsidRPr="00241321">
        <w:rPr>
          <w:rFonts w:eastAsia="Times New Roman" w:cs="Arial"/>
          <w:color w:val="000000"/>
          <w:lang w:eastAsia="bg-BG"/>
        </w:rPr>
        <w:t xml:space="preserve"> </w:t>
      </w:r>
      <w:r w:rsidRPr="00241321">
        <w:rPr>
          <w:rFonts w:eastAsia="Times New Roman" w:cs="Arial"/>
          <w:color w:val="000000"/>
          <w:lang w:eastAsia="bg-BG"/>
        </w:rPr>
        <w:t>местата на обратно поемане на серотонин и незначителен ефект към мускариновите рецептори. Взаимодействието с рецептори, различни от допаминовите и серотониновите подтипове може да обясни някои от останалите клинични ефекти на арипипразол.</w:t>
      </w:r>
    </w:p>
    <w:p w14:paraId="5D02D3F7"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Дози арипипразол в диапазона 0.5 </w:t>
      </w:r>
      <w:r w:rsidRPr="00241321">
        <w:rPr>
          <w:rFonts w:eastAsia="Times New Roman" w:cs="Arial"/>
          <w:color w:val="000000"/>
          <w:lang w:val="en-US"/>
        </w:rPr>
        <w:t xml:space="preserve">mg </w:t>
      </w:r>
      <w:r w:rsidRPr="00241321">
        <w:rPr>
          <w:rFonts w:eastAsia="Times New Roman" w:cs="Arial"/>
          <w:color w:val="000000"/>
          <w:lang w:eastAsia="bg-BG"/>
        </w:rPr>
        <w:t xml:space="preserve">- 30 </w:t>
      </w:r>
      <w:r w:rsidRPr="00241321">
        <w:rPr>
          <w:rFonts w:eastAsia="Times New Roman" w:cs="Arial"/>
          <w:color w:val="000000"/>
          <w:lang w:val="en-US"/>
        </w:rPr>
        <w:t xml:space="preserve">mg, </w:t>
      </w:r>
      <w:r w:rsidRPr="00241321">
        <w:rPr>
          <w:rFonts w:eastAsia="Times New Roman" w:cs="Arial"/>
          <w:color w:val="000000"/>
          <w:lang w:eastAsia="bg-BG"/>
        </w:rPr>
        <w:t>приемани веднъж дневно от здрави субекти в продължение на 2 седмици са предизвикали дозо-зависимо понижение в свързването на 11</w:t>
      </w:r>
      <w:r w:rsidRPr="00241321">
        <w:rPr>
          <w:rFonts w:eastAsia="Times New Roman" w:cs="Arial"/>
          <w:color w:val="000000"/>
          <w:lang w:val="en-US"/>
        </w:rPr>
        <w:t>C</w:t>
      </w:r>
      <w:r w:rsidRPr="00241321">
        <w:rPr>
          <w:rFonts w:eastAsia="Times New Roman" w:cs="Arial"/>
          <w:color w:val="000000"/>
          <w:lang w:eastAsia="bg-BG"/>
        </w:rPr>
        <w:t xml:space="preserve">- раклоприд, специфичен </w:t>
      </w:r>
      <w:r w:rsidRPr="00241321">
        <w:rPr>
          <w:rFonts w:eastAsia="Times New Roman" w:cs="Arial"/>
          <w:color w:val="000000"/>
          <w:lang w:val="en-US"/>
        </w:rPr>
        <w:t xml:space="preserve">D2/D3 </w:t>
      </w:r>
      <w:r w:rsidRPr="00241321">
        <w:rPr>
          <w:rFonts w:eastAsia="Times New Roman" w:cs="Arial"/>
          <w:color w:val="000000"/>
          <w:lang w:eastAsia="bg-BG"/>
        </w:rPr>
        <w:t>рецепторен лиганд в областта на опашката и путамена, установено с помощта на позитронна емисионна томография.</w:t>
      </w:r>
    </w:p>
    <w:p w14:paraId="36B2668F" w14:textId="77777777" w:rsidR="00241321" w:rsidRPr="00241321" w:rsidRDefault="00241321" w:rsidP="00241321">
      <w:pPr>
        <w:spacing w:line="240" w:lineRule="auto"/>
        <w:rPr>
          <w:rFonts w:eastAsia="Times New Roman" w:cs="Arial"/>
          <w:color w:val="000000"/>
          <w:u w:val="single"/>
          <w:lang w:eastAsia="bg-BG"/>
        </w:rPr>
      </w:pPr>
    </w:p>
    <w:p w14:paraId="508A84DE" w14:textId="6447EF40" w:rsidR="00241321" w:rsidRPr="00241321" w:rsidRDefault="00241321" w:rsidP="00241321">
      <w:pPr>
        <w:spacing w:line="240" w:lineRule="auto"/>
        <w:rPr>
          <w:rFonts w:eastAsia="Times New Roman" w:cs="Arial"/>
          <w:lang w:eastAsia="bg-BG"/>
        </w:rPr>
      </w:pPr>
      <w:r w:rsidRPr="00241321">
        <w:rPr>
          <w:rFonts w:eastAsia="Times New Roman" w:cs="Arial"/>
          <w:color w:val="000000"/>
          <w:u w:val="single"/>
          <w:lang w:eastAsia="bg-BG"/>
        </w:rPr>
        <w:t>Клинична ефикасност и безопасност</w:t>
      </w:r>
    </w:p>
    <w:p w14:paraId="6D182631" w14:textId="77777777" w:rsidR="00241321" w:rsidRPr="00241321" w:rsidRDefault="00241321" w:rsidP="00241321">
      <w:pPr>
        <w:spacing w:line="240" w:lineRule="auto"/>
        <w:rPr>
          <w:rFonts w:eastAsia="Times New Roman" w:cs="Arial"/>
          <w:lang w:eastAsia="bg-BG"/>
        </w:rPr>
      </w:pPr>
      <w:r w:rsidRPr="00241321">
        <w:rPr>
          <w:rFonts w:eastAsia="Times New Roman" w:cs="Arial"/>
          <w:i/>
          <w:iCs/>
          <w:color w:val="000000"/>
          <w:u w:val="single"/>
          <w:lang w:eastAsia="bg-BG"/>
        </w:rPr>
        <w:t>Възрастни</w:t>
      </w:r>
    </w:p>
    <w:p w14:paraId="527E1512" w14:textId="77777777"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Шизофрения</w:t>
      </w:r>
    </w:p>
    <w:p w14:paraId="49FB2356"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При три краткосрочни (4 до 6 седмици) плацебо контролирани проучвания, включващи 1 228 възрастни пациента с шизофрения, проявяваща се с позитивни или негативни </w:t>
      </w:r>
      <w:r w:rsidRPr="00241321">
        <w:rPr>
          <w:rFonts w:eastAsia="Times New Roman" w:cs="Arial"/>
          <w:color w:val="000000"/>
          <w:lang w:eastAsia="bg-BG"/>
        </w:rPr>
        <w:lastRenderedPageBreak/>
        <w:t>симптоми, арипипразол се асоциира със статистически значимо по-голямо подобрение на психичните симптоми в сравнение с плацебо.</w:t>
      </w:r>
    </w:p>
    <w:p w14:paraId="4AC043A3" w14:textId="77777777" w:rsidR="00241321" w:rsidRPr="00241321" w:rsidRDefault="00241321" w:rsidP="00241321">
      <w:pPr>
        <w:spacing w:line="240" w:lineRule="auto"/>
        <w:rPr>
          <w:rFonts w:eastAsia="Times New Roman" w:cs="Arial"/>
          <w:color w:val="000000"/>
          <w:lang w:eastAsia="bg-BG"/>
        </w:rPr>
      </w:pPr>
    </w:p>
    <w:p w14:paraId="4287853D" w14:textId="75153C89"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Арипипразол е ефективен по отношение на запазване на клиничното подобрение при продължително лечение на възрастни пациети, показали отговор при започване на лечението. При халоперидол контролирано проучване броят на пациентите, при които отговорът спрямо лекарствения продукт се е запазил в продължение на 52 седмици е сходен при двете групи (арипипразол 77% и халоперидол 73%). Броят на пациентите, завършили проучването е значително по-висок при пациентите на арипипразол (43%) в сравнение с халоперидол (30%). Резултатите от скалите, използвани за проследяване на вторичните критерии, включително </w:t>
      </w:r>
      <w:r w:rsidRPr="00241321">
        <w:rPr>
          <w:rFonts w:eastAsia="Times New Roman" w:cs="Arial"/>
          <w:color w:val="000000"/>
          <w:lang w:val="en-US"/>
        </w:rPr>
        <w:t xml:space="preserve">PANSS </w:t>
      </w:r>
      <w:r w:rsidRPr="00241321">
        <w:rPr>
          <w:rFonts w:eastAsia="Times New Roman" w:cs="Arial"/>
          <w:color w:val="000000"/>
          <w:lang w:eastAsia="bg-BG"/>
        </w:rPr>
        <w:t xml:space="preserve">и </w:t>
      </w:r>
      <w:r w:rsidRPr="00241321">
        <w:rPr>
          <w:rFonts w:eastAsia="Times New Roman" w:cs="Arial"/>
          <w:color w:val="000000"/>
          <w:lang w:val="en-US"/>
        </w:rPr>
        <w:t xml:space="preserve">Montgomery- </w:t>
      </w:r>
      <w:proofErr w:type="spellStart"/>
      <w:r w:rsidRPr="00241321">
        <w:rPr>
          <w:rFonts w:eastAsia="Times New Roman" w:cs="Arial"/>
          <w:color w:val="000000"/>
          <w:lang w:val="en-US"/>
        </w:rPr>
        <w:t>Asberg</w:t>
      </w:r>
      <w:proofErr w:type="spellEnd"/>
      <w:r w:rsidRPr="00241321">
        <w:rPr>
          <w:rFonts w:eastAsia="Times New Roman" w:cs="Arial"/>
          <w:color w:val="000000"/>
          <w:lang w:val="en-US"/>
        </w:rPr>
        <w:t xml:space="preserve"> Depression Rating Scale (MADRS) </w:t>
      </w:r>
      <w:r w:rsidRPr="00241321">
        <w:rPr>
          <w:rFonts w:eastAsia="Times New Roman" w:cs="Arial"/>
          <w:color w:val="000000"/>
          <w:lang w:eastAsia="bg-BG"/>
        </w:rPr>
        <w:t>показват значително подобрение спрямо халоперидол.</w:t>
      </w:r>
    </w:p>
    <w:p w14:paraId="20A90416" w14:textId="77777777" w:rsidR="00241321" w:rsidRPr="00241321" w:rsidRDefault="00241321" w:rsidP="00241321">
      <w:pPr>
        <w:spacing w:line="240" w:lineRule="auto"/>
        <w:rPr>
          <w:rFonts w:eastAsia="Times New Roman" w:cs="Arial"/>
          <w:color w:val="000000"/>
          <w:lang w:eastAsia="bg-BG"/>
        </w:rPr>
      </w:pPr>
    </w:p>
    <w:p w14:paraId="640F5DAF" w14:textId="4CEFA565"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При 26-седмично, плацебо контролирано проучване при стабилизирани възрастни пациенти с хронична шизофрения, арипипразол е показал значително по-голямо редуциране на честотата на пристъпите, 34% в групата на арипипразол и 57% при плацебо.</w:t>
      </w:r>
    </w:p>
    <w:p w14:paraId="41ED2CCC" w14:textId="77777777" w:rsidR="00241321" w:rsidRPr="00241321" w:rsidRDefault="00241321" w:rsidP="00241321">
      <w:pPr>
        <w:spacing w:line="240" w:lineRule="auto"/>
        <w:rPr>
          <w:rFonts w:eastAsia="Times New Roman" w:cs="Arial"/>
          <w:i/>
          <w:iCs/>
          <w:color w:val="000000"/>
          <w:lang w:eastAsia="bg-BG"/>
        </w:rPr>
      </w:pPr>
    </w:p>
    <w:p w14:paraId="3C89EB53" w14:textId="7ADE6C49"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Увеличение на теглото</w:t>
      </w:r>
    </w:p>
    <w:p w14:paraId="1215A672" w14:textId="0F0E8528"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При клиничните проучвания арипипразол не води до клинично значимо повишение на теглото. При 26-седмнчно, оланазапин контролирано, двойносляпо, мултинационално проучване на шизофренията, включващо 314 възастни пациенти и увеличение на теглото като първична крайна точка, съществено по-малък брой пациенти са имали минимално 7% увеличение на теглото от изходните стойности (например, увеличение на теглото с поне 5.6 кг при средно изходно ниво -80.5 кг) при арипипразол </w:t>
      </w:r>
      <w:r w:rsidRPr="00241321">
        <w:rPr>
          <w:rFonts w:eastAsia="Times New Roman" w:cs="Arial"/>
          <w:color w:val="000000"/>
          <w:lang w:val="en-US"/>
        </w:rPr>
        <w:t xml:space="preserve">(N= </w:t>
      </w:r>
      <w:r w:rsidRPr="00241321">
        <w:rPr>
          <w:rFonts w:eastAsia="Times New Roman" w:cs="Arial"/>
          <w:color w:val="000000"/>
          <w:lang w:eastAsia="bg-BG"/>
        </w:rPr>
        <w:t xml:space="preserve">18, или 13% от оценяваните пациенти) в сравнение с оланзапин </w:t>
      </w:r>
      <w:r w:rsidRPr="00241321">
        <w:rPr>
          <w:rFonts w:eastAsia="Times New Roman" w:cs="Arial"/>
          <w:color w:val="000000"/>
          <w:lang w:val="en-US"/>
        </w:rPr>
        <w:t xml:space="preserve">(N= </w:t>
      </w:r>
      <w:r w:rsidRPr="00241321">
        <w:rPr>
          <w:rFonts w:eastAsia="Times New Roman" w:cs="Arial"/>
          <w:color w:val="000000"/>
          <w:lang w:eastAsia="bg-BG"/>
        </w:rPr>
        <w:t>45, или 33% от оценяваните пациенти).</w:t>
      </w:r>
    </w:p>
    <w:p w14:paraId="1C5EA905" w14:textId="77777777" w:rsidR="00241321" w:rsidRPr="00241321" w:rsidRDefault="00241321" w:rsidP="00241321">
      <w:pPr>
        <w:spacing w:line="240" w:lineRule="auto"/>
        <w:rPr>
          <w:rFonts w:eastAsia="Times New Roman" w:cs="Arial"/>
          <w:i/>
          <w:iCs/>
          <w:color w:val="000000"/>
          <w:lang w:eastAsia="bg-BG"/>
        </w:rPr>
      </w:pPr>
    </w:p>
    <w:p w14:paraId="639F2E57" w14:textId="42DC66C0"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Липидни параметри</w:t>
      </w:r>
    </w:p>
    <w:p w14:paraId="3235181A" w14:textId="77777777" w:rsidR="00241321" w:rsidRPr="00241321" w:rsidRDefault="00241321" w:rsidP="00241321">
      <w:pPr>
        <w:spacing w:line="240" w:lineRule="auto"/>
        <w:rPr>
          <w:rFonts w:eastAsia="Times New Roman" w:cs="Arial"/>
          <w:color w:val="000000"/>
          <w:lang w:eastAsia="bg-BG"/>
        </w:rPr>
      </w:pPr>
      <w:r w:rsidRPr="00241321">
        <w:rPr>
          <w:rFonts w:eastAsia="Times New Roman" w:cs="Arial"/>
          <w:color w:val="000000"/>
          <w:lang w:eastAsia="bg-BG"/>
        </w:rPr>
        <w:t xml:space="preserve">В обобщен анализ на липидните параметри от плацебо контролираните клинични проучвания при възрастни няма данни, че арипипразол причинява клинично значими промени в нивата на общия холестерол, </w:t>
      </w:r>
    </w:p>
    <w:p w14:paraId="6CC1B205" w14:textId="7686F36A"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триглицеридите, липопротеините с висока плътност </w:t>
      </w:r>
      <w:r w:rsidRPr="00241321">
        <w:rPr>
          <w:rFonts w:eastAsia="Times New Roman" w:cs="Arial"/>
          <w:color w:val="000000"/>
          <w:lang w:val="en-US"/>
        </w:rPr>
        <w:t xml:space="preserve">(HDL) </w:t>
      </w:r>
      <w:r w:rsidRPr="00241321">
        <w:rPr>
          <w:rFonts w:eastAsia="Times New Roman" w:cs="Arial"/>
          <w:color w:val="000000"/>
          <w:lang w:eastAsia="bg-BG"/>
        </w:rPr>
        <w:t xml:space="preserve">и липопротеините с ниска плътност </w:t>
      </w:r>
      <w:r w:rsidRPr="00241321">
        <w:rPr>
          <w:rFonts w:eastAsia="Times New Roman" w:cs="Arial"/>
          <w:color w:val="000000"/>
          <w:lang w:val="en-US"/>
        </w:rPr>
        <w:t>(LDL).</w:t>
      </w:r>
    </w:p>
    <w:p w14:paraId="73847677" w14:textId="77777777" w:rsidR="00241321" w:rsidRPr="00241321" w:rsidRDefault="00241321" w:rsidP="00241321">
      <w:pPr>
        <w:spacing w:line="240" w:lineRule="auto"/>
        <w:rPr>
          <w:rFonts w:eastAsia="Times New Roman" w:cs="Arial"/>
          <w:i/>
          <w:iCs/>
          <w:color w:val="000000"/>
          <w:lang w:eastAsia="bg-BG"/>
        </w:rPr>
      </w:pPr>
    </w:p>
    <w:p w14:paraId="5DD751AA" w14:textId="39EA7B2E"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Пролактин</w:t>
      </w:r>
    </w:p>
    <w:p w14:paraId="2864DDAC" w14:textId="3BC19C81" w:rsidR="00241321" w:rsidRPr="00241321" w:rsidRDefault="00241321" w:rsidP="00241321">
      <w:pPr>
        <w:spacing w:line="240" w:lineRule="auto"/>
        <w:rPr>
          <w:rFonts w:eastAsia="Times New Roman" w:cs="Arial"/>
          <w:color w:val="000000"/>
          <w:lang w:eastAsia="bg-BG"/>
        </w:rPr>
      </w:pPr>
      <w:r w:rsidRPr="00241321">
        <w:rPr>
          <w:rFonts w:eastAsia="Times New Roman" w:cs="Arial"/>
          <w:color w:val="000000"/>
          <w:lang w:eastAsia="bg-BG"/>
        </w:rPr>
        <w:t>Нивата на пролактин са оценявани във всички проучвания за всички дози арипипразол (</w:t>
      </w:r>
      <w:r w:rsidRPr="00241321">
        <w:rPr>
          <w:rFonts w:eastAsia="Times New Roman" w:cs="Arial"/>
          <w:color w:val="000000"/>
          <w:lang w:val="en-US"/>
        </w:rPr>
        <w:t>n</w:t>
      </w:r>
      <w:r w:rsidRPr="00241321">
        <w:rPr>
          <w:rFonts w:eastAsia="Times New Roman" w:cs="Arial"/>
          <w:color w:val="000000"/>
          <w:lang w:eastAsia="bg-BG"/>
        </w:rPr>
        <w:t>=28,242). Случаите на хиперпролактинемия или увеличаване на серумния пролактин при пациенти, лекувани с арипипразол (0,3%) са равни на тези при плацебо (0,2%). При пациенти,</w:t>
      </w:r>
      <w:r w:rsidRPr="00241321">
        <w:rPr>
          <w:rFonts w:eastAsia="Times New Roman" w:cs="Arial"/>
          <w:color w:val="000000"/>
          <w:lang w:val="en-US"/>
        </w:rPr>
        <w:t xml:space="preserve"> </w:t>
      </w:r>
      <w:r w:rsidRPr="00241321">
        <w:rPr>
          <w:rFonts w:eastAsia="Times New Roman" w:cs="Arial"/>
          <w:color w:val="000000"/>
          <w:lang w:eastAsia="bg-BG"/>
        </w:rPr>
        <w:t>които приемат арипипразол, медианата на времето до настъпване на ефект е 42 дни, а медианата на продължителността на ефекта е 34 дни.</w:t>
      </w:r>
    </w:p>
    <w:p w14:paraId="0D9DE2A6" w14:textId="7D0CAF5A" w:rsidR="00241321" w:rsidRPr="00241321" w:rsidRDefault="00241321" w:rsidP="00241321">
      <w:pPr>
        <w:spacing w:line="240" w:lineRule="auto"/>
        <w:rPr>
          <w:rFonts w:eastAsia="Times New Roman" w:cs="Arial"/>
          <w:color w:val="000000"/>
          <w:lang w:eastAsia="bg-BG"/>
        </w:rPr>
      </w:pPr>
    </w:p>
    <w:p w14:paraId="08A2FAA2"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Случаите на хипопролактинемия или намаляване на серумния пролактин при пациенти, лекувани с арипипразол са 0,4% в сравнение с 0,02% при пациенти, лекувани с плацебо. При пациенти, получаващи арипипразол, медианата на времето до настъпване на ефект е 30 дни, а медианата на продължителността на ефекта е 194 дни.</w:t>
      </w:r>
    </w:p>
    <w:p w14:paraId="011BC28B" w14:textId="77777777" w:rsidR="00241321" w:rsidRPr="00241321" w:rsidRDefault="00241321" w:rsidP="00241321">
      <w:pPr>
        <w:spacing w:line="240" w:lineRule="auto"/>
        <w:rPr>
          <w:rFonts w:eastAsia="Times New Roman" w:cs="Arial"/>
          <w:i/>
          <w:iCs/>
          <w:color w:val="000000"/>
          <w:lang w:eastAsia="bg-BG"/>
        </w:rPr>
      </w:pPr>
    </w:p>
    <w:p w14:paraId="6F75DB9C" w14:textId="7BA4ECC2"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Манийни епизоди при биполярно разстройство тип I</w:t>
      </w:r>
    </w:p>
    <w:p w14:paraId="1776E9CF"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При две 3-седмични, плацебо контролирани изпитвания на монотерапия с променливи дози при пациенти с маниен или смесен епизод на биполярно разстройство тип I арипипразол е показал по- висока ефикасност спрямо плацебо при намаляване на </w:t>
      </w:r>
      <w:r w:rsidRPr="00241321">
        <w:rPr>
          <w:rFonts w:eastAsia="Times New Roman" w:cs="Arial"/>
          <w:color w:val="000000"/>
          <w:lang w:eastAsia="bg-BG"/>
        </w:rPr>
        <w:lastRenderedPageBreak/>
        <w:t>манийните симптоми за 3 седмици. Тези изпитвания са включвали пациенти с или без психотични симптоми и с или без бързо циклично протичане.</w:t>
      </w:r>
    </w:p>
    <w:p w14:paraId="0765C830" w14:textId="77777777" w:rsidR="00241321" w:rsidRPr="00241321" w:rsidRDefault="00241321" w:rsidP="00241321">
      <w:pPr>
        <w:spacing w:line="240" w:lineRule="auto"/>
        <w:rPr>
          <w:rFonts w:eastAsia="Times New Roman" w:cs="Arial"/>
          <w:color w:val="000000"/>
          <w:lang w:eastAsia="bg-BG"/>
        </w:rPr>
      </w:pPr>
    </w:p>
    <w:p w14:paraId="082D4F55" w14:textId="4D4912DF" w:rsidR="00241321" w:rsidRPr="00241321" w:rsidRDefault="00241321" w:rsidP="00241321">
      <w:pPr>
        <w:spacing w:line="240" w:lineRule="auto"/>
        <w:rPr>
          <w:rFonts w:eastAsia="Times New Roman" w:cs="Arial"/>
          <w:color w:val="000000"/>
          <w:lang w:eastAsia="bg-BG"/>
        </w:rPr>
      </w:pPr>
      <w:r w:rsidRPr="00241321">
        <w:rPr>
          <w:rFonts w:eastAsia="Times New Roman" w:cs="Arial"/>
          <w:color w:val="000000"/>
          <w:lang w:eastAsia="bg-BG"/>
        </w:rPr>
        <w:t xml:space="preserve">При едно 3-седмично плацебо контролирано изпитване на монотерапия с фиксирана доза при пациенти с </w:t>
      </w:r>
    </w:p>
    <w:p w14:paraId="47F460AC" w14:textId="6E95E98A"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маниен или смесен епизод на биполярно разстройство тип I арипипразол не е показал по-висока ефикасност спрямо плацебо.</w:t>
      </w:r>
    </w:p>
    <w:p w14:paraId="0D862714" w14:textId="77777777" w:rsidR="00241321" w:rsidRPr="00241321" w:rsidRDefault="00241321" w:rsidP="00241321">
      <w:pPr>
        <w:spacing w:line="240" w:lineRule="auto"/>
        <w:rPr>
          <w:rFonts w:eastAsia="Times New Roman" w:cs="Arial"/>
          <w:color w:val="000000"/>
          <w:lang w:eastAsia="bg-BG"/>
        </w:rPr>
      </w:pPr>
    </w:p>
    <w:p w14:paraId="052D825A" w14:textId="21030FE9"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При две 12-седмични, контролирани с плацебо и активно вещество изпитвания на монотерапия при пациенти с маниен ии смесен епизод на биполярно разстройство тип I, с или без психотични симптоми, арипипразол е показал по-висока ефикасност спрямо плацебо на 3-та седмица и поддържане на ефект, сравним с литий или халоперидол, на 12-та седмица. Арипипразол е показал и достигане на симптоматична ремисия на манията на 12-та седмица при част от пациентите, сравнима с тази при литий и халоперидол.</w:t>
      </w:r>
    </w:p>
    <w:p w14:paraId="0EA617C6" w14:textId="77777777" w:rsidR="00241321" w:rsidRPr="00241321" w:rsidRDefault="00241321" w:rsidP="00241321">
      <w:pPr>
        <w:spacing w:line="240" w:lineRule="auto"/>
        <w:rPr>
          <w:rFonts w:eastAsia="Times New Roman" w:cs="Arial"/>
          <w:color w:val="000000"/>
          <w:lang w:eastAsia="bg-BG"/>
        </w:rPr>
      </w:pPr>
    </w:p>
    <w:p w14:paraId="3DEE5E55" w14:textId="66BD7E60"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При 6-седмично плацебо контролирано изпитване при пациенти с маниен или смесен епизод на биполярно разстройство тип I, с или без психотични симптоми, които частично не се повляват от монотерапия с литий или валпроат при терапевтични серумни нива за 2 седмици, добавянето на арипипразол като адювантно лечение е довело до по-висока ефикасност при намаляване на манийните симптоми в сравнение с монотерапията с литий или валпроат.</w:t>
      </w:r>
    </w:p>
    <w:p w14:paraId="0B0104D6" w14:textId="77777777" w:rsidR="00241321" w:rsidRPr="00241321" w:rsidRDefault="00241321" w:rsidP="00241321">
      <w:pPr>
        <w:spacing w:line="240" w:lineRule="auto"/>
        <w:rPr>
          <w:rFonts w:eastAsia="Times New Roman" w:cs="Arial"/>
          <w:color w:val="000000"/>
          <w:lang w:eastAsia="bg-BG"/>
        </w:rPr>
      </w:pPr>
    </w:p>
    <w:p w14:paraId="7CA5C016" w14:textId="14EAB3D1"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При 26-седмично плацебо контролирано изпитване, последвано от 74-седмично продължение при манийни пациенти, постигнали ремисия с арипипразол по време на стабилизационната фаза преди рандомизиране, арипипразол е показал по-висока ефикасност в сравнение с плацебо за предотвратяване на биполярни рецидиви, предимно за предотвратяване на мания, но не е показал превъзходство в сравнение с плацебо за предотвратяване рецидивите на депресия.</w:t>
      </w:r>
    </w:p>
    <w:p w14:paraId="6E1A2FDB" w14:textId="77777777" w:rsidR="00241321" w:rsidRPr="00241321" w:rsidRDefault="00241321" w:rsidP="00241321">
      <w:pPr>
        <w:rPr>
          <w:rFonts w:eastAsia="Times New Roman" w:cs="Arial"/>
          <w:lang w:eastAsia="bg-BG"/>
        </w:rPr>
      </w:pPr>
      <w:r w:rsidRPr="00241321">
        <w:rPr>
          <w:rFonts w:eastAsia="Times New Roman" w:cs="Arial"/>
          <w:color w:val="000000"/>
          <w:lang w:eastAsia="bg-BG"/>
        </w:rPr>
        <w:t xml:space="preserve">При 52-седмично плацебо контролирано изпитване при пациенти с настоящ маниен или смесен епизод на биполярно разстройство тип I, които са достигнали стабилна ремисия (скала на </w:t>
      </w:r>
      <w:r w:rsidRPr="00241321">
        <w:rPr>
          <w:rFonts w:eastAsia="Times New Roman" w:cs="Arial"/>
          <w:color w:val="000000"/>
          <w:lang w:val="en-US"/>
        </w:rPr>
        <w:t xml:space="preserve">Young </w:t>
      </w:r>
      <w:r w:rsidRPr="00241321">
        <w:rPr>
          <w:rFonts w:eastAsia="Times New Roman" w:cs="Arial"/>
          <w:color w:val="000000"/>
          <w:lang w:eastAsia="bg-BG"/>
        </w:rPr>
        <w:t xml:space="preserve">за оценка на мания </w:t>
      </w:r>
      <w:r w:rsidRPr="00241321">
        <w:rPr>
          <w:rFonts w:eastAsia="Times New Roman" w:cs="Arial"/>
          <w:color w:val="000000"/>
          <w:lang w:val="en-US"/>
        </w:rPr>
        <w:t xml:space="preserve">[Y-MRS] </w:t>
      </w:r>
      <w:r w:rsidRPr="00241321">
        <w:rPr>
          <w:rFonts w:eastAsia="Times New Roman" w:cs="Arial"/>
          <w:color w:val="000000"/>
          <w:lang w:eastAsia="bg-BG"/>
        </w:rPr>
        <w:t xml:space="preserve">и </w:t>
      </w:r>
      <w:r w:rsidRPr="00241321">
        <w:rPr>
          <w:rFonts w:eastAsia="Times New Roman" w:cs="Arial"/>
          <w:color w:val="000000"/>
          <w:lang w:val="en-US"/>
        </w:rPr>
        <w:t xml:space="preserve">MADRS </w:t>
      </w:r>
      <w:r w:rsidRPr="00241321">
        <w:rPr>
          <w:rFonts w:eastAsia="Times New Roman" w:cs="Arial"/>
          <w:color w:val="000000"/>
          <w:lang w:eastAsia="bg-BG"/>
        </w:rPr>
        <w:t xml:space="preserve">с общ резултат ≤ 12) на арипипразол (16 </w:t>
      </w:r>
      <w:r w:rsidRPr="00241321">
        <w:rPr>
          <w:rFonts w:eastAsia="Times New Roman" w:cs="Arial"/>
          <w:color w:val="000000"/>
          <w:lang w:val="en-US"/>
        </w:rPr>
        <w:t>mg</w:t>
      </w:r>
      <w:r w:rsidRPr="00241321">
        <w:rPr>
          <w:rFonts w:eastAsia="Times New Roman" w:cs="Arial"/>
          <w:color w:val="000000"/>
          <w:lang w:eastAsia="bg-BG"/>
        </w:rPr>
        <w:t xml:space="preserve">/дневно до 30 </w:t>
      </w:r>
      <w:r w:rsidRPr="00241321">
        <w:rPr>
          <w:rFonts w:eastAsia="Times New Roman" w:cs="Arial"/>
          <w:color w:val="000000"/>
          <w:lang w:val="en-US"/>
        </w:rPr>
        <w:t>mg</w:t>
      </w:r>
      <w:r w:rsidRPr="00241321">
        <w:rPr>
          <w:rFonts w:eastAsia="Times New Roman" w:cs="Arial"/>
          <w:color w:val="000000"/>
          <w:lang w:eastAsia="bg-BG"/>
        </w:rPr>
        <w:t xml:space="preserve">/дневно), добавен към литий или валпроат за 12 последователни седмици, добавеният арипипразол е показал превъзходство спрямо плацебо с 46% понижен риск при превенция на биполярен рецидив (коефициент на риска 0.54) и 65% понижен риск при превенция на рецидив на мания (коефициент на риска 0.35) спрямо добавеното плацебо, но не е показал превъзходство спрямо плацебо при превенция на рецидив на депресия. Добавеният арипипразол е показал превъзходство спрямо плацебо в измерителя на вторичния резултат, оценките по скалата „Глобално клинично впечатление - биполярна версия </w:t>
      </w:r>
      <w:r w:rsidRPr="00241321">
        <w:rPr>
          <w:rFonts w:eastAsia="Times New Roman" w:cs="Arial"/>
          <w:color w:val="000000"/>
          <w:lang w:val="en-US"/>
        </w:rPr>
        <w:t xml:space="preserve">(CGI-BP) </w:t>
      </w:r>
      <w:r w:rsidRPr="00241321">
        <w:rPr>
          <w:rFonts w:eastAsia="Times New Roman" w:cs="Arial"/>
          <w:color w:val="000000"/>
          <w:lang w:eastAsia="bg-BG"/>
        </w:rPr>
        <w:t xml:space="preserve">за тежест на заболяването </w:t>
      </w:r>
      <w:r w:rsidRPr="00241321">
        <w:rPr>
          <w:rFonts w:eastAsia="Times New Roman" w:cs="Arial"/>
          <w:color w:val="000000"/>
          <w:lang w:val="en-US"/>
        </w:rPr>
        <w:t xml:space="preserve">(SOI; </w:t>
      </w:r>
      <w:r w:rsidRPr="00241321">
        <w:rPr>
          <w:rFonts w:eastAsia="Times New Roman" w:cs="Arial"/>
          <w:color w:val="000000"/>
          <w:lang w:eastAsia="bg-BG"/>
        </w:rPr>
        <w:t>мания)“. При това изпитване избраните от изследователите пациенти са били на отворена монотерапия с литий или валпроат, за да се установи частична липса на отговор. Пациентите са били стабилизирани за поне 12 последователни седмици с комбинацията от арипипразол и същия стабилиз</w:t>
      </w:r>
      <w:r w:rsidRPr="00241321">
        <w:rPr>
          <w:rFonts w:eastAsia="Times New Roman" w:cs="Arial"/>
          <w:color w:val="000000"/>
          <w:u w:val="single"/>
          <w:lang w:eastAsia="bg-BG"/>
        </w:rPr>
        <w:t xml:space="preserve">атор на </w:t>
      </w:r>
      <w:r w:rsidRPr="00241321">
        <w:rPr>
          <w:rFonts w:eastAsia="Times New Roman" w:cs="Arial"/>
          <w:color w:val="000000"/>
          <w:lang w:eastAsia="bg-BG"/>
        </w:rPr>
        <w:t xml:space="preserve">настроението. Последващо, стабилизираните пациенти са били рандомизирани да продължат същия стабилизатор на настроението с двойнослепи арипипразол или плацебо. В рандомизираната фаза са оценени четири подгрупи със стабилизатори на настроението: арипипразол + литий: арипипразол+ валпроат; плацебо + литий; плацебо + валпроат. Степените по </w:t>
      </w:r>
      <w:r w:rsidRPr="00241321">
        <w:rPr>
          <w:rFonts w:eastAsia="Times New Roman" w:cs="Arial"/>
          <w:color w:val="000000"/>
          <w:lang w:val="en-US"/>
        </w:rPr>
        <w:t xml:space="preserve">Kaplan-Meier </w:t>
      </w:r>
      <w:r w:rsidRPr="00241321">
        <w:rPr>
          <w:rFonts w:eastAsia="Times New Roman" w:cs="Arial"/>
          <w:color w:val="000000"/>
          <w:lang w:eastAsia="bg-BG"/>
        </w:rPr>
        <w:t>за рецидив на епизод на</w:t>
      </w:r>
      <w:r w:rsidRPr="00241321">
        <w:rPr>
          <w:rFonts w:eastAsia="Times New Roman" w:cs="Arial"/>
          <w:color w:val="000000"/>
          <w:lang w:eastAsia="bg-BG"/>
        </w:rPr>
        <w:t xml:space="preserve"> </w:t>
      </w:r>
      <w:r w:rsidRPr="00241321">
        <w:rPr>
          <w:rFonts w:eastAsia="Times New Roman" w:cs="Arial"/>
          <w:color w:val="000000"/>
          <w:lang w:eastAsia="bg-BG"/>
        </w:rPr>
        <w:t xml:space="preserve">настроението за рамото с допълнителна терапия са били </w:t>
      </w:r>
      <w:r w:rsidRPr="00241321">
        <w:rPr>
          <w:rFonts w:eastAsia="Times New Roman" w:cs="Arial"/>
          <w:color w:val="000000"/>
          <w:lang w:eastAsia="bg-BG"/>
        </w:rPr>
        <w:lastRenderedPageBreak/>
        <w:t>съответно 16% за арипипразол + литий и 18% за арипипразол + валпроат, в сравнение с 45% за плацебо + литий и 19% за плацебо + валпроат.</w:t>
      </w:r>
    </w:p>
    <w:p w14:paraId="68833709" w14:textId="77777777" w:rsidR="00241321" w:rsidRPr="00241321" w:rsidRDefault="00241321" w:rsidP="00241321">
      <w:pPr>
        <w:spacing w:line="240" w:lineRule="auto"/>
        <w:rPr>
          <w:rFonts w:eastAsia="Times New Roman" w:cs="Arial"/>
          <w:color w:val="000000"/>
          <w:u w:val="single"/>
          <w:lang w:eastAsia="bg-BG"/>
        </w:rPr>
      </w:pPr>
    </w:p>
    <w:p w14:paraId="7DAAD399" w14:textId="384274AF" w:rsidR="00241321" w:rsidRPr="00241321" w:rsidRDefault="00241321" w:rsidP="00241321">
      <w:pPr>
        <w:spacing w:line="240" w:lineRule="auto"/>
        <w:rPr>
          <w:rFonts w:eastAsia="Times New Roman" w:cs="Arial"/>
          <w:lang w:eastAsia="bg-BG"/>
        </w:rPr>
      </w:pPr>
      <w:r w:rsidRPr="00241321">
        <w:rPr>
          <w:rFonts w:eastAsia="Times New Roman" w:cs="Arial"/>
          <w:color w:val="000000"/>
          <w:u w:val="single"/>
          <w:lang w:eastAsia="bg-BG"/>
        </w:rPr>
        <w:t>Педиатрична популация</w:t>
      </w:r>
    </w:p>
    <w:p w14:paraId="1D849C48" w14:textId="77777777"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Шизофрения при юноши</w:t>
      </w:r>
    </w:p>
    <w:p w14:paraId="036C27D6"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При 6-седмично плацебо контролирано изпитване, включващо 302 юноши със шизофрения (13-17 години), с позитивни или негативни симптоми, арипипразол се асоциира със статистически значимо по-голямо подобрение на психотичните симптоми в сравнение с плацебо. При субанализ на пациенти в юношеска възраст между 15 и 17 години, представляващи 74% от цялата включена популация, поддържане на ефекта се наблюдава в продължение на 26-седмично отворено разширено проучване.</w:t>
      </w:r>
    </w:p>
    <w:p w14:paraId="077A3FA7" w14:textId="77777777" w:rsidR="00241321" w:rsidRPr="00241321" w:rsidRDefault="00241321" w:rsidP="00241321">
      <w:pPr>
        <w:spacing w:line="240" w:lineRule="auto"/>
        <w:rPr>
          <w:rFonts w:eastAsia="Times New Roman" w:cs="Arial"/>
          <w:color w:val="000000"/>
          <w:lang w:eastAsia="bg-BG"/>
        </w:rPr>
      </w:pPr>
    </w:p>
    <w:p w14:paraId="674100A0" w14:textId="0CE34FD4"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В едно 60- до 89-седмично, рандомизирано, двойно-сляпо, плацебо контролирано проучване при юноши (</w:t>
      </w:r>
      <w:r w:rsidRPr="00241321">
        <w:rPr>
          <w:rFonts w:eastAsia="Times New Roman" w:cs="Arial"/>
          <w:color w:val="000000"/>
          <w:lang w:val="en-US"/>
        </w:rPr>
        <w:t>n</w:t>
      </w:r>
      <w:r w:rsidRPr="00241321">
        <w:rPr>
          <w:rFonts w:eastAsia="Times New Roman" w:cs="Arial"/>
          <w:color w:val="000000"/>
          <w:lang w:eastAsia="bg-BG"/>
        </w:rPr>
        <w:t xml:space="preserve">= 146; възраст 13-17 години) с шизофрения има статистически значима разлика в честотата на рецидив на психотични симптоми между групата на арипипразол (19,39 %) и тази на плацебо (37,50 %). Точковата оценка на коефициента на риск </w:t>
      </w:r>
      <w:r w:rsidRPr="00241321">
        <w:rPr>
          <w:rFonts w:eastAsia="Times New Roman" w:cs="Arial"/>
          <w:color w:val="000000"/>
          <w:lang w:val="en-US"/>
        </w:rPr>
        <w:t xml:space="preserve">(HR) </w:t>
      </w:r>
      <w:r w:rsidRPr="00241321">
        <w:rPr>
          <w:rFonts w:eastAsia="Times New Roman" w:cs="Arial"/>
          <w:color w:val="000000"/>
          <w:lang w:eastAsia="bg-BG"/>
        </w:rPr>
        <w:t xml:space="preserve">е 0,461 (95 % доверителен интервал, 0,242-0,879) в цялата популация. В анализа на подгрупата точковата оценка на </w:t>
      </w:r>
      <w:r w:rsidRPr="00241321">
        <w:rPr>
          <w:rFonts w:eastAsia="Times New Roman" w:cs="Arial"/>
          <w:color w:val="000000"/>
          <w:lang w:val="en-US"/>
        </w:rPr>
        <w:t xml:space="preserve">HR </w:t>
      </w:r>
      <w:r w:rsidRPr="00241321">
        <w:rPr>
          <w:rFonts w:eastAsia="Times New Roman" w:cs="Arial"/>
          <w:i/>
          <w:iCs/>
          <w:color w:val="000000"/>
          <w:lang w:eastAsia="bg-BG"/>
        </w:rPr>
        <w:t>е</w:t>
      </w:r>
      <w:r w:rsidRPr="00241321">
        <w:rPr>
          <w:rFonts w:eastAsia="Times New Roman" w:cs="Arial"/>
          <w:color w:val="000000"/>
          <w:lang w:eastAsia="bg-BG"/>
        </w:rPr>
        <w:t xml:space="preserve"> 0,495 за пациентите на възраст от 13 до 14 години в сравнение с 0,454 за пациентите на възраст от 15 до 17 години. Въпреки това оценката на </w:t>
      </w:r>
      <w:r w:rsidRPr="00241321">
        <w:rPr>
          <w:rFonts w:eastAsia="Times New Roman" w:cs="Arial"/>
          <w:color w:val="000000"/>
          <w:lang w:val="en-US"/>
        </w:rPr>
        <w:t xml:space="preserve">HR </w:t>
      </w:r>
      <w:r w:rsidRPr="00241321">
        <w:rPr>
          <w:rFonts w:eastAsia="Times New Roman" w:cs="Arial"/>
          <w:color w:val="000000"/>
          <w:lang w:eastAsia="bg-BG"/>
        </w:rPr>
        <w:t xml:space="preserve">за по-младата възрастова (13-14 години) група не е точна, отразявайки по-малкия брой пациенти в тази група (арипипразол, </w:t>
      </w:r>
      <w:r w:rsidRPr="00241321">
        <w:rPr>
          <w:rFonts w:eastAsia="Times New Roman" w:cs="Arial"/>
          <w:color w:val="000000"/>
          <w:lang w:val="en-US"/>
        </w:rPr>
        <w:t>n</w:t>
      </w:r>
      <w:r w:rsidRPr="00241321">
        <w:rPr>
          <w:rFonts w:eastAsia="Times New Roman" w:cs="Arial"/>
          <w:color w:val="000000"/>
          <w:lang w:eastAsia="bg-BG"/>
        </w:rPr>
        <w:t xml:space="preserve"> = 29; плацебо, </w:t>
      </w:r>
      <w:r w:rsidRPr="00241321">
        <w:rPr>
          <w:rFonts w:eastAsia="Times New Roman" w:cs="Arial"/>
          <w:color w:val="000000"/>
          <w:lang w:val="en-US"/>
        </w:rPr>
        <w:t>n</w:t>
      </w:r>
      <w:r w:rsidRPr="00241321">
        <w:rPr>
          <w:rFonts w:eastAsia="Times New Roman" w:cs="Arial"/>
          <w:color w:val="000000"/>
          <w:lang w:eastAsia="bg-BG"/>
        </w:rPr>
        <w:t xml:space="preserve">= 12), и доверителният интервал за тази оценка (вариращ от 0,51 до 1,628) не позволява да се направят изводи за наличието на ефект от лечението. За разлика от това 95%-ия доверителен интервал за </w:t>
      </w:r>
      <w:r w:rsidRPr="00241321">
        <w:rPr>
          <w:rFonts w:eastAsia="Times New Roman" w:cs="Arial"/>
          <w:color w:val="000000"/>
          <w:lang w:val="en-US"/>
        </w:rPr>
        <w:t xml:space="preserve">HR </w:t>
      </w:r>
      <w:r w:rsidRPr="00241321">
        <w:rPr>
          <w:rFonts w:eastAsia="Times New Roman" w:cs="Arial"/>
          <w:color w:val="000000"/>
          <w:lang w:eastAsia="bg-BG"/>
        </w:rPr>
        <w:t xml:space="preserve">в по-възрастната подгрупа (арипипразол, </w:t>
      </w:r>
      <w:r w:rsidRPr="00241321">
        <w:rPr>
          <w:rFonts w:eastAsia="Times New Roman" w:cs="Arial"/>
          <w:color w:val="000000"/>
          <w:lang w:val="en-US"/>
        </w:rPr>
        <w:t>n</w:t>
      </w:r>
      <w:r w:rsidRPr="00241321">
        <w:rPr>
          <w:rFonts w:eastAsia="Times New Roman" w:cs="Arial"/>
          <w:color w:val="000000"/>
          <w:lang w:eastAsia="bg-BG"/>
        </w:rPr>
        <w:t xml:space="preserve"> = 69; плацебо, </w:t>
      </w:r>
      <w:r w:rsidRPr="00241321">
        <w:rPr>
          <w:rFonts w:eastAsia="Times New Roman" w:cs="Arial"/>
          <w:color w:val="000000"/>
          <w:lang w:val="en-US"/>
        </w:rPr>
        <w:t>n</w:t>
      </w:r>
      <w:r w:rsidRPr="00241321">
        <w:rPr>
          <w:rFonts w:eastAsia="Times New Roman" w:cs="Arial"/>
          <w:color w:val="000000"/>
          <w:lang w:eastAsia="bg-BG"/>
        </w:rPr>
        <w:t xml:space="preserve"> = 36) е от 0,242 до 0,879 и следователно може да се направи извод за ефект от лечението при по-възрастните пациенти.</w:t>
      </w:r>
    </w:p>
    <w:p w14:paraId="2FDBFD65" w14:textId="77777777" w:rsidR="00241321" w:rsidRPr="00241321" w:rsidRDefault="00241321" w:rsidP="00241321">
      <w:pPr>
        <w:spacing w:line="240" w:lineRule="auto"/>
        <w:rPr>
          <w:rFonts w:eastAsia="Times New Roman" w:cs="Arial"/>
          <w:i/>
          <w:iCs/>
          <w:color w:val="000000"/>
          <w:lang w:eastAsia="bg-BG"/>
        </w:rPr>
      </w:pPr>
    </w:p>
    <w:p w14:paraId="43C1E9B1" w14:textId="77E88FA7"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Манийни епизоди при биполярноразстройство тип!при деца и юноши</w:t>
      </w:r>
    </w:p>
    <w:p w14:paraId="012F16E7"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Арипипразол е проучен при 30-седмично плацебо контролирано проучване, включващо 296 деца и юноши (10-17 години), които покриват критериите на </w:t>
      </w:r>
      <w:r w:rsidRPr="00241321">
        <w:rPr>
          <w:rFonts w:eastAsia="Times New Roman" w:cs="Arial"/>
          <w:color w:val="000000"/>
          <w:lang w:val="en-US"/>
        </w:rPr>
        <w:t xml:space="preserve">DSM-IV </w:t>
      </w:r>
      <w:r w:rsidRPr="00241321">
        <w:rPr>
          <w:rFonts w:eastAsia="Times New Roman" w:cs="Arial"/>
          <w:color w:val="000000"/>
          <w:lang w:eastAsia="bg-BG"/>
        </w:rPr>
        <w:t xml:space="preserve">(Диагностичния и статистически наръчник на психичните разстройства) за биполярно разстройство тип 1 с манийни или смесени епизоди с или без психотични компоненти н </w:t>
      </w:r>
      <w:r w:rsidRPr="00241321">
        <w:rPr>
          <w:rFonts w:eastAsia="Times New Roman" w:cs="Arial"/>
          <w:color w:val="000000"/>
          <w:lang w:val="en-US"/>
        </w:rPr>
        <w:t xml:space="preserve">Y-MRS </w:t>
      </w:r>
      <w:r w:rsidRPr="00241321">
        <w:rPr>
          <w:rFonts w:eastAsia="Times New Roman" w:cs="Arial"/>
          <w:color w:val="000000"/>
          <w:lang w:eastAsia="bg-BG"/>
        </w:rPr>
        <w:t xml:space="preserve">резултат ≥20 при изходните нива. Сред пациентите, включени в първичния анализ на ефикасността, 139 пациента са имали съпътстваща диагноза Синдром на хиперактивност с дефицит на вниманието (СХДВ, </w:t>
      </w:r>
      <w:r w:rsidRPr="00241321">
        <w:rPr>
          <w:rFonts w:eastAsia="Times New Roman" w:cs="Arial"/>
          <w:color w:val="000000"/>
          <w:lang w:val="en-US"/>
        </w:rPr>
        <w:t>ADHD).</w:t>
      </w:r>
    </w:p>
    <w:p w14:paraId="58599091" w14:textId="77777777" w:rsidR="00241321" w:rsidRPr="00241321" w:rsidRDefault="00241321" w:rsidP="00241321">
      <w:pPr>
        <w:spacing w:line="240" w:lineRule="auto"/>
        <w:rPr>
          <w:rFonts w:eastAsia="Times New Roman" w:cs="Arial"/>
          <w:color w:val="000000"/>
          <w:lang w:eastAsia="bg-BG"/>
        </w:rPr>
      </w:pPr>
    </w:p>
    <w:p w14:paraId="068E491B" w14:textId="2594CBC2"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Арипипразол е показал превъзходство спрямо плацебо за промяна от изходните нива на 4-та и 12 седмица по </w:t>
      </w:r>
      <w:r w:rsidRPr="00241321">
        <w:rPr>
          <w:rFonts w:eastAsia="Times New Roman" w:cs="Arial"/>
          <w:color w:val="000000"/>
          <w:lang w:val="en-US"/>
        </w:rPr>
        <w:t xml:space="preserve">Y-MRS </w:t>
      </w:r>
      <w:r w:rsidRPr="00241321">
        <w:rPr>
          <w:rFonts w:eastAsia="Times New Roman" w:cs="Arial"/>
          <w:color w:val="000000"/>
          <w:lang w:eastAsia="bg-BG"/>
        </w:rPr>
        <w:t>общи резултат. При последващ анализ подобрението спрямо плацебо е било по- изразено при пациенти със съпътстваща диагноза СХДВ в сравнение с групата без съпътстваща диагноза СХДВ, кьдето не са наблюдавани разлики спрямо плацебо. Превенцията на рецидиви не е установена.</w:t>
      </w:r>
    </w:p>
    <w:p w14:paraId="05F43182" w14:textId="77777777" w:rsidR="00241321" w:rsidRPr="00241321" w:rsidRDefault="00241321" w:rsidP="00241321">
      <w:pPr>
        <w:spacing w:line="240" w:lineRule="auto"/>
        <w:rPr>
          <w:rFonts w:eastAsia="Times New Roman" w:cs="Arial"/>
          <w:color w:val="000000"/>
          <w:lang w:eastAsia="bg-BG"/>
        </w:rPr>
      </w:pPr>
    </w:p>
    <w:p w14:paraId="1B97323B" w14:textId="7F0BE243"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Най-честите нежелани събития, свързани с лечението, при пациентите, приемали 30 </w:t>
      </w:r>
      <w:r w:rsidRPr="00241321">
        <w:rPr>
          <w:rFonts w:eastAsia="Times New Roman" w:cs="Arial"/>
          <w:color w:val="000000"/>
          <w:lang w:val="en-US"/>
        </w:rPr>
        <w:t xml:space="preserve">mg </w:t>
      </w:r>
      <w:r w:rsidRPr="00241321">
        <w:rPr>
          <w:rFonts w:eastAsia="Times New Roman" w:cs="Arial"/>
          <w:color w:val="000000"/>
          <w:lang w:eastAsia="bg-BG"/>
        </w:rPr>
        <w:t>са екстрапирамидни нарушения (28.3%), сънливост (27.3%), главоболие (23.2%) и гадене (14.1%). Средното увеличение на теглото за 30-седмичния период на лечение е било 2.9 кг в сравнение с 0.98 кг при пациентите, лекувани с плацебо.</w:t>
      </w:r>
    </w:p>
    <w:p w14:paraId="41CA6C18" w14:textId="77777777" w:rsidR="00241321" w:rsidRPr="00241321" w:rsidRDefault="00241321" w:rsidP="00241321">
      <w:pPr>
        <w:spacing w:line="240" w:lineRule="auto"/>
        <w:rPr>
          <w:rFonts w:eastAsia="Times New Roman" w:cs="Arial"/>
          <w:i/>
          <w:iCs/>
          <w:color w:val="000000"/>
          <w:lang w:eastAsia="bg-BG"/>
        </w:rPr>
      </w:pPr>
    </w:p>
    <w:p w14:paraId="126EC0DC" w14:textId="041C03CC"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Раздразнителност, свързана с аутизъм при педиатрични пациенти</w:t>
      </w:r>
      <w:r w:rsidRPr="00241321">
        <w:rPr>
          <w:rFonts w:eastAsia="Times New Roman" w:cs="Arial"/>
          <w:color w:val="000000"/>
          <w:lang w:eastAsia="bg-BG"/>
        </w:rPr>
        <w:t xml:space="preserve"> (вижте точка 4.2)</w:t>
      </w:r>
    </w:p>
    <w:p w14:paraId="35BDDD0A" w14:textId="77777777" w:rsidR="00241321" w:rsidRPr="00241321" w:rsidRDefault="00241321" w:rsidP="00241321">
      <w:pPr>
        <w:rPr>
          <w:rFonts w:eastAsia="Times New Roman" w:cs="Arial"/>
          <w:lang w:eastAsia="bg-BG"/>
        </w:rPr>
      </w:pPr>
      <w:r w:rsidRPr="00241321">
        <w:rPr>
          <w:rFonts w:eastAsia="Times New Roman" w:cs="Arial"/>
          <w:color w:val="000000"/>
          <w:lang w:eastAsia="bg-BG"/>
        </w:rPr>
        <w:t xml:space="preserve">Арипипразол е проучван при пациенти между 6 и 17 години в две 8-седмични плацебо контролирани изпитвания [едно с гъвкава доза (2-15 </w:t>
      </w:r>
      <w:r w:rsidRPr="00241321">
        <w:rPr>
          <w:rFonts w:eastAsia="Times New Roman" w:cs="Arial"/>
          <w:color w:val="000000"/>
          <w:lang w:val="en-US"/>
        </w:rPr>
        <w:t>mg</w:t>
      </w:r>
      <w:r w:rsidRPr="00241321">
        <w:rPr>
          <w:rFonts w:eastAsia="Times New Roman" w:cs="Arial"/>
          <w:color w:val="000000"/>
          <w:lang w:eastAsia="bg-BG"/>
        </w:rPr>
        <w:t xml:space="preserve">/дневно) и едно с фиксирана доза </w:t>
      </w:r>
      <w:r w:rsidRPr="00241321">
        <w:rPr>
          <w:rFonts w:eastAsia="Times New Roman" w:cs="Arial"/>
          <w:color w:val="000000"/>
          <w:lang w:eastAsia="bg-BG"/>
        </w:rPr>
        <w:lastRenderedPageBreak/>
        <w:t xml:space="preserve">(5,10, или 15 </w:t>
      </w:r>
      <w:r w:rsidRPr="00241321">
        <w:rPr>
          <w:rFonts w:eastAsia="Times New Roman" w:cs="Arial"/>
          <w:color w:val="000000"/>
          <w:lang w:val="en-US"/>
        </w:rPr>
        <w:t>mg</w:t>
      </w:r>
      <w:r w:rsidRPr="00241321">
        <w:rPr>
          <w:rFonts w:eastAsia="Times New Roman" w:cs="Arial"/>
          <w:color w:val="000000"/>
          <w:lang w:eastAsia="bg-BG"/>
        </w:rPr>
        <w:t>/дневно)] и едно 52-седмично отворено изпитване. Дозирането при тези проучвания е започнало</w:t>
      </w:r>
      <w:r w:rsidRPr="00241321">
        <w:rPr>
          <w:rFonts w:eastAsia="Times New Roman" w:cs="Arial"/>
          <w:color w:val="000000"/>
          <w:lang w:val="en-US"/>
        </w:rPr>
        <w:t xml:space="preserve"> </w:t>
      </w:r>
      <w:r w:rsidRPr="00241321">
        <w:rPr>
          <w:rFonts w:eastAsia="Times New Roman" w:cs="Arial"/>
          <w:color w:val="000000"/>
          <w:u w:val="single"/>
          <w:lang w:eastAsia="bg-BG"/>
        </w:rPr>
        <w:t>с доза</w:t>
      </w:r>
      <w:r w:rsidRPr="00241321">
        <w:rPr>
          <w:rFonts w:eastAsia="Times New Roman" w:cs="Arial"/>
          <w:color w:val="000000"/>
          <w:lang w:eastAsia="bg-BG"/>
        </w:rPr>
        <w:t xml:space="preserve"> от 2 </w:t>
      </w:r>
      <w:r w:rsidRPr="00241321">
        <w:rPr>
          <w:rFonts w:eastAsia="Times New Roman" w:cs="Arial"/>
          <w:color w:val="000000"/>
          <w:lang w:val="en-US"/>
        </w:rPr>
        <w:t xml:space="preserve">mg </w:t>
      </w:r>
      <w:r w:rsidRPr="00241321">
        <w:rPr>
          <w:rFonts w:eastAsia="Times New Roman" w:cs="Arial"/>
          <w:color w:val="000000"/>
          <w:lang w:eastAsia="bg-BG"/>
        </w:rPr>
        <w:t xml:space="preserve">дневно, повишена до 5 </w:t>
      </w:r>
      <w:r w:rsidRPr="00241321">
        <w:rPr>
          <w:rFonts w:eastAsia="Times New Roman" w:cs="Arial"/>
          <w:color w:val="000000"/>
          <w:lang w:val="en-US"/>
        </w:rPr>
        <w:t xml:space="preserve">mg </w:t>
      </w:r>
      <w:r w:rsidRPr="00241321">
        <w:rPr>
          <w:rFonts w:eastAsia="Times New Roman" w:cs="Arial"/>
          <w:color w:val="000000"/>
          <w:lang w:eastAsia="bg-BG"/>
        </w:rPr>
        <w:t>дневно след една седмица и последващо повишена</w:t>
      </w:r>
      <w:r w:rsidRPr="00241321">
        <w:rPr>
          <w:rFonts w:eastAsia="Times New Roman" w:cs="Arial"/>
          <w:color w:val="000000"/>
          <w:lang w:val="en-US"/>
        </w:rPr>
        <w:t xml:space="preserve"> </w:t>
      </w:r>
      <w:r w:rsidRPr="00241321">
        <w:rPr>
          <w:rFonts w:eastAsia="Times New Roman" w:cs="Arial"/>
          <w:color w:val="000000"/>
          <w:lang w:eastAsia="bg-BG"/>
        </w:rPr>
        <w:t xml:space="preserve">с по 5 </w:t>
      </w:r>
      <w:r w:rsidRPr="00241321">
        <w:rPr>
          <w:rFonts w:eastAsia="Times New Roman" w:cs="Arial"/>
          <w:color w:val="000000"/>
          <w:lang w:val="en-US"/>
        </w:rPr>
        <w:t xml:space="preserve">mg </w:t>
      </w:r>
      <w:r w:rsidRPr="00241321">
        <w:rPr>
          <w:rFonts w:eastAsia="Times New Roman" w:cs="Arial"/>
          <w:color w:val="000000"/>
          <w:lang w:eastAsia="bg-BG"/>
        </w:rPr>
        <w:t>дневно всяка седмица до достигане на таргетната доза. Над 75% от пациентите са били на възраст под 13 години. Арипипразол демонстрира статистически значимо превъзходство спрямо плацебо по</w:t>
      </w:r>
      <w:r w:rsidRPr="00241321">
        <w:rPr>
          <w:rFonts w:eastAsia="Times New Roman" w:cs="Arial"/>
          <w:color w:val="000000"/>
          <w:lang w:val="en-US" w:eastAsia="bg-BG"/>
        </w:rPr>
        <w:t xml:space="preserve"> </w:t>
      </w:r>
      <w:r w:rsidRPr="00241321">
        <w:rPr>
          <w:rFonts w:eastAsia="Times New Roman" w:cs="Arial"/>
          <w:color w:val="000000"/>
          <w:lang w:eastAsia="bg-BG"/>
        </w:rPr>
        <w:t xml:space="preserve">подскалата за раздразнителност </w:t>
      </w:r>
      <w:r w:rsidRPr="00241321">
        <w:rPr>
          <w:rFonts w:eastAsia="Times New Roman" w:cs="Arial"/>
          <w:color w:val="000000"/>
          <w:lang w:val="en-US"/>
        </w:rPr>
        <w:t xml:space="preserve">Aberrant </w:t>
      </w:r>
      <w:proofErr w:type="spellStart"/>
      <w:r w:rsidRPr="00241321">
        <w:rPr>
          <w:rFonts w:eastAsia="Times New Roman" w:cs="Arial"/>
          <w:color w:val="000000"/>
          <w:lang w:val="en-US"/>
        </w:rPr>
        <w:t>Behaviour</w:t>
      </w:r>
      <w:proofErr w:type="spellEnd"/>
      <w:r w:rsidRPr="00241321">
        <w:rPr>
          <w:rFonts w:eastAsia="Times New Roman" w:cs="Arial"/>
          <w:color w:val="000000"/>
          <w:lang w:val="en-US"/>
        </w:rPr>
        <w:t xml:space="preserve"> Checklist Irritability. </w:t>
      </w:r>
      <w:r w:rsidRPr="00241321">
        <w:rPr>
          <w:rFonts w:eastAsia="Times New Roman" w:cs="Arial"/>
          <w:color w:val="000000"/>
          <w:lang w:eastAsia="bg-BG"/>
        </w:rPr>
        <w:t xml:space="preserve">Въпреки това, клиничното значение на това откритие не е установено. Профилът на безопасност включва повишаване на теглото и промени в нивата на пролактин. Продължителността на дългосрочното проучване за безопасност е ограничена до 52 седмици. В избрани проучвания случаите на ниски нива на серумен пролактин при юноши от женски пол (&lt;3 </w:t>
      </w:r>
      <w:r w:rsidRPr="00241321">
        <w:rPr>
          <w:rFonts w:eastAsia="Times New Roman" w:cs="Arial"/>
          <w:color w:val="000000"/>
          <w:lang w:val="en-US"/>
        </w:rPr>
        <w:t xml:space="preserve">ng/ml) </w:t>
      </w:r>
      <w:r w:rsidRPr="00241321">
        <w:rPr>
          <w:rFonts w:eastAsia="Times New Roman" w:cs="Arial"/>
          <w:color w:val="000000"/>
          <w:lang w:eastAsia="bg-BG"/>
        </w:rPr>
        <w:t xml:space="preserve">и юноши от мъжки пол (&lt;2 </w:t>
      </w:r>
      <w:r w:rsidRPr="00241321">
        <w:rPr>
          <w:rFonts w:eastAsia="Times New Roman" w:cs="Arial"/>
          <w:color w:val="000000"/>
          <w:lang w:val="en-US"/>
        </w:rPr>
        <w:t xml:space="preserve">ng/ml) </w:t>
      </w:r>
      <w:r w:rsidRPr="00241321">
        <w:rPr>
          <w:rFonts w:eastAsia="Times New Roman" w:cs="Arial"/>
          <w:color w:val="000000"/>
          <w:lang w:eastAsia="bg-BG"/>
        </w:rPr>
        <w:t>при пациентите, лекувани с арипипразол е била респективно 27/46 (58.7%) и 258/298 (86.6%). При плацебо контролираните проучвания увеличението в теглото е било 0.4 кг при плацебо и 1.6 кг при арипипразол.</w:t>
      </w:r>
    </w:p>
    <w:p w14:paraId="0A937C71" w14:textId="77777777" w:rsidR="00241321" w:rsidRPr="00241321" w:rsidRDefault="00241321" w:rsidP="00241321">
      <w:pPr>
        <w:spacing w:line="240" w:lineRule="auto"/>
        <w:rPr>
          <w:rFonts w:eastAsia="Times New Roman" w:cs="Arial"/>
          <w:color w:val="000000"/>
          <w:lang w:eastAsia="bg-BG"/>
        </w:rPr>
      </w:pPr>
    </w:p>
    <w:p w14:paraId="4FD5973B" w14:textId="603273DB"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Арипипразол е проучван и при дългосрочно, поддържащо плацебо контролирано изпитване. След 13-26 седмици стабилизиране на арипипразол (2-15 </w:t>
      </w:r>
      <w:r w:rsidRPr="00241321">
        <w:rPr>
          <w:rFonts w:eastAsia="Times New Roman" w:cs="Arial"/>
          <w:color w:val="000000"/>
          <w:lang w:val="en-US"/>
        </w:rPr>
        <w:t>mg</w:t>
      </w:r>
      <w:r w:rsidRPr="00241321">
        <w:rPr>
          <w:rFonts w:eastAsia="Times New Roman" w:cs="Arial"/>
          <w:color w:val="000000"/>
          <w:lang w:eastAsia="bg-BG"/>
        </w:rPr>
        <w:t xml:space="preserve">/дневно) пациентите със стабилен отговор или са останали на арипипразол, или са преминали на плацебо за още 16 седмици. Честотата на рецидиви по </w:t>
      </w:r>
      <w:r w:rsidRPr="00241321">
        <w:rPr>
          <w:rFonts w:eastAsia="Times New Roman" w:cs="Arial"/>
          <w:color w:val="000000"/>
          <w:lang w:val="en-US"/>
        </w:rPr>
        <w:t xml:space="preserve">Kaplan-Meier </w:t>
      </w:r>
      <w:r w:rsidRPr="00241321">
        <w:rPr>
          <w:rFonts w:eastAsia="Times New Roman" w:cs="Arial"/>
          <w:color w:val="000000"/>
          <w:lang w:eastAsia="bg-BG"/>
        </w:rPr>
        <w:t>на 16 седмици са били 35% за арипипразол и 52% за плацебо; като коефициентът на риска от рецидив за 16-та седмица (арипипразол/ плацебо) е бил 0.57 (статистически незначителна разлика). Средното увеличение на теглото след фазата на стабилизиране с арипипразол (до 26-та седмица) е било 3.2 кг, а последващото средно увеличение от 2.2 кг за арипипразол в сравнение с 0.6 кг при плацебо е наблюдавано във втората фаза (16 седмици) на проучването. Екстрапирамидни симптоми са съобщавани основно по време на фазата на стабилизиране при 17% от пациентите, като с тремор са 6.5%.</w:t>
      </w:r>
    </w:p>
    <w:p w14:paraId="10041A50" w14:textId="77777777" w:rsidR="00241321" w:rsidRPr="00241321" w:rsidRDefault="00241321" w:rsidP="00241321">
      <w:pPr>
        <w:spacing w:line="240" w:lineRule="auto"/>
        <w:rPr>
          <w:rFonts w:eastAsia="Times New Roman" w:cs="Arial"/>
          <w:i/>
          <w:iCs/>
          <w:color w:val="000000"/>
          <w:lang w:eastAsia="bg-BG"/>
        </w:rPr>
      </w:pPr>
    </w:p>
    <w:p w14:paraId="5017A107" w14:textId="5719B365"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 xml:space="preserve">Тикове, асоциирани със Синдрома на Турет при педиатрични пациенти (вижте точка 4.2) </w:t>
      </w:r>
      <w:r w:rsidRPr="00241321">
        <w:rPr>
          <w:rFonts w:eastAsia="Times New Roman" w:cs="Arial"/>
          <w:color w:val="000000"/>
          <w:lang w:eastAsia="bg-BG"/>
        </w:rPr>
        <w:t xml:space="preserve">Ефикасността на арипипразол е проучена при педиатрични пациенти със синдром на Турет (арипипразол: </w:t>
      </w:r>
      <w:r w:rsidRPr="00241321">
        <w:rPr>
          <w:rFonts w:eastAsia="Times New Roman" w:cs="Arial"/>
          <w:color w:val="000000"/>
          <w:lang w:val="en-US"/>
        </w:rPr>
        <w:t>n=</w:t>
      </w:r>
      <w:r w:rsidRPr="00241321">
        <w:rPr>
          <w:rFonts w:eastAsia="Times New Roman" w:cs="Arial"/>
          <w:color w:val="000000"/>
          <w:lang w:eastAsia="bg-BG"/>
        </w:rPr>
        <w:t xml:space="preserve">99, плацебо: </w:t>
      </w:r>
      <w:r w:rsidRPr="00241321">
        <w:rPr>
          <w:rFonts w:eastAsia="Times New Roman" w:cs="Arial"/>
          <w:color w:val="000000"/>
          <w:lang w:val="en-US"/>
        </w:rPr>
        <w:t>n</w:t>
      </w:r>
      <w:r w:rsidRPr="00241321">
        <w:rPr>
          <w:rFonts w:eastAsia="Times New Roman" w:cs="Arial"/>
          <w:color w:val="000000"/>
          <w:lang w:eastAsia="bg-BG"/>
        </w:rPr>
        <w:t xml:space="preserve">= 44) в рандомизирано, двойносляпо, плацебо контролирано, 8- седмично проучване, използващо планова група за лечение с фиксирана доза въз основа на теглото и дозов диапазон от 5 </w:t>
      </w:r>
      <w:r w:rsidRPr="00241321">
        <w:rPr>
          <w:rFonts w:eastAsia="Times New Roman" w:cs="Arial"/>
          <w:color w:val="000000"/>
          <w:lang w:val="en-US"/>
        </w:rPr>
        <w:t>mg</w:t>
      </w:r>
      <w:r w:rsidRPr="00241321">
        <w:rPr>
          <w:rFonts w:eastAsia="Times New Roman" w:cs="Arial"/>
          <w:color w:val="000000"/>
          <w:lang w:eastAsia="bg-BG"/>
        </w:rPr>
        <w:t xml:space="preserve">/ден до 20 </w:t>
      </w:r>
      <w:r w:rsidRPr="00241321">
        <w:rPr>
          <w:rFonts w:eastAsia="Times New Roman" w:cs="Arial"/>
          <w:color w:val="000000"/>
          <w:lang w:val="en-US"/>
        </w:rPr>
        <w:t>mg</w:t>
      </w:r>
      <w:r w:rsidRPr="00241321">
        <w:rPr>
          <w:rFonts w:eastAsia="Times New Roman" w:cs="Arial"/>
          <w:color w:val="000000"/>
          <w:lang w:eastAsia="bg-BG"/>
        </w:rPr>
        <w:t xml:space="preserve">/ден при стартова доза от 2 </w:t>
      </w:r>
      <w:r w:rsidRPr="00241321">
        <w:rPr>
          <w:rFonts w:eastAsia="Times New Roman" w:cs="Arial"/>
          <w:color w:val="000000"/>
          <w:lang w:val="en-US"/>
        </w:rPr>
        <w:t xml:space="preserve">mg. </w:t>
      </w:r>
      <w:r w:rsidRPr="00241321">
        <w:rPr>
          <w:rFonts w:eastAsia="Times New Roman" w:cs="Arial"/>
          <w:color w:val="000000"/>
          <w:lang w:eastAsia="bg-BG"/>
        </w:rPr>
        <w:t xml:space="preserve">Пациентите са на възраст от 7 до 17 години и показват средна оценка 30 по показателите за обща оценка на тиковете по Йейлската скала за обща тежест на тиковете </w:t>
      </w:r>
      <w:r w:rsidRPr="00241321">
        <w:rPr>
          <w:rFonts w:eastAsia="Times New Roman" w:cs="Arial"/>
          <w:color w:val="000000"/>
          <w:lang w:val="en-US"/>
        </w:rPr>
        <w:t xml:space="preserve">(Total Tic Score on the Yale Global Tic Severity Scale, TTS-YGTSS) </w:t>
      </w:r>
      <w:r w:rsidRPr="00241321">
        <w:rPr>
          <w:rFonts w:eastAsia="Times New Roman" w:cs="Arial"/>
          <w:color w:val="000000"/>
          <w:lang w:eastAsia="bg-BG"/>
        </w:rPr>
        <w:t xml:space="preserve">при началното ниво. Арипипразол показа подобрение от 13,35 на показателите по скалата </w:t>
      </w:r>
      <w:r w:rsidRPr="00241321">
        <w:rPr>
          <w:rFonts w:eastAsia="Times New Roman" w:cs="Arial"/>
          <w:color w:val="000000"/>
          <w:lang w:val="en-US"/>
        </w:rPr>
        <w:t xml:space="preserve">TTS-YGTSS </w:t>
      </w:r>
      <w:r w:rsidRPr="00241321">
        <w:rPr>
          <w:rFonts w:eastAsia="Times New Roman" w:cs="Arial"/>
          <w:color w:val="000000"/>
          <w:lang w:eastAsia="bg-BG"/>
        </w:rPr>
        <w:t xml:space="preserve">спрямо началното ниво до седмица 8 за групата на ниска доза (5 </w:t>
      </w:r>
      <w:r w:rsidRPr="00241321">
        <w:rPr>
          <w:rFonts w:eastAsia="Times New Roman" w:cs="Arial"/>
          <w:color w:val="000000"/>
          <w:lang w:val="en-US"/>
        </w:rPr>
        <w:t xml:space="preserve">mg </w:t>
      </w:r>
      <w:r w:rsidRPr="00241321">
        <w:rPr>
          <w:rFonts w:eastAsia="Times New Roman" w:cs="Arial"/>
          <w:color w:val="000000"/>
          <w:lang w:eastAsia="bg-BG"/>
        </w:rPr>
        <w:t xml:space="preserve">или 10 </w:t>
      </w:r>
      <w:r w:rsidRPr="00241321">
        <w:rPr>
          <w:rFonts w:eastAsia="Times New Roman" w:cs="Arial"/>
          <w:color w:val="000000"/>
          <w:lang w:val="en-US"/>
        </w:rPr>
        <w:t xml:space="preserve">mg) </w:t>
      </w:r>
      <w:r w:rsidRPr="00241321">
        <w:rPr>
          <w:rFonts w:eastAsia="Times New Roman" w:cs="Arial"/>
          <w:color w:val="000000"/>
          <w:lang w:eastAsia="bg-BG"/>
        </w:rPr>
        <w:t xml:space="preserve">и 16,94 за групата на висока доза (10 </w:t>
      </w:r>
      <w:r w:rsidRPr="00241321">
        <w:rPr>
          <w:rFonts w:eastAsia="Times New Roman" w:cs="Arial"/>
          <w:color w:val="000000"/>
          <w:lang w:val="en-US"/>
        </w:rPr>
        <w:t xml:space="preserve">mg </w:t>
      </w:r>
      <w:r w:rsidRPr="00241321">
        <w:rPr>
          <w:rFonts w:eastAsia="Times New Roman" w:cs="Arial"/>
          <w:color w:val="000000"/>
          <w:lang w:eastAsia="bg-BG"/>
        </w:rPr>
        <w:t xml:space="preserve">или 20 </w:t>
      </w:r>
      <w:r w:rsidRPr="00241321">
        <w:rPr>
          <w:rFonts w:eastAsia="Times New Roman" w:cs="Arial"/>
          <w:color w:val="000000"/>
          <w:lang w:val="en-US"/>
        </w:rPr>
        <w:t xml:space="preserve">mg), </w:t>
      </w:r>
      <w:r w:rsidRPr="00241321">
        <w:rPr>
          <w:rFonts w:eastAsia="Times New Roman" w:cs="Arial"/>
          <w:color w:val="000000"/>
          <w:lang w:eastAsia="bg-BG"/>
        </w:rPr>
        <w:t>в сравнение с подобрение от 7,09 при групата на плацебо.</w:t>
      </w:r>
    </w:p>
    <w:p w14:paraId="1DAC796B" w14:textId="77777777" w:rsidR="00241321" w:rsidRPr="00241321" w:rsidRDefault="00241321" w:rsidP="00241321">
      <w:pPr>
        <w:spacing w:line="240" w:lineRule="auto"/>
        <w:rPr>
          <w:rFonts w:eastAsia="Times New Roman" w:cs="Arial"/>
          <w:color w:val="000000"/>
          <w:lang w:eastAsia="bg-BG"/>
        </w:rPr>
      </w:pPr>
    </w:p>
    <w:p w14:paraId="35896747" w14:textId="087222C4"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Ефикасността на арипипразол при педиатрични пациенти със синдром на Турет (арипипразол: </w:t>
      </w:r>
      <w:r w:rsidRPr="00241321">
        <w:rPr>
          <w:rFonts w:eastAsia="Times New Roman" w:cs="Arial"/>
          <w:color w:val="000000"/>
          <w:lang w:val="en-US"/>
        </w:rPr>
        <w:t>n</w:t>
      </w:r>
      <w:r w:rsidRPr="00241321">
        <w:rPr>
          <w:rFonts w:eastAsia="Times New Roman" w:cs="Arial"/>
          <w:color w:val="000000"/>
          <w:lang w:eastAsia="bg-BG"/>
        </w:rPr>
        <w:t xml:space="preserve"> = 32, плацебо: </w:t>
      </w:r>
      <w:r w:rsidRPr="00241321">
        <w:rPr>
          <w:rFonts w:eastAsia="Times New Roman" w:cs="Arial"/>
          <w:color w:val="000000"/>
          <w:lang w:val="en-US"/>
        </w:rPr>
        <w:t>n</w:t>
      </w:r>
      <w:r w:rsidRPr="00241321">
        <w:rPr>
          <w:rFonts w:eastAsia="Times New Roman" w:cs="Arial"/>
          <w:color w:val="000000"/>
          <w:lang w:eastAsia="bg-BG"/>
        </w:rPr>
        <w:t xml:space="preserve"> = 29) е оценена също при гъвкав дозов диапазон от 2 </w:t>
      </w:r>
      <w:r w:rsidRPr="00241321">
        <w:rPr>
          <w:rFonts w:eastAsia="Times New Roman" w:cs="Arial"/>
          <w:color w:val="000000"/>
          <w:lang w:val="en-US"/>
        </w:rPr>
        <w:t xml:space="preserve">mg </w:t>
      </w:r>
      <w:r w:rsidRPr="00241321">
        <w:rPr>
          <w:rFonts w:eastAsia="Times New Roman" w:cs="Arial"/>
          <w:color w:val="000000"/>
          <w:lang w:eastAsia="bg-BG"/>
        </w:rPr>
        <w:t xml:space="preserve">до 20 </w:t>
      </w:r>
      <w:r w:rsidRPr="00241321">
        <w:rPr>
          <w:rFonts w:eastAsia="Times New Roman" w:cs="Arial"/>
          <w:color w:val="000000"/>
          <w:lang w:val="en-US"/>
        </w:rPr>
        <w:t xml:space="preserve">mg </w:t>
      </w:r>
      <w:r w:rsidRPr="00241321">
        <w:rPr>
          <w:rFonts w:eastAsia="Times New Roman" w:cs="Arial"/>
          <w:color w:val="000000"/>
          <w:lang w:eastAsia="bg-BG"/>
        </w:rPr>
        <w:t xml:space="preserve">на ден и стартова доза от 2 </w:t>
      </w:r>
      <w:r w:rsidRPr="00241321">
        <w:rPr>
          <w:rFonts w:eastAsia="Times New Roman" w:cs="Arial"/>
          <w:color w:val="000000"/>
          <w:lang w:val="en-US"/>
        </w:rPr>
        <w:t xml:space="preserve">mg </w:t>
      </w:r>
      <w:r w:rsidRPr="00241321">
        <w:rPr>
          <w:rFonts w:eastAsia="Times New Roman" w:cs="Arial"/>
          <w:color w:val="000000"/>
          <w:lang w:eastAsia="bg-BG"/>
        </w:rPr>
        <w:t xml:space="preserve">в 10-седмично, рандомизирано, двойносляпо, плацебо контролирано проучване, проведено в Южна Корея. Пациентите са на възраст от 6 до 18 години и показват средна оценка 29 по </w:t>
      </w:r>
      <w:r w:rsidRPr="00241321">
        <w:rPr>
          <w:rFonts w:eastAsia="Times New Roman" w:cs="Arial"/>
          <w:color w:val="000000"/>
          <w:lang w:val="en-US"/>
        </w:rPr>
        <w:t xml:space="preserve">TTS-YGTSS </w:t>
      </w:r>
      <w:r w:rsidRPr="00241321">
        <w:rPr>
          <w:rFonts w:eastAsia="Times New Roman" w:cs="Arial"/>
          <w:color w:val="000000"/>
          <w:lang w:eastAsia="bg-BG"/>
        </w:rPr>
        <w:t xml:space="preserve">при началното ниво. Групата на арипипразол показва подобрение от 14,97 по </w:t>
      </w:r>
      <w:r w:rsidRPr="00241321">
        <w:rPr>
          <w:rFonts w:eastAsia="Times New Roman" w:cs="Arial"/>
          <w:color w:val="000000"/>
          <w:lang w:val="en-US"/>
        </w:rPr>
        <w:t xml:space="preserve">TTS- YGTSS </w:t>
      </w:r>
      <w:r w:rsidRPr="00241321">
        <w:rPr>
          <w:rFonts w:eastAsia="Times New Roman" w:cs="Arial"/>
          <w:color w:val="000000"/>
          <w:lang w:eastAsia="bg-BG"/>
        </w:rPr>
        <w:t>спрямо началното ниво до седмица 10 в сравнение с подобрение от 9,62 в групата на плацебо.</w:t>
      </w:r>
    </w:p>
    <w:p w14:paraId="2506A8E8" w14:textId="77777777" w:rsidR="00241321" w:rsidRPr="00241321" w:rsidRDefault="00241321" w:rsidP="00241321">
      <w:pPr>
        <w:spacing w:line="240" w:lineRule="auto"/>
        <w:rPr>
          <w:rFonts w:eastAsia="Times New Roman" w:cs="Arial"/>
          <w:color w:val="000000"/>
          <w:lang w:eastAsia="bg-BG"/>
        </w:rPr>
      </w:pPr>
    </w:p>
    <w:p w14:paraId="734BF18C" w14:textId="7CBACAE5"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И в двете краткосрочни изпитвания, клиничната значимост на получените данни за ефикасността не е установена, вземайки предвид степента на лечебния ефект в сравнение с големия плацебо ефект и неясните ефекти относно психо-социалното </w:t>
      </w:r>
      <w:r w:rsidRPr="00241321">
        <w:rPr>
          <w:rFonts w:eastAsia="Times New Roman" w:cs="Arial"/>
          <w:color w:val="000000"/>
          <w:lang w:eastAsia="bg-BG"/>
        </w:rPr>
        <w:lastRenderedPageBreak/>
        <w:t>функциониране. Липсват дългосрочни данни по отношение на ефикасността и безопасността на арипипразол при това променливо разстройство.</w:t>
      </w:r>
    </w:p>
    <w:p w14:paraId="5D64EF5A" w14:textId="77777777" w:rsidR="00241321" w:rsidRPr="00241321" w:rsidRDefault="00241321" w:rsidP="00241321">
      <w:pPr>
        <w:spacing w:line="240" w:lineRule="auto"/>
        <w:rPr>
          <w:rFonts w:eastAsia="Times New Roman" w:cs="Arial"/>
          <w:color w:val="000000"/>
          <w:lang w:eastAsia="bg-BG"/>
        </w:rPr>
      </w:pPr>
    </w:p>
    <w:p w14:paraId="437E7122" w14:textId="0B8A8D8C"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Европейската агенция по лекарствата отлага задължението за предоставяне на резултатите от проучванията с арипипразол в една или повече подгрупи на педиатричната популация при лечението на шизофрения и биполярно афективно разстройство (вижте точка 4.2 за информация относно употреба в педиатрията).</w:t>
      </w:r>
    </w:p>
    <w:p w14:paraId="7D820BA1" w14:textId="4098CD13" w:rsidR="00241321" w:rsidRPr="00241321" w:rsidRDefault="00241321" w:rsidP="00241321"/>
    <w:p w14:paraId="173D7F1D" w14:textId="66D9CE17" w:rsidR="00EE6C97" w:rsidRDefault="002C50EE" w:rsidP="00A93499">
      <w:pPr>
        <w:pStyle w:val="Heading2"/>
      </w:pPr>
      <w:r>
        <w:t>5.2. Фармакокинетични свойства</w:t>
      </w:r>
    </w:p>
    <w:p w14:paraId="4CC437A0" w14:textId="1E96C4DA" w:rsidR="00241321" w:rsidRDefault="00241321" w:rsidP="00241321"/>
    <w:p w14:paraId="71AB33F9" w14:textId="77777777" w:rsidR="00A4160F" w:rsidRPr="00A4160F" w:rsidRDefault="00A4160F" w:rsidP="00A4160F">
      <w:pPr>
        <w:pStyle w:val="Heading3"/>
        <w:rPr>
          <w:rFonts w:eastAsia="Times New Roman"/>
          <w:sz w:val="28"/>
          <w:szCs w:val="28"/>
          <w:u w:val="single"/>
          <w:lang w:eastAsia="bg-BG"/>
        </w:rPr>
      </w:pPr>
      <w:r w:rsidRPr="00A4160F">
        <w:rPr>
          <w:rFonts w:eastAsia="Times New Roman"/>
          <w:u w:val="single"/>
          <w:lang w:eastAsia="bg-BG"/>
        </w:rPr>
        <w:t>Абсорбция</w:t>
      </w:r>
    </w:p>
    <w:p w14:paraId="4FF5CCB8" w14:textId="77777777"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Арипипразол се абсорбира добре, като пиковите плазмени концентрации се достигат в рамките на 3-5 часа след прием. Арипипразол претърпява минимален пресистемен метаболизъм. Абсолютната бионаличност при перорален прием на таблетната форма е 87%. Богатата на мазнини храна не повлиява фармакокинетиката на арипипразол.</w:t>
      </w:r>
    </w:p>
    <w:p w14:paraId="290095BB" w14:textId="77777777" w:rsidR="00A4160F" w:rsidRPr="00A4160F" w:rsidRDefault="00A4160F" w:rsidP="00A4160F">
      <w:pPr>
        <w:spacing w:line="240" w:lineRule="auto"/>
        <w:rPr>
          <w:rFonts w:eastAsia="Times New Roman" w:cs="Arial"/>
          <w:color w:val="000000"/>
          <w:u w:val="single"/>
          <w:lang w:eastAsia="bg-BG"/>
        </w:rPr>
      </w:pPr>
    </w:p>
    <w:p w14:paraId="23BB9306" w14:textId="39E889F0" w:rsidR="00A4160F" w:rsidRPr="00A4160F" w:rsidRDefault="00A4160F" w:rsidP="00A4160F">
      <w:pPr>
        <w:pStyle w:val="Heading3"/>
        <w:rPr>
          <w:rFonts w:eastAsia="Times New Roman"/>
          <w:sz w:val="28"/>
          <w:szCs w:val="28"/>
          <w:u w:val="single"/>
          <w:lang w:eastAsia="bg-BG"/>
        </w:rPr>
      </w:pPr>
      <w:r w:rsidRPr="00A4160F">
        <w:rPr>
          <w:rFonts w:eastAsia="Times New Roman"/>
          <w:u w:val="single"/>
          <w:lang w:eastAsia="bg-BG"/>
        </w:rPr>
        <w:t>Разпределение</w:t>
      </w:r>
    </w:p>
    <w:p w14:paraId="6E042166" w14:textId="77777777"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 xml:space="preserve">Арипипразол се разпределя в цялото тяло като обемът на разпределение е 4.9 </w:t>
      </w:r>
      <w:r w:rsidRPr="00A4160F">
        <w:rPr>
          <w:rFonts w:eastAsia="Times New Roman" w:cs="Arial"/>
          <w:color w:val="000000"/>
          <w:lang w:val="en-US"/>
        </w:rPr>
        <w:t xml:space="preserve">l/kg, </w:t>
      </w:r>
      <w:r w:rsidRPr="00A4160F">
        <w:rPr>
          <w:rFonts w:eastAsia="Times New Roman" w:cs="Arial"/>
          <w:color w:val="000000"/>
          <w:lang w:eastAsia="bg-BG"/>
        </w:rPr>
        <w:t>показващ екстензивното екстраваскуларно разпределение. При терапевтични концентрации, арипипразол и дехидро-арипипразол са свързват повече от 99% със серумните протенини, основно с албумин.</w:t>
      </w:r>
    </w:p>
    <w:p w14:paraId="4F2CDBCF" w14:textId="77777777" w:rsidR="00A4160F" w:rsidRPr="00A4160F" w:rsidRDefault="00A4160F" w:rsidP="00A4160F">
      <w:pPr>
        <w:spacing w:line="240" w:lineRule="auto"/>
        <w:rPr>
          <w:rFonts w:eastAsia="Times New Roman" w:cs="Arial"/>
          <w:color w:val="000000"/>
          <w:u w:val="single"/>
          <w:lang w:eastAsia="bg-BG"/>
        </w:rPr>
      </w:pPr>
    </w:p>
    <w:p w14:paraId="2F822630" w14:textId="167CDCBC" w:rsidR="00A4160F" w:rsidRPr="00A4160F" w:rsidRDefault="00A4160F" w:rsidP="00A4160F">
      <w:pPr>
        <w:pStyle w:val="Heading3"/>
        <w:rPr>
          <w:rFonts w:eastAsia="Times New Roman"/>
          <w:sz w:val="28"/>
          <w:szCs w:val="28"/>
          <w:u w:val="single"/>
          <w:lang w:eastAsia="bg-BG"/>
        </w:rPr>
      </w:pPr>
      <w:r w:rsidRPr="00A4160F">
        <w:rPr>
          <w:rFonts w:eastAsia="Times New Roman"/>
          <w:u w:val="single"/>
          <w:lang w:eastAsia="bg-BG"/>
        </w:rPr>
        <w:t>БиотрансФормация</w:t>
      </w:r>
    </w:p>
    <w:p w14:paraId="2EFFDB13" w14:textId="77777777"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 xml:space="preserve">Арипипразол се метаболизира основно в черния дроб чрез три пътя на биотрансформация: дехидрогениране, хидроксилиране и </w:t>
      </w:r>
      <w:r w:rsidRPr="00A4160F">
        <w:rPr>
          <w:rFonts w:eastAsia="Times New Roman" w:cs="Arial"/>
          <w:color w:val="000000"/>
          <w:lang w:val="en-US"/>
        </w:rPr>
        <w:t>N</w:t>
      </w:r>
      <w:r w:rsidRPr="00A4160F">
        <w:rPr>
          <w:rFonts w:eastAsia="Times New Roman" w:cs="Arial"/>
          <w:color w:val="000000"/>
          <w:lang w:eastAsia="bg-BG"/>
        </w:rPr>
        <w:t xml:space="preserve">-деалкилиране. Въз основа на </w:t>
      </w:r>
      <w:r w:rsidRPr="00A4160F">
        <w:rPr>
          <w:rFonts w:eastAsia="Times New Roman" w:cs="Arial"/>
          <w:i/>
          <w:iCs/>
          <w:color w:val="000000"/>
          <w:lang w:val="en-US"/>
        </w:rPr>
        <w:t>in vitro</w:t>
      </w:r>
      <w:r w:rsidRPr="00A4160F">
        <w:rPr>
          <w:rFonts w:eastAsia="Times New Roman" w:cs="Arial"/>
          <w:color w:val="000000"/>
          <w:lang w:val="en-US"/>
        </w:rPr>
        <w:t xml:space="preserve"> </w:t>
      </w:r>
      <w:r w:rsidRPr="00A4160F">
        <w:rPr>
          <w:rFonts w:eastAsia="Times New Roman" w:cs="Arial"/>
          <w:color w:val="000000"/>
          <w:lang w:eastAsia="bg-BG"/>
        </w:rPr>
        <w:t xml:space="preserve">проучванията </w:t>
      </w:r>
      <w:r w:rsidRPr="00A4160F">
        <w:rPr>
          <w:rFonts w:eastAsia="Times New Roman" w:cs="Arial"/>
          <w:color w:val="000000"/>
          <w:lang w:val="en-US"/>
        </w:rPr>
        <w:t xml:space="preserve">CYP3A4 </w:t>
      </w:r>
      <w:r w:rsidRPr="00A4160F">
        <w:rPr>
          <w:rFonts w:eastAsia="Times New Roman" w:cs="Arial"/>
          <w:color w:val="000000"/>
          <w:lang w:eastAsia="bg-BG"/>
        </w:rPr>
        <w:t xml:space="preserve">и </w:t>
      </w:r>
      <w:r w:rsidRPr="00A4160F">
        <w:rPr>
          <w:rFonts w:eastAsia="Times New Roman" w:cs="Arial"/>
          <w:color w:val="000000"/>
          <w:lang w:val="en-US"/>
        </w:rPr>
        <w:t xml:space="preserve">CYP2D6 </w:t>
      </w:r>
      <w:r w:rsidRPr="00A4160F">
        <w:rPr>
          <w:rFonts w:eastAsia="Times New Roman" w:cs="Arial"/>
          <w:color w:val="000000"/>
          <w:lang w:eastAsia="bg-BG"/>
        </w:rPr>
        <w:t xml:space="preserve">ензимите са отговорни за дехидрогенирането и хидроксилирането на арипипразол, </w:t>
      </w:r>
      <w:r w:rsidRPr="00A4160F">
        <w:rPr>
          <w:rFonts w:eastAsia="Times New Roman" w:cs="Arial"/>
          <w:color w:val="000000"/>
          <w:lang w:val="en-US"/>
        </w:rPr>
        <w:t xml:space="preserve">a N- </w:t>
      </w:r>
      <w:r w:rsidRPr="00A4160F">
        <w:rPr>
          <w:rFonts w:eastAsia="Times New Roman" w:cs="Arial"/>
          <w:color w:val="000000"/>
          <w:lang w:eastAsia="bg-BG"/>
        </w:rPr>
        <w:t xml:space="preserve">деалкирането се катализира от </w:t>
      </w:r>
      <w:r w:rsidRPr="00A4160F">
        <w:rPr>
          <w:rFonts w:eastAsia="Times New Roman" w:cs="Arial"/>
          <w:color w:val="000000"/>
          <w:lang w:val="en-US"/>
        </w:rPr>
        <w:t xml:space="preserve">CYP3A4. </w:t>
      </w:r>
      <w:r w:rsidRPr="00A4160F">
        <w:rPr>
          <w:rFonts w:eastAsia="Times New Roman" w:cs="Arial"/>
          <w:color w:val="000000"/>
          <w:lang w:eastAsia="bg-BG"/>
        </w:rPr>
        <w:t xml:space="preserve">Арипипразол е продукт, разпределящ се основно в системната циркулация. При стационарно състояние дехидро-арипипразолът, активният метаболит, представлява около 40% от </w:t>
      </w:r>
      <w:r w:rsidRPr="00A4160F">
        <w:rPr>
          <w:rFonts w:eastAsia="Times New Roman" w:cs="Arial"/>
          <w:color w:val="000000"/>
          <w:lang w:val="en-US"/>
        </w:rPr>
        <w:t xml:space="preserve">AUC </w:t>
      </w:r>
      <w:r w:rsidRPr="00A4160F">
        <w:rPr>
          <w:rFonts w:eastAsia="Times New Roman" w:cs="Arial"/>
          <w:color w:val="000000"/>
          <w:lang w:eastAsia="bg-BG"/>
        </w:rPr>
        <w:t>на арипипразол в плазмата.</w:t>
      </w:r>
    </w:p>
    <w:p w14:paraId="28083DF0" w14:textId="77777777" w:rsidR="00A4160F" w:rsidRPr="00A4160F" w:rsidRDefault="00A4160F" w:rsidP="00A4160F">
      <w:pPr>
        <w:spacing w:line="240" w:lineRule="auto"/>
        <w:rPr>
          <w:rFonts w:eastAsia="Times New Roman" w:cs="Arial"/>
          <w:color w:val="000000"/>
          <w:u w:val="single"/>
          <w:lang w:eastAsia="bg-BG"/>
        </w:rPr>
      </w:pPr>
    </w:p>
    <w:p w14:paraId="2884475D" w14:textId="06F960EE" w:rsidR="00A4160F" w:rsidRPr="00A4160F" w:rsidRDefault="00A4160F" w:rsidP="00A4160F">
      <w:pPr>
        <w:pStyle w:val="Heading3"/>
        <w:rPr>
          <w:rFonts w:eastAsia="Times New Roman"/>
          <w:sz w:val="28"/>
          <w:szCs w:val="28"/>
          <w:u w:val="single"/>
          <w:lang w:eastAsia="bg-BG"/>
        </w:rPr>
      </w:pPr>
      <w:r w:rsidRPr="00A4160F">
        <w:rPr>
          <w:rFonts w:eastAsia="Times New Roman"/>
          <w:u w:val="single"/>
          <w:lang w:eastAsia="bg-BG"/>
        </w:rPr>
        <w:t>Елиминиране</w:t>
      </w:r>
    </w:p>
    <w:p w14:paraId="75B27DFE" w14:textId="77777777"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 xml:space="preserve">Средният елиминационен полуживот на арипипразол е приблизително 75 часа при бързите метаболизатори на </w:t>
      </w:r>
      <w:r w:rsidRPr="00A4160F">
        <w:rPr>
          <w:rFonts w:eastAsia="Times New Roman" w:cs="Arial"/>
          <w:color w:val="000000"/>
          <w:lang w:val="en-US"/>
        </w:rPr>
        <w:t xml:space="preserve">CYP2D6 </w:t>
      </w:r>
      <w:r w:rsidRPr="00A4160F">
        <w:rPr>
          <w:rFonts w:eastAsia="Times New Roman" w:cs="Arial"/>
          <w:color w:val="000000"/>
          <w:lang w:eastAsia="bg-BG"/>
        </w:rPr>
        <w:t xml:space="preserve">и приблизително 146 часа при слабите метаболизатори на </w:t>
      </w:r>
      <w:r w:rsidRPr="00A4160F">
        <w:rPr>
          <w:rFonts w:eastAsia="Times New Roman" w:cs="Arial"/>
          <w:color w:val="000000"/>
          <w:lang w:val="en-US"/>
        </w:rPr>
        <w:t>CYP2D6.</w:t>
      </w:r>
    </w:p>
    <w:p w14:paraId="34A414AF" w14:textId="77777777" w:rsidR="00A4160F" w:rsidRPr="00A4160F" w:rsidRDefault="00A4160F" w:rsidP="00A4160F">
      <w:pPr>
        <w:spacing w:line="240" w:lineRule="auto"/>
        <w:rPr>
          <w:rFonts w:eastAsia="Times New Roman" w:cs="Arial"/>
          <w:color w:val="000000"/>
          <w:lang w:eastAsia="bg-BG"/>
        </w:rPr>
      </w:pPr>
    </w:p>
    <w:p w14:paraId="5B9876DA" w14:textId="03998C32"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 xml:space="preserve">Общият телесен клирънс на арипипразол е 0.7 </w:t>
      </w:r>
      <w:r w:rsidRPr="00A4160F">
        <w:rPr>
          <w:rFonts w:eastAsia="Times New Roman" w:cs="Arial"/>
          <w:color w:val="000000"/>
          <w:lang w:val="en-US"/>
        </w:rPr>
        <w:t xml:space="preserve">ml/min/kg, </w:t>
      </w:r>
      <w:r w:rsidRPr="00A4160F">
        <w:rPr>
          <w:rFonts w:eastAsia="Times New Roman" w:cs="Arial"/>
          <w:color w:val="000000"/>
          <w:lang w:eastAsia="bg-BG"/>
        </w:rPr>
        <w:t>като той е предимно чернодробен.</w:t>
      </w:r>
    </w:p>
    <w:p w14:paraId="55FA6FA2" w14:textId="77777777" w:rsidR="00A4160F" w:rsidRPr="00A4160F" w:rsidRDefault="00A4160F" w:rsidP="00A4160F">
      <w:pPr>
        <w:spacing w:line="240" w:lineRule="auto"/>
        <w:rPr>
          <w:rFonts w:eastAsia="Times New Roman" w:cs="Arial"/>
          <w:color w:val="000000"/>
          <w:lang w:eastAsia="bg-BG"/>
        </w:rPr>
      </w:pPr>
    </w:p>
    <w:p w14:paraId="03147386" w14:textId="5B89F149"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След перорален прием на единична доза [</w:t>
      </w:r>
      <w:r w:rsidRPr="00A4160F">
        <w:rPr>
          <w:rFonts w:eastAsia="Times New Roman" w:cs="Arial"/>
          <w:color w:val="000000"/>
          <w:vertAlign w:val="superscript"/>
          <w:lang w:eastAsia="bg-BG"/>
        </w:rPr>
        <w:t>14</w:t>
      </w:r>
      <w:r w:rsidRPr="00A4160F">
        <w:rPr>
          <w:rFonts w:eastAsia="Times New Roman" w:cs="Arial"/>
          <w:color w:val="000000"/>
          <w:lang w:eastAsia="bg-BG"/>
        </w:rPr>
        <w:t>С]-маркиран арипипразол приблизително 27% от приетата радиоактивност се открива в урината, а приблизително 60% в изпражненията. По-малко от 1% арипипразол се екскретира с урината непромененен, а приблизително 18% се откриват в изпражненията в непроменен вид.</w:t>
      </w:r>
    </w:p>
    <w:p w14:paraId="40175E50" w14:textId="77777777" w:rsidR="00A4160F" w:rsidRPr="00A4160F" w:rsidRDefault="00A4160F" w:rsidP="00A4160F">
      <w:pPr>
        <w:spacing w:line="240" w:lineRule="auto"/>
        <w:rPr>
          <w:rFonts w:eastAsia="Times New Roman" w:cs="Arial"/>
          <w:color w:val="000000"/>
          <w:u w:val="single"/>
          <w:lang w:eastAsia="bg-BG"/>
        </w:rPr>
      </w:pPr>
    </w:p>
    <w:p w14:paraId="42A0857D" w14:textId="5F3CF1DC" w:rsidR="00A4160F" w:rsidRPr="00A4160F" w:rsidRDefault="00A4160F" w:rsidP="00A4160F">
      <w:pPr>
        <w:pStyle w:val="Heading3"/>
        <w:rPr>
          <w:rFonts w:eastAsia="Times New Roman"/>
          <w:sz w:val="28"/>
          <w:szCs w:val="28"/>
          <w:u w:val="single"/>
          <w:lang w:eastAsia="bg-BG"/>
        </w:rPr>
      </w:pPr>
      <w:r w:rsidRPr="00A4160F">
        <w:rPr>
          <w:rFonts w:eastAsia="Times New Roman"/>
          <w:u w:val="single"/>
          <w:lang w:eastAsia="bg-BG"/>
        </w:rPr>
        <w:t>Фармакокинетика при специални групи пациенти</w:t>
      </w:r>
    </w:p>
    <w:p w14:paraId="232DF3E4" w14:textId="77777777" w:rsidR="00A4160F" w:rsidRPr="00A4160F" w:rsidRDefault="00A4160F" w:rsidP="00A4160F">
      <w:pPr>
        <w:spacing w:line="240" w:lineRule="auto"/>
        <w:rPr>
          <w:rFonts w:eastAsia="Times New Roman" w:cs="Arial"/>
          <w:sz w:val="28"/>
          <w:szCs w:val="28"/>
          <w:lang w:eastAsia="bg-BG"/>
        </w:rPr>
      </w:pPr>
      <w:r w:rsidRPr="00A4160F">
        <w:rPr>
          <w:rFonts w:eastAsia="Times New Roman" w:cs="Arial"/>
          <w:i/>
          <w:iCs/>
          <w:color w:val="000000"/>
          <w:lang w:eastAsia="bg-BG"/>
        </w:rPr>
        <w:t>Педиатрична популация</w:t>
      </w:r>
    </w:p>
    <w:p w14:paraId="34F23663" w14:textId="77777777"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lastRenderedPageBreak/>
        <w:t>Фармакокинетиката на арипипразол и дехидро-арипипразол при педиатрични пациенти на възраст от 10 до 17 години е сходна с тази при възрастни след корекция на разликите в телесното тегло.</w:t>
      </w:r>
    </w:p>
    <w:p w14:paraId="27EC385D" w14:textId="77777777" w:rsidR="00A4160F" w:rsidRPr="00A4160F" w:rsidRDefault="00A4160F" w:rsidP="00A4160F">
      <w:pPr>
        <w:spacing w:line="240" w:lineRule="auto"/>
        <w:rPr>
          <w:rFonts w:eastAsia="Times New Roman" w:cs="Arial"/>
          <w:i/>
          <w:iCs/>
          <w:color w:val="000000"/>
          <w:lang w:eastAsia="bg-BG"/>
        </w:rPr>
      </w:pPr>
    </w:p>
    <w:p w14:paraId="4B1D5585" w14:textId="15BA5219" w:rsidR="00A4160F" w:rsidRPr="00A4160F" w:rsidRDefault="00A4160F" w:rsidP="00A4160F">
      <w:pPr>
        <w:spacing w:line="240" w:lineRule="auto"/>
        <w:rPr>
          <w:rFonts w:eastAsia="Times New Roman" w:cs="Arial"/>
          <w:sz w:val="28"/>
          <w:szCs w:val="28"/>
          <w:lang w:eastAsia="bg-BG"/>
        </w:rPr>
      </w:pPr>
      <w:r w:rsidRPr="00A4160F">
        <w:rPr>
          <w:rFonts w:eastAsia="Times New Roman" w:cs="Arial"/>
          <w:i/>
          <w:iCs/>
          <w:color w:val="000000"/>
          <w:lang w:eastAsia="bg-BG"/>
        </w:rPr>
        <w:t>Пациенти в старческа възраст</w:t>
      </w:r>
    </w:p>
    <w:p w14:paraId="3F66BC30" w14:textId="77777777"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Няма разлики във фармакокинетиката на арипипразол при здрави субекти в старческа възраст и по- млади индивиди, както и някакви забележими ефекти на възрастта при популационния фармакокинетичен анализ при пациентите с шизофрения.</w:t>
      </w:r>
    </w:p>
    <w:p w14:paraId="714F8245" w14:textId="77777777" w:rsidR="00A4160F" w:rsidRPr="00A4160F" w:rsidRDefault="00A4160F" w:rsidP="00A4160F">
      <w:pPr>
        <w:spacing w:line="240" w:lineRule="auto"/>
        <w:rPr>
          <w:rFonts w:eastAsia="Times New Roman" w:cs="Arial"/>
          <w:i/>
          <w:iCs/>
          <w:color w:val="000000"/>
          <w:lang w:eastAsia="bg-BG"/>
        </w:rPr>
      </w:pPr>
    </w:p>
    <w:p w14:paraId="634E545A" w14:textId="2C3B12DD" w:rsidR="00A4160F" w:rsidRPr="00A4160F" w:rsidRDefault="00A4160F" w:rsidP="00A4160F">
      <w:pPr>
        <w:spacing w:line="240" w:lineRule="auto"/>
        <w:rPr>
          <w:rFonts w:eastAsia="Times New Roman" w:cs="Arial"/>
          <w:sz w:val="28"/>
          <w:szCs w:val="28"/>
          <w:lang w:eastAsia="bg-BG"/>
        </w:rPr>
      </w:pPr>
      <w:r w:rsidRPr="00A4160F">
        <w:rPr>
          <w:rFonts w:eastAsia="Times New Roman" w:cs="Arial"/>
          <w:i/>
          <w:iCs/>
          <w:color w:val="000000"/>
          <w:lang w:eastAsia="bg-BG"/>
        </w:rPr>
        <w:t>Пол</w:t>
      </w:r>
    </w:p>
    <w:p w14:paraId="4F06F582" w14:textId="77777777"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Няма разлика във фармакокинетиката на арипипразол при здрави мъже и жени, както и някакви забележими ефекти на пола при популационния фармакокинетичен анализ при пациентите с шизофрения.</w:t>
      </w:r>
    </w:p>
    <w:p w14:paraId="12C02BC9" w14:textId="77777777" w:rsidR="00A4160F" w:rsidRPr="00A4160F" w:rsidRDefault="00A4160F" w:rsidP="00A4160F">
      <w:pPr>
        <w:spacing w:line="240" w:lineRule="auto"/>
        <w:rPr>
          <w:rFonts w:eastAsia="Times New Roman" w:cs="Arial"/>
          <w:i/>
          <w:iCs/>
          <w:color w:val="000000"/>
          <w:lang w:eastAsia="bg-BG"/>
        </w:rPr>
      </w:pPr>
    </w:p>
    <w:p w14:paraId="59055CE2" w14:textId="1245970B" w:rsidR="00A4160F" w:rsidRPr="00A4160F" w:rsidRDefault="00A4160F" w:rsidP="00A4160F">
      <w:pPr>
        <w:spacing w:line="240" w:lineRule="auto"/>
        <w:rPr>
          <w:rFonts w:eastAsia="Times New Roman" w:cs="Arial"/>
          <w:sz w:val="28"/>
          <w:szCs w:val="28"/>
          <w:lang w:eastAsia="bg-BG"/>
        </w:rPr>
      </w:pPr>
      <w:r w:rsidRPr="00A4160F">
        <w:rPr>
          <w:rFonts w:eastAsia="Times New Roman" w:cs="Arial"/>
          <w:i/>
          <w:iCs/>
          <w:color w:val="000000"/>
          <w:lang w:eastAsia="bg-BG"/>
        </w:rPr>
        <w:t>Тютюнопушене</w:t>
      </w:r>
    </w:p>
    <w:p w14:paraId="3DC93014" w14:textId="77777777"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Популационната фармакокинетична оценка не е установила клинично значими ефекти при пушене във фармакокинетиката на арипипразол.</w:t>
      </w:r>
    </w:p>
    <w:p w14:paraId="00DA1991" w14:textId="77777777" w:rsidR="00A4160F" w:rsidRPr="00A4160F" w:rsidRDefault="00A4160F" w:rsidP="00A4160F">
      <w:pPr>
        <w:spacing w:line="240" w:lineRule="auto"/>
        <w:rPr>
          <w:rFonts w:eastAsia="Times New Roman" w:cs="Arial"/>
          <w:i/>
          <w:iCs/>
          <w:color w:val="000000"/>
          <w:lang w:eastAsia="bg-BG"/>
        </w:rPr>
      </w:pPr>
    </w:p>
    <w:p w14:paraId="6A465145" w14:textId="4A137284" w:rsidR="00A4160F" w:rsidRPr="00A4160F" w:rsidRDefault="00A4160F" w:rsidP="00A4160F">
      <w:pPr>
        <w:spacing w:line="240" w:lineRule="auto"/>
        <w:rPr>
          <w:rFonts w:eastAsia="Times New Roman" w:cs="Arial"/>
          <w:i/>
          <w:iCs/>
          <w:color w:val="000000"/>
          <w:lang w:eastAsia="bg-BG"/>
        </w:rPr>
      </w:pPr>
      <w:r w:rsidRPr="00A4160F">
        <w:rPr>
          <w:rFonts w:eastAsia="Times New Roman" w:cs="Arial"/>
          <w:i/>
          <w:iCs/>
          <w:color w:val="000000"/>
          <w:lang w:eastAsia="bg-BG"/>
        </w:rPr>
        <w:t>Раса</w:t>
      </w:r>
    </w:p>
    <w:p w14:paraId="2E6CB6CA" w14:textId="77777777"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Популадионната фармакокинетична оценка не показва доказателства за свързани с расата различия във фармакокинетиката на арипипразол.</w:t>
      </w:r>
    </w:p>
    <w:p w14:paraId="4BE4DB59" w14:textId="77777777" w:rsidR="00A4160F" w:rsidRPr="00A4160F" w:rsidRDefault="00A4160F" w:rsidP="00A4160F">
      <w:pPr>
        <w:spacing w:line="240" w:lineRule="auto"/>
        <w:rPr>
          <w:rFonts w:eastAsia="Times New Roman" w:cs="Arial"/>
          <w:i/>
          <w:iCs/>
          <w:color w:val="000000"/>
          <w:lang w:eastAsia="bg-BG"/>
        </w:rPr>
      </w:pPr>
    </w:p>
    <w:p w14:paraId="1BAD2E17" w14:textId="44CEC83E" w:rsidR="00A4160F" w:rsidRPr="00A4160F" w:rsidRDefault="00A4160F" w:rsidP="00A4160F">
      <w:pPr>
        <w:spacing w:line="240" w:lineRule="auto"/>
        <w:rPr>
          <w:rFonts w:eastAsia="Times New Roman" w:cs="Arial"/>
          <w:sz w:val="28"/>
          <w:szCs w:val="28"/>
          <w:lang w:eastAsia="bg-BG"/>
        </w:rPr>
      </w:pPr>
      <w:r w:rsidRPr="00A4160F">
        <w:rPr>
          <w:rFonts w:eastAsia="Times New Roman" w:cs="Arial"/>
          <w:i/>
          <w:iCs/>
          <w:color w:val="000000"/>
          <w:lang w:eastAsia="bg-BG"/>
        </w:rPr>
        <w:t>Бъбречно увреждане</w:t>
      </w:r>
    </w:p>
    <w:p w14:paraId="5DCDEB01" w14:textId="77777777"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Фармакокинетичните характеристики на арипипразол и дехидро-арипипразол са сходни при пациенти с тежко бъбречно заболяване в сравнение с млади здрави индивиди.</w:t>
      </w:r>
    </w:p>
    <w:p w14:paraId="408EE407" w14:textId="77777777" w:rsidR="00A4160F" w:rsidRPr="00A4160F" w:rsidRDefault="00A4160F" w:rsidP="00A4160F">
      <w:pPr>
        <w:spacing w:line="240" w:lineRule="auto"/>
        <w:rPr>
          <w:rFonts w:eastAsia="Times New Roman" w:cs="Arial"/>
          <w:i/>
          <w:iCs/>
          <w:color w:val="000000"/>
          <w:lang w:eastAsia="bg-BG"/>
        </w:rPr>
      </w:pPr>
    </w:p>
    <w:p w14:paraId="3FBD61DD" w14:textId="0E99E265" w:rsidR="00A4160F" w:rsidRPr="00A4160F" w:rsidRDefault="00A4160F" w:rsidP="00A4160F">
      <w:pPr>
        <w:spacing w:line="240" w:lineRule="auto"/>
        <w:rPr>
          <w:rFonts w:eastAsia="Times New Roman" w:cs="Arial"/>
          <w:sz w:val="28"/>
          <w:szCs w:val="28"/>
          <w:lang w:eastAsia="bg-BG"/>
        </w:rPr>
      </w:pPr>
      <w:r w:rsidRPr="00A4160F">
        <w:rPr>
          <w:rFonts w:eastAsia="Times New Roman" w:cs="Arial"/>
          <w:i/>
          <w:iCs/>
          <w:color w:val="000000"/>
          <w:lang w:eastAsia="bg-BG"/>
        </w:rPr>
        <w:t>Чернодробно увреждане</w:t>
      </w:r>
    </w:p>
    <w:p w14:paraId="5F602B02" w14:textId="77777777"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 xml:space="preserve">При проучване с единична доза при пациенти с различна степен на чернодробна цироза </w:t>
      </w:r>
      <w:r w:rsidRPr="00A4160F">
        <w:rPr>
          <w:rFonts w:eastAsia="Times New Roman" w:cs="Arial"/>
          <w:color w:val="000000"/>
          <w:lang w:val="en-US"/>
        </w:rPr>
        <w:t xml:space="preserve">(Child-Pugh </w:t>
      </w:r>
      <w:r w:rsidRPr="00A4160F">
        <w:rPr>
          <w:rFonts w:eastAsia="Times New Roman" w:cs="Arial"/>
          <w:color w:val="000000"/>
          <w:lang w:eastAsia="bg-BG"/>
        </w:rPr>
        <w:t>Клас А, В и С) не са установени значими ефекти на чернодробното увреждане върху фармакокинетиката на арипипразол и дехидро-арипипразол, но проучването е включвало само 3-ма пациента с Клас С чернодробна цироза, което е недостатъчно, за да се направи заключение относно техния метаболитен капацитет.</w:t>
      </w:r>
    </w:p>
    <w:p w14:paraId="190A9CDD" w14:textId="77777777" w:rsidR="00241321" w:rsidRPr="00241321" w:rsidRDefault="00241321" w:rsidP="00241321"/>
    <w:p w14:paraId="0CC65FE3" w14:textId="22EB3B35" w:rsidR="00EE6C97" w:rsidRDefault="002C50EE" w:rsidP="00A93499">
      <w:pPr>
        <w:pStyle w:val="Heading2"/>
      </w:pPr>
      <w:r>
        <w:t>5.3. Предклинични данни за безопасност</w:t>
      </w:r>
    </w:p>
    <w:p w14:paraId="354B29C2" w14:textId="1F8DD896" w:rsidR="00A4160F" w:rsidRDefault="00A4160F" w:rsidP="00A4160F"/>
    <w:p w14:paraId="4A0833DE" w14:textId="77777777"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Неклиничните данни за безопасност не са показали специфичен риск при хора въз основа на конвенционалните проучвания за фармакологична безопасност, токсичност при многократно дозиране, генотоксичност, карциногенен потенциал и репродуктивна токсичност и развитие.</w:t>
      </w:r>
    </w:p>
    <w:p w14:paraId="6DA93BC8" w14:textId="77777777" w:rsidR="00A4160F" w:rsidRPr="00A4160F" w:rsidRDefault="00A4160F" w:rsidP="00A4160F">
      <w:pPr>
        <w:spacing w:line="240" w:lineRule="auto"/>
        <w:rPr>
          <w:rFonts w:eastAsia="Times New Roman" w:cs="Arial"/>
          <w:color w:val="000000"/>
          <w:lang w:eastAsia="bg-BG"/>
        </w:rPr>
      </w:pPr>
    </w:p>
    <w:p w14:paraId="37BAAFFA" w14:textId="071FE538"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 xml:space="preserve">Значими токсикологични ефекти са наблюдавани само при дози или експозиция, които съществено надвишат максималните дози или експозиция при хора, което показва, че тези ефекти са ограничени или без значимост в клиничното приложение. Те включват: дозозависима токсикокортикална токсичност (липофусцин пигментно акумулиране и/ или загуба на паренхимни клетки) при плъхове след 104-седмично приложение на дози от 20 до 60 </w:t>
      </w:r>
      <w:r w:rsidRPr="00A4160F">
        <w:rPr>
          <w:rFonts w:eastAsia="Times New Roman" w:cs="Arial"/>
          <w:color w:val="000000"/>
          <w:lang w:val="en-US"/>
        </w:rPr>
        <w:t>mg/kg</w:t>
      </w:r>
      <w:r w:rsidRPr="00A4160F">
        <w:rPr>
          <w:rFonts w:eastAsia="Times New Roman" w:cs="Arial"/>
          <w:color w:val="000000"/>
          <w:lang w:eastAsia="bg-BG"/>
        </w:rPr>
        <w:t xml:space="preserve">/дневно (3 до 10 пъти спрямо средната стационарна </w:t>
      </w:r>
      <w:r w:rsidRPr="00A4160F">
        <w:rPr>
          <w:rFonts w:eastAsia="Times New Roman" w:cs="Arial"/>
          <w:color w:val="000000"/>
          <w:lang w:val="en-US"/>
        </w:rPr>
        <w:t xml:space="preserve">AUC </w:t>
      </w:r>
      <w:r w:rsidRPr="00A4160F">
        <w:rPr>
          <w:rFonts w:eastAsia="Times New Roman" w:cs="Arial"/>
          <w:color w:val="000000"/>
          <w:lang w:eastAsia="bg-BG"/>
        </w:rPr>
        <w:t xml:space="preserve">при максималната препоръчана доза при хора) и повишаване честотата на адренокортикалните карциноми и комбинираните адренокортикални аденоми/ карциноми при женски плъхове при доза 60 </w:t>
      </w:r>
      <w:r w:rsidRPr="00A4160F">
        <w:rPr>
          <w:rFonts w:eastAsia="Times New Roman" w:cs="Arial"/>
          <w:color w:val="000000"/>
          <w:lang w:val="en-US"/>
        </w:rPr>
        <w:t>mg/kg</w:t>
      </w:r>
      <w:r w:rsidRPr="00A4160F">
        <w:rPr>
          <w:rFonts w:eastAsia="Times New Roman" w:cs="Arial"/>
          <w:color w:val="000000"/>
          <w:lang w:eastAsia="bg-BG"/>
        </w:rPr>
        <w:t xml:space="preserve">/дневно (10 пъти спрямо стационарната </w:t>
      </w:r>
      <w:r w:rsidRPr="00A4160F">
        <w:rPr>
          <w:rFonts w:eastAsia="Times New Roman" w:cs="Arial"/>
          <w:color w:val="000000"/>
          <w:lang w:val="en-US"/>
        </w:rPr>
        <w:t xml:space="preserve">AUC </w:t>
      </w:r>
      <w:r w:rsidRPr="00A4160F">
        <w:rPr>
          <w:rFonts w:eastAsia="Times New Roman" w:cs="Arial"/>
          <w:color w:val="000000"/>
          <w:lang w:eastAsia="bg-BG"/>
        </w:rPr>
        <w:t xml:space="preserve">при максималната препоръчана доза </w:t>
      </w:r>
      <w:r w:rsidRPr="00A4160F">
        <w:rPr>
          <w:rFonts w:eastAsia="Times New Roman" w:cs="Arial"/>
          <w:color w:val="000000"/>
          <w:lang w:eastAsia="bg-BG"/>
        </w:rPr>
        <w:lastRenderedPageBreak/>
        <w:t>при хора). Най-високата нетуморогенна експозиция при женски плъхове е надвишавала 7 пъти експозицията на препоръчаната доза при хора.</w:t>
      </w:r>
    </w:p>
    <w:p w14:paraId="6553CAC8" w14:textId="77777777" w:rsidR="00A4160F" w:rsidRPr="00A4160F" w:rsidRDefault="00A4160F" w:rsidP="00A4160F">
      <w:pPr>
        <w:spacing w:line="240" w:lineRule="auto"/>
        <w:rPr>
          <w:rFonts w:eastAsia="Times New Roman" w:cs="Arial"/>
          <w:color w:val="000000"/>
          <w:lang w:eastAsia="bg-BG"/>
        </w:rPr>
      </w:pPr>
    </w:p>
    <w:p w14:paraId="0FFDEBFB" w14:textId="10674878"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 xml:space="preserve">Допълнително е наблюдавана и холелитиаза в резултат на преципитиране на сулфатните конюгати на хидроксиларните метаболити на арипипразол в жлъчката на маймуни след многократно перорално дозиране от 25 до 125 </w:t>
      </w:r>
      <w:r w:rsidRPr="00A4160F">
        <w:rPr>
          <w:rFonts w:eastAsia="Times New Roman" w:cs="Arial"/>
          <w:color w:val="000000"/>
          <w:lang w:val="en-US"/>
        </w:rPr>
        <w:t xml:space="preserve">mg/ kg/ </w:t>
      </w:r>
      <w:r w:rsidRPr="00A4160F">
        <w:rPr>
          <w:rFonts w:eastAsia="Times New Roman" w:cs="Arial"/>
          <w:color w:val="000000"/>
          <w:lang w:eastAsia="bg-BG"/>
        </w:rPr>
        <w:t xml:space="preserve">дневно (1 до 3 пъти спрямо средната стационарна </w:t>
      </w:r>
      <w:r w:rsidRPr="00A4160F">
        <w:rPr>
          <w:rFonts w:eastAsia="Times New Roman" w:cs="Arial"/>
          <w:color w:val="000000"/>
          <w:lang w:val="en-US"/>
        </w:rPr>
        <w:t xml:space="preserve">AUC </w:t>
      </w:r>
      <w:r w:rsidRPr="00A4160F">
        <w:rPr>
          <w:rFonts w:eastAsia="Times New Roman" w:cs="Arial"/>
          <w:color w:val="000000"/>
          <w:lang w:eastAsia="bg-BG"/>
        </w:rPr>
        <w:t xml:space="preserve">на максималната препоръчана клинична доза или 16 до 81 пъти максималната препоръчана доза при хора на база </w:t>
      </w:r>
      <w:r w:rsidRPr="00A4160F">
        <w:rPr>
          <w:rFonts w:eastAsia="Times New Roman" w:cs="Arial"/>
          <w:color w:val="000000"/>
          <w:lang w:val="en-US"/>
        </w:rPr>
        <w:t xml:space="preserve">mg/m2). </w:t>
      </w:r>
      <w:r w:rsidRPr="00A4160F">
        <w:rPr>
          <w:rFonts w:eastAsia="Times New Roman" w:cs="Arial"/>
          <w:color w:val="000000"/>
          <w:lang w:eastAsia="bg-BG"/>
        </w:rPr>
        <w:t xml:space="preserve">Въпреки това, концентрациите на сулфатните конюгати на хидрокси арипипразол в жлъчката при хора при максималната допустима доза от 30 </w:t>
      </w:r>
      <w:r w:rsidRPr="00A4160F">
        <w:rPr>
          <w:rFonts w:eastAsia="Times New Roman" w:cs="Arial"/>
          <w:color w:val="000000"/>
          <w:lang w:val="en-US"/>
        </w:rPr>
        <w:t xml:space="preserve">mg </w:t>
      </w:r>
      <w:r w:rsidRPr="00A4160F">
        <w:rPr>
          <w:rFonts w:eastAsia="Times New Roman" w:cs="Arial"/>
          <w:color w:val="000000"/>
          <w:lang w:eastAsia="bg-BG"/>
        </w:rPr>
        <w:t xml:space="preserve">дневно не са повече от 6% от концентрациите, установени в жлъчката на маймуни при 39-седмично проучване и са под техните граници (6%) на </w:t>
      </w:r>
      <w:r w:rsidRPr="00A4160F">
        <w:rPr>
          <w:rFonts w:eastAsia="Times New Roman" w:cs="Arial"/>
          <w:i/>
          <w:iCs/>
          <w:color w:val="000000"/>
          <w:lang w:val="en-US"/>
        </w:rPr>
        <w:t>in vitro</w:t>
      </w:r>
      <w:r w:rsidRPr="00A4160F">
        <w:rPr>
          <w:rFonts w:eastAsia="Times New Roman" w:cs="Arial"/>
          <w:color w:val="000000"/>
          <w:lang w:val="en-US"/>
        </w:rPr>
        <w:t xml:space="preserve"> </w:t>
      </w:r>
      <w:r w:rsidRPr="00A4160F">
        <w:rPr>
          <w:rFonts w:eastAsia="Times New Roman" w:cs="Arial"/>
          <w:color w:val="000000"/>
          <w:lang w:eastAsia="bg-BG"/>
        </w:rPr>
        <w:t>разтворимост.</w:t>
      </w:r>
    </w:p>
    <w:p w14:paraId="75C2DDEF" w14:textId="77777777" w:rsidR="00A4160F" w:rsidRPr="00A4160F" w:rsidRDefault="00A4160F" w:rsidP="00A4160F">
      <w:pPr>
        <w:spacing w:line="240" w:lineRule="auto"/>
        <w:rPr>
          <w:rFonts w:eastAsia="Times New Roman" w:cs="Arial"/>
          <w:color w:val="000000"/>
          <w:lang w:eastAsia="bg-BG"/>
        </w:rPr>
      </w:pPr>
    </w:p>
    <w:p w14:paraId="1B52ADB7" w14:textId="5A97346B"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При проучванията при многократно дозиране при млади плъхове и кучета, профилът на токсичност на арипипразол е бил сравним с този, наблюдаван при възрастни животни, и няма данни за невротоксичност или нежелани ефекти в развитието.</w:t>
      </w:r>
    </w:p>
    <w:p w14:paraId="718529E0" w14:textId="77777777" w:rsidR="00A4160F" w:rsidRPr="00A4160F" w:rsidRDefault="00A4160F" w:rsidP="00A4160F">
      <w:pPr>
        <w:rPr>
          <w:rFonts w:eastAsia="Times New Roman" w:cs="Arial"/>
          <w:color w:val="000000"/>
          <w:lang w:eastAsia="bg-BG"/>
        </w:rPr>
      </w:pPr>
    </w:p>
    <w:p w14:paraId="1FBAB58E" w14:textId="4FC91DB3" w:rsidR="00A4160F" w:rsidRPr="00A4160F" w:rsidRDefault="00A4160F" w:rsidP="00A4160F">
      <w:pPr>
        <w:rPr>
          <w:rFonts w:cs="Arial"/>
          <w:sz w:val="24"/>
          <w:szCs w:val="24"/>
        </w:rPr>
      </w:pPr>
      <w:r w:rsidRPr="00A4160F">
        <w:rPr>
          <w:rFonts w:eastAsia="Times New Roman" w:cs="Arial"/>
          <w:color w:val="000000"/>
          <w:lang w:eastAsia="bg-BG"/>
        </w:rPr>
        <w:t xml:space="preserve">Въз основа на резултатите от пълните стандартни тестове за генотоксичност, арипипразол не е генотоксичен. Според проучванията за репродуктивна токсичност, арипипразол не уврежда фертилитета. Късна токсичност, включително дозозависима късна фетална осификация и възможен тератогенен ефект са наблюдавани при плъхове при дози, водещи до субтерапевтични концентрации (въз основа на </w:t>
      </w:r>
      <w:r w:rsidRPr="00A4160F">
        <w:rPr>
          <w:rFonts w:eastAsia="Times New Roman" w:cs="Arial"/>
          <w:color w:val="000000"/>
          <w:lang w:val="en-US"/>
        </w:rPr>
        <w:t xml:space="preserve">AUC) </w:t>
      </w:r>
      <w:r w:rsidRPr="00A4160F">
        <w:rPr>
          <w:rFonts w:eastAsia="Times New Roman" w:cs="Arial"/>
          <w:color w:val="000000"/>
          <w:lang w:eastAsia="bg-BG"/>
        </w:rPr>
        <w:t xml:space="preserve">и при зайци при дози, водещи до концентрации 3 и 11 пъти средната </w:t>
      </w:r>
      <w:r w:rsidRPr="00A4160F">
        <w:rPr>
          <w:rFonts w:eastAsia="Times New Roman" w:cs="Arial"/>
          <w:color w:val="000000"/>
          <w:lang w:val="en-US"/>
        </w:rPr>
        <w:t xml:space="preserve">AUC </w:t>
      </w:r>
      <w:r w:rsidRPr="00A4160F">
        <w:rPr>
          <w:rFonts w:eastAsia="Times New Roman" w:cs="Arial"/>
          <w:color w:val="000000"/>
          <w:lang w:eastAsia="bg-BG"/>
        </w:rPr>
        <w:t>при максималната препоръчителна доза в клиничната практика. Токсичността при майката се появява при дози, подобни на тези, които провокират късната токсичност.</w:t>
      </w:r>
    </w:p>
    <w:p w14:paraId="357049A8" w14:textId="3D529C2F" w:rsidR="00BB22B4" w:rsidRDefault="002C50EE" w:rsidP="00471F10">
      <w:pPr>
        <w:pStyle w:val="Heading1"/>
      </w:pPr>
      <w:r>
        <w:t>7. ПРИТЕЖАТЕЛ НА РАЗРЕШЕНИЕТО ЗА УПОТРЕБА</w:t>
      </w:r>
    </w:p>
    <w:p w14:paraId="253E8DC5" w14:textId="6BD1781C" w:rsidR="00A4160F" w:rsidRDefault="00A4160F" w:rsidP="00A4160F"/>
    <w:p w14:paraId="5DF9B731" w14:textId="2BE30D1D" w:rsidR="00A4160F" w:rsidRPr="00A4160F" w:rsidRDefault="00A4160F" w:rsidP="00A4160F">
      <w:r>
        <w:t xml:space="preserve">Medochemie Ltd., </w:t>
      </w:r>
      <w:r>
        <w:rPr>
          <w:lang w:eastAsia="bg-BG"/>
        </w:rPr>
        <w:t xml:space="preserve">1-10 </w:t>
      </w:r>
      <w:r>
        <w:t xml:space="preserve">Constantinoupoleos Street, 3011 Limassol, </w:t>
      </w:r>
      <w:r>
        <w:rPr>
          <w:lang w:eastAsia="bg-BG"/>
        </w:rPr>
        <w:t>Кипър</w:t>
      </w:r>
    </w:p>
    <w:p w14:paraId="0A53321D" w14:textId="47E138E4" w:rsidR="00EE6C97" w:rsidRDefault="00936AD0" w:rsidP="00A93499">
      <w:pPr>
        <w:pStyle w:val="Heading1"/>
      </w:pPr>
      <w:r>
        <w:t>8.</w:t>
      </w:r>
      <w:r w:rsidR="002C50EE">
        <w:t>НОМЕР НА РАЗРЕШЕНИЕТО ЗА УПОТРЕБА</w:t>
      </w:r>
    </w:p>
    <w:p w14:paraId="26505447" w14:textId="72BDEC46" w:rsidR="00A4160F" w:rsidRDefault="00A4160F" w:rsidP="00A4160F"/>
    <w:p w14:paraId="6DAB654E" w14:textId="6D1DB87A" w:rsidR="00A4160F" w:rsidRPr="00A4160F" w:rsidRDefault="00A4160F" w:rsidP="00A4160F">
      <w:pPr>
        <w:rPr>
          <w:sz w:val="24"/>
          <w:szCs w:val="24"/>
          <w:lang w:val="en-US" w:eastAsia="bg-BG"/>
        </w:rPr>
      </w:pPr>
      <w:r w:rsidRPr="00A4160F">
        <w:rPr>
          <w:lang w:eastAsia="bg-BG"/>
        </w:rPr>
        <w:t>Зикало</w:t>
      </w:r>
      <w:r>
        <w:rPr>
          <w:lang w:eastAsia="bg-BG"/>
        </w:rPr>
        <w:t>р</w:t>
      </w:r>
      <w:r w:rsidRPr="00A4160F">
        <w:rPr>
          <w:lang w:eastAsia="bg-BG"/>
        </w:rPr>
        <w:t xml:space="preserve"> 10 </w:t>
      </w:r>
      <w:r w:rsidRPr="00A4160F">
        <w:rPr>
          <w:lang w:val="en-US"/>
        </w:rPr>
        <w:t>mg:</w:t>
      </w:r>
    </w:p>
    <w:p w14:paraId="635A4B5C" w14:textId="77777777" w:rsidR="00A4160F" w:rsidRPr="00A4160F" w:rsidRDefault="00A4160F" w:rsidP="00A4160F">
      <w:pPr>
        <w:rPr>
          <w:sz w:val="24"/>
          <w:szCs w:val="24"/>
          <w:lang w:val="en-US" w:eastAsia="bg-BG"/>
        </w:rPr>
      </w:pPr>
      <w:r w:rsidRPr="00A4160F">
        <w:rPr>
          <w:lang w:val="en-US"/>
        </w:rPr>
        <w:t>Per. №: 20150347</w:t>
      </w:r>
    </w:p>
    <w:p w14:paraId="4CC8E6E6" w14:textId="77777777" w:rsidR="00A4160F" w:rsidRDefault="00A4160F" w:rsidP="00A4160F">
      <w:pPr>
        <w:rPr>
          <w:lang w:eastAsia="bg-BG"/>
        </w:rPr>
      </w:pPr>
    </w:p>
    <w:p w14:paraId="1A09E32A" w14:textId="374D1252" w:rsidR="00A4160F" w:rsidRPr="00A4160F" w:rsidRDefault="00A4160F" w:rsidP="00A4160F">
      <w:pPr>
        <w:rPr>
          <w:sz w:val="24"/>
          <w:szCs w:val="24"/>
          <w:lang w:val="en-US" w:eastAsia="bg-BG"/>
        </w:rPr>
      </w:pPr>
      <w:r w:rsidRPr="00A4160F">
        <w:rPr>
          <w:lang w:eastAsia="bg-BG"/>
        </w:rPr>
        <w:t>Зикало</w:t>
      </w:r>
      <w:r>
        <w:rPr>
          <w:lang w:eastAsia="bg-BG"/>
        </w:rPr>
        <w:t>р</w:t>
      </w:r>
      <w:r w:rsidRPr="00A4160F">
        <w:rPr>
          <w:lang w:eastAsia="bg-BG"/>
        </w:rPr>
        <w:t xml:space="preserve"> </w:t>
      </w:r>
      <w:r w:rsidRPr="00A4160F">
        <w:rPr>
          <w:lang w:val="en-US"/>
        </w:rPr>
        <w:t>15 mg:</w:t>
      </w:r>
    </w:p>
    <w:p w14:paraId="7B1E3A61" w14:textId="085C7477" w:rsidR="00A4160F" w:rsidRPr="00A4160F" w:rsidRDefault="00A4160F" w:rsidP="00A4160F">
      <w:r w:rsidRPr="00A4160F">
        <w:rPr>
          <w:lang w:val="en-US"/>
        </w:rPr>
        <w:t>Per. №: 20150348</w:t>
      </w:r>
    </w:p>
    <w:p w14:paraId="3715C10B" w14:textId="5FE554F4" w:rsidR="00BB22B4" w:rsidRDefault="002C50EE" w:rsidP="00471F10">
      <w:pPr>
        <w:pStyle w:val="Heading1"/>
      </w:pPr>
      <w:r>
        <w:t>9. ДАТА НА ПЪРВО РАЗРЕШАВАНЕ/ПОДНОВЯВАНЕ НА РАЗРЕШЕНИЕТО ЗА УПОТРЕБА</w:t>
      </w:r>
    </w:p>
    <w:p w14:paraId="7BF90973" w14:textId="1BEC87CD" w:rsidR="00A4160F" w:rsidRDefault="00A4160F" w:rsidP="00A4160F"/>
    <w:p w14:paraId="2C2487D8" w14:textId="77777777" w:rsidR="00A4160F" w:rsidRPr="00A4160F" w:rsidRDefault="00A4160F" w:rsidP="00A4160F">
      <w:pPr>
        <w:rPr>
          <w:sz w:val="24"/>
          <w:szCs w:val="24"/>
          <w:lang w:eastAsia="bg-BG"/>
        </w:rPr>
      </w:pPr>
      <w:r w:rsidRPr="00A4160F">
        <w:rPr>
          <w:lang w:eastAsia="bg-BG"/>
        </w:rPr>
        <w:t>Дата на първо разрешаване: 22 октомври 2015 г.</w:t>
      </w:r>
    </w:p>
    <w:p w14:paraId="5C22833C" w14:textId="107C4506" w:rsidR="00A4160F" w:rsidRPr="00A4160F" w:rsidRDefault="00A4160F" w:rsidP="00A4160F">
      <w:r w:rsidRPr="00A4160F">
        <w:rPr>
          <w:lang w:eastAsia="bg-BG"/>
        </w:rPr>
        <w:t>Дата на последно подновяване: 13 февруари 2020 г.</w:t>
      </w:r>
    </w:p>
    <w:p w14:paraId="43FB38A2" w14:textId="0C18A683" w:rsidR="007C605B" w:rsidRDefault="002C50EE" w:rsidP="005726E3">
      <w:pPr>
        <w:pStyle w:val="Heading1"/>
      </w:pPr>
      <w:r>
        <w:t>10. ДАТА НА АКТУАЛИЗИРАНЕ НА ТЕКСТА</w:t>
      </w:r>
      <w:bookmarkEnd w:id="0"/>
    </w:p>
    <w:p w14:paraId="472617BD" w14:textId="520E5682" w:rsidR="00BB22B4" w:rsidRPr="00BB22B4" w:rsidRDefault="00A4160F" w:rsidP="00A4160F">
      <w:r>
        <w:t>06/2022</w:t>
      </w:r>
    </w:p>
    <w:sectPr w:rsidR="00BB22B4" w:rsidRPr="00BB22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9304D31"/>
    <w:multiLevelType w:val="hybridMultilevel"/>
    <w:tmpl w:val="558E934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6D37A7"/>
    <w:multiLevelType w:val="hybridMultilevel"/>
    <w:tmpl w:val="46CC86F0"/>
    <w:lvl w:ilvl="0" w:tplc="D1263D34">
      <w:start w:val="4"/>
      <w:numFmt w:val="bullet"/>
      <w:lvlText w:val="-"/>
      <w:lvlJc w:val="left"/>
      <w:pPr>
        <w:ind w:left="720" w:hanging="360"/>
      </w:pPr>
      <w:rPr>
        <w:rFonts w:ascii="Times New Roman" w:eastAsia="Times New Roman" w:hAnsi="Times New Roman" w:cs="Times New Roman" w:hint="default"/>
        <w:color w:val="0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9"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4"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E06251"/>
    <w:multiLevelType w:val="hybridMultilevel"/>
    <w:tmpl w:val="1090AE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16cid:durableId="1574118384">
    <w:abstractNumId w:val="30"/>
  </w:num>
  <w:num w:numId="2" w16cid:durableId="1612932146">
    <w:abstractNumId w:val="0"/>
  </w:num>
  <w:num w:numId="3" w16cid:durableId="1810323821">
    <w:abstractNumId w:val="15"/>
  </w:num>
  <w:num w:numId="4" w16cid:durableId="2135319613">
    <w:abstractNumId w:val="3"/>
  </w:num>
  <w:num w:numId="5" w16cid:durableId="740105516">
    <w:abstractNumId w:val="1"/>
  </w:num>
  <w:num w:numId="6" w16cid:durableId="1668363208">
    <w:abstractNumId w:val="19"/>
  </w:num>
  <w:num w:numId="7" w16cid:durableId="1241988161">
    <w:abstractNumId w:val="12"/>
  </w:num>
  <w:num w:numId="8" w16cid:durableId="2102022361">
    <w:abstractNumId w:val="18"/>
  </w:num>
  <w:num w:numId="9" w16cid:durableId="1154613663">
    <w:abstractNumId w:val="2"/>
  </w:num>
  <w:num w:numId="10" w16cid:durableId="1733848127">
    <w:abstractNumId w:val="4"/>
  </w:num>
  <w:num w:numId="11" w16cid:durableId="1861704680">
    <w:abstractNumId w:val="33"/>
  </w:num>
  <w:num w:numId="12" w16cid:durableId="1434934028">
    <w:abstractNumId w:val="16"/>
  </w:num>
  <w:num w:numId="13" w16cid:durableId="479157895">
    <w:abstractNumId w:val="22"/>
  </w:num>
  <w:num w:numId="14" w16cid:durableId="1670476636">
    <w:abstractNumId w:val="14"/>
  </w:num>
  <w:num w:numId="15" w16cid:durableId="1000155783">
    <w:abstractNumId w:val="32"/>
  </w:num>
  <w:num w:numId="16" w16cid:durableId="2056420707">
    <w:abstractNumId w:val="11"/>
  </w:num>
  <w:num w:numId="17" w16cid:durableId="1787119182">
    <w:abstractNumId w:val="27"/>
  </w:num>
  <w:num w:numId="18" w16cid:durableId="722945139">
    <w:abstractNumId w:val="8"/>
  </w:num>
  <w:num w:numId="19" w16cid:durableId="1678728408">
    <w:abstractNumId w:val="29"/>
  </w:num>
  <w:num w:numId="20" w16cid:durableId="1970816657">
    <w:abstractNumId w:val="26"/>
  </w:num>
  <w:num w:numId="21" w16cid:durableId="1531146514">
    <w:abstractNumId w:val="20"/>
  </w:num>
  <w:num w:numId="22" w16cid:durableId="1276465">
    <w:abstractNumId w:val="28"/>
  </w:num>
  <w:num w:numId="23" w16cid:durableId="1624310558">
    <w:abstractNumId w:val="21"/>
  </w:num>
  <w:num w:numId="24" w16cid:durableId="1692877547">
    <w:abstractNumId w:val="9"/>
  </w:num>
  <w:num w:numId="25" w16cid:durableId="50930855">
    <w:abstractNumId w:val="25"/>
  </w:num>
  <w:num w:numId="26" w16cid:durableId="176701536">
    <w:abstractNumId w:val="24"/>
  </w:num>
  <w:num w:numId="27" w16cid:durableId="2050564750">
    <w:abstractNumId w:val="34"/>
  </w:num>
  <w:num w:numId="28" w16cid:durableId="1820733422">
    <w:abstractNumId w:val="6"/>
  </w:num>
  <w:num w:numId="29" w16cid:durableId="973678124">
    <w:abstractNumId w:val="23"/>
  </w:num>
  <w:num w:numId="30" w16cid:durableId="154884452">
    <w:abstractNumId w:val="38"/>
  </w:num>
  <w:num w:numId="31" w16cid:durableId="1053964910">
    <w:abstractNumId w:val="5"/>
  </w:num>
  <w:num w:numId="32" w16cid:durableId="2073575793">
    <w:abstractNumId w:val="36"/>
  </w:num>
  <w:num w:numId="33" w16cid:durableId="1566643170">
    <w:abstractNumId w:val="31"/>
  </w:num>
  <w:num w:numId="34" w16cid:durableId="2060787732">
    <w:abstractNumId w:val="35"/>
  </w:num>
  <w:num w:numId="35" w16cid:durableId="34161354">
    <w:abstractNumId w:val="7"/>
  </w:num>
  <w:num w:numId="36" w16cid:durableId="1976908676">
    <w:abstractNumId w:val="10"/>
  </w:num>
  <w:num w:numId="37" w16cid:durableId="758528303">
    <w:abstractNumId w:val="17"/>
  </w:num>
  <w:num w:numId="38" w16cid:durableId="178396561">
    <w:abstractNumId w:val="37"/>
  </w:num>
  <w:num w:numId="39" w16cid:durableId="93482599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A00"/>
    <w:rsid w:val="00185A46"/>
    <w:rsid w:val="001915B6"/>
    <w:rsid w:val="001A6EBD"/>
    <w:rsid w:val="001D1B23"/>
    <w:rsid w:val="00241321"/>
    <w:rsid w:val="002B3C38"/>
    <w:rsid w:val="002B4DBB"/>
    <w:rsid w:val="002C50EE"/>
    <w:rsid w:val="00340A0A"/>
    <w:rsid w:val="003765DC"/>
    <w:rsid w:val="00395555"/>
    <w:rsid w:val="003E3126"/>
    <w:rsid w:val="00426E5F"/>
    <w:rsid w:val="00446EB8"/>
    <w:rsid w:val="00471F10"/>
    <w:rsid w:val="0047771A"/>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5882"/>
    <w:rsid w:val="007122AD"/>
    <w:rsid w:val="0075649D"/>
    <w:rsid w:val="007C605B"/>
    <w:rsid w:val="008134C8"/>
    <w:rsid w:val="00814073"/>
    <w:rsid w:val="00826F0D"/>
    <w:rsid w:val="00875EEC"/>
    <w:rsid w:val="00893B92"/>
    <w:rsid w:val="008A6AF2"/>
    <w:rsid w:val="008C70A2"/>
    <w:rsid w:val="00936AD0"/>
    <w:rsid w:val="00954129"/>
    <w:rsid w:val="009773E4"/>
    <w:rsid w:val="009B171C"/>
    <w:rsid w:val="009F1313"/>
    <w:rsid w:val="00A20351"/>
    <w:rsid w:val="00A4160F"/>
    <w:rsid w:val="00A65A81"/>
    <w:rsid w:val="00A71DCF"/>
    <w:rsid w:val="00A93499"/>
    <w:rsid w:val="00AA23EC"/>
    <w:rsid w:val="00AC63CE"/>
    <w:rsid w:val="00AE2107"/>
    <w:rsid w:val="00B275A8"/>
    <w:rsid w:val="00B6672E"/>
    <w:rsid w:val="00BA5B74"/>
    <w:rsid w:val="00BB22B4"/>
    <w:rsid w:val="00BF2600"/>
    <w:rsid w:val="00C0049F"/>
    <w:rsid w:val="00C07B84"/>
    <w:rsid w:val="00C33464"/>
    <w:rsid w:val="00C40420"/>
    <w:rsid w:val="00C809A7"/>
    <w:rsid w:val="00C83063"/>
    <w:rsid w:val="00C87E90"/>
    <w:rsid w:val="00CA1B57"/>
    <w:rsid w:val="00CF77F7"/>
    <w:rsid w:val="00D86297"/>
    <w:rsid w:val="00DB32D3"/>
    <w:rsid w:val="00DD466D"/>
    <w:rsid w:val="00EB6364"/>
    <w:rsid w:val="00EE6C97"/>
    <w:rsid w:val="00F37B64"/>
    <w:rsid w:val="00F53FB7"/>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8789</Words>
  <Characters>50099</Characters>
  <Application>Microsoft Office Word</Application>
  <DocSecurity>0</DocSecurity>
  <Lines>417</Lines>
  <Paragraphs>117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2023-01-19T02:07:00Z</dcterms:created>
  <dcterms:modified xsi:type="dcterms:W3CDTF">2023-01-19T02:07:00Z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